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152400</wp:posOffset>
            </wp:positionH>
            <wp:positionV relativeFrom="page">
              <wp:posOffset>111125</wp:posOffset>
            </wp:positionV>
            <wp:extent cx="7257415" cy="37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7415" cy="37465"/>
                    </a:xfrm>
                    <a:prstGeom prst="rect">
                      <a:avLst/>
                    </a:prstGeom>
                    <a:noFill/>
                  </pic:spPr>
                </pic:pic>
              </a:graphicData>
            </a:graphic>
          </wp:anchor>
        </w:drawing>
        <w:t>UNITED STATES</w:t>
      </w:r>
    </w:p>
    <w:p>
      <w:pPr>
        <w:spacing w:after="0" w:line="47"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SECURITIES AND EXCHANGE COMMISSION</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202565</wp:posOffset>
            </wp:positionV>
            <wp:extent cx="11061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06170" cy="8255"/>
                    </a:xfrm>
                    <a:prstGeom prst="rect">
                      <a:avLst/>
                    </a:prstGeom>
                    <a:noFill/>
                  </pic:spPr>
                </pic:pic>
              </a:graphicData>
            </a:graphic>
          </wp:anchor>
        </w:drawing>
      </w:r>
    </w:p>
    <w:p>
      <w:pPr>
        <w:spacing w:after="0" w:line="400"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94615</wp:posOffset>
            </wp:positionV>
            <wp:extent cx="11061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06170" cy="8255"/>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CURRENT REPORT</w:t>
      </w: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PURSUANT TO SECTION 13 OR 15(d) OF THE</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SECURITIES EXCHANGE ACT OF 1934</w:t>
      </w: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Date of Report (Date of earliest event reported) July 11,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248285</wp:posOffset>
            </wp:positionV>
            <wp:extent cx="11061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061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BASSETT FURNITURE INDUSTRIES, INCORPORATED</w:t>
      </w:r>
    </w:p>
    <w:p>
      <w:pPr>
        <w:spacing w:after="0" w:line="47" w:lineRule="exact"/>
        <w:rPr>
          <w:sz w:val="24"/>
          <w:szCs w:val="24"/>
          <w:color w:val="auto"/>
        </w:rPr>
      </w:pPr>
    </w:p>
    <w:tbl>
      <w:tblPr>
        <w:tblLayout w:type="fixed"/>
        <w:tblInd w:w="380" w:type="dxa"/>
        <w:tblCellMar>
          <w:top w:w="0" w:type="dxa"/>
          <w:left w:w="0" w:type="dxa"/>
          <w:bottom w:w="0" w:type="dxa"/>
          <w:right w:w="0" w:type="dxa"/>
        </w:tblCellMar>
      </w:tblPr>
      <w:tr>
        <w:trPr>
          <w:trHeight w:val="223"/>
        </w:trPr>
        <w:tc>
          <w:tcPr>
            <w:tcW w:w="7880" w:type="dxa"/>
            <w:vAlign w:val="bottom"/>
            <w:gridSpan w:val="3"/>
          </w:tcPr>
          <w:p>
            <w:pPr>
              <w:jc w:val="center"/>
              <w:ind w:left="2714"/>
              <w:spacing w:after="0"/>
              <w:rPr>
                <w:sz w:val="20"/>
                <w:szCs w:val="20"/>
                <w:color w:val="auto"/>
              </w:rPr>
            </w:pPr>
            <w:r>
              <w:rPr>
                <w:rFonts w:ascii="Arial" w:cs="Arial" w:eastAsia="Arial" w:hAnsi="Arial"/>
                <w:sz w:val="17"/>
                <w:szCs w:val="17"/>
                <w:b w:val="1"/>
                <w:bCs w:val="1"/>
                <w:color w:val="auto"/>
                <w:w w:val="90"/>
              </w:rPr>
              <w:t>(Exact name of registrant as specified in its charter)</w:t>
            </w:r>
          </w:p>
        </w:tc>
        <w:tc>
          <w:tcPr>
            <w:tcW w:w="2320" w:type="dxa"/>
            <w:vAlign w:val="bottom"/>
          </w:tcPr>
          <w:p>
            <w:pPr>
              <w:spacing w:after="0"/>
              <w:rPr>
                <w:sz w:val="19"/>
                <w:szCs w:val="19"/>
                <w:color w:val="auto"/>
              </w:rPr>
            </w:pPr>
          </w:p>
        </w:tc>
      </w:tr>
      <w:tr>
        <w:trPr>
          <w:trHeight w:val="343"/>
        </w:trPr>
        <w:tc>
          <w:tcPr>
            <w:tcW w:w="4460" w:type="dxa"/>
            <w:vAlign w:val="bottom"/>
          </w:tcPr>
          <w:p>
            <w:pPr>
              <w:spacing w:after="0"/>
              <w:rPr>
                <w:sz w:val="24"/>
                <w:szCs w:val="24"/>
                <w:color w:val="auto"/>
              </w:rPr>
            </w:pPr>
          </w:p>
        </w:tc>
        <w:tc>
          <w:tcPr>
            <w:tcW w:w="1740" w:type="dxa"/>
            <w:vAlign w:val="bottom"/>
            <w:tcBorders>
              <w:bottom w:val="single" w:sz="8" w:color="808080"/>
            </w:tcBorders>
          </w:tcPr>
          <w:p>
            <w:pPr>
              <w:spacing w:after="0"/>
              <w:rPr>
                <w:sz w:val="24"/>
                <w:szCs w:val="24"/>
                <w:color w:val="auto"/>
              </w:rPr>
            </w:pPr>
          </w:p>
        </w:tc>
        <w:tc>
          <w:tcPr>
            <w:tcW w:w="16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91"/>
        </w:trPr>
        <w:tc>
          <w:tcPr>
            <w:tcW w:w="4460" w:type="dxa"/>
            <w:vAlign w:val="bottom"/>
          </w:tcPr>
          <w:p>
            <w:pPr>
              <w:jc w:val="center"/>
              <w:ind w:right="2114"/>
              <w:spacing w:after="0"/>
              <w:rPr>
                <w:sz w:val="20"/>
                <w:szCs w:val="20"/>
                <w:color w:val="auto"/>
              </w:rPr>
            </w:pPr>
            <w:r>
              <w:rPr>
                <w:rFonts w:ascii="Arial" w:cs="Arial" w:eastAsia="Arial" w:hAnsi="Arial"/>
                <w:sz w:val="17"/>
                <w:szCs w:val="17"/>
                <w:b w:val="1"/>
                <w:bCs w:val="1"/>
                <w:color w:val="auto"/>
              </w:rPr>
              <w:t>VIRGINIA</w:t>
            </w:r>
          </w:p>
        </w:tc>
        <w:tc>
          <w:tcPr>
            <w:tcW w:w="1740" w:type="dxa"/>
            <w:vAlign w:val="bottom"/>
          </w:tcPr>
          <w:p>
            <w:pPr>
              <w:jc w:val="center"/>
              <w:spacing w:after="0"/>
              <w:rPr>
                <w:sz w:val="20"/>
                <w:szCs w:val="20"/>
                <w:color w:val="auto"/>
              </w:rPr>
            </w:pPr>
            <w:r>
              <w:rPr>
                <w:rFonts w:ascii="Arial" w:cs="Arial" w:eastAsia="Arial" w:hAnsi="Arial"/>
                <w:sz w:val="17"/>
                <w:szCs w:val="17"/>
                <w:b w:val="1"/>
                <w:bCs w:val="1"/>
                <w:color w:val="auto"/>
                <w:w w:val="91"/>
              </w:rPr>
              <w:t>0-209</w:t>
            </w:r>
          </w:p>
        </w:tc>
        <w:tc>
          <w:tcPr>
            <w:tcW w:w="1680" w:type="dxa"/>
            <w:vAlign w:val="bottom"/>
          </w:tcPr>
          <w:p>
            <w:pPr>
              <w:spacing w:after="0"/>
              <w:rPr>
                <w:sz w:val="24"/>
                <w:szCs w:val="24"/>
                <w:color w:val="auto"/>
              </w:rPr>
            </w:pPr>
          </w:p>
        </w:tc>
        <w:tc>
          <w:tcPr>
            <w:tcW w:w="2320" w:type="dxa"/>
            <w:vAlign w:val="bottom"/>
          </w:tcPr>
          <w:p>
            <w:pPr>
              <w:jc w:val="center"/>
              <w:ind w:left="914"/>
              <w:spacing w:after="0"/>
              <w:rPr>
                <w:sz w:val="20"/>
                <w:szCs w:val="20"/>
                <w:color w:val="auto"/>
              </w:rPr>
            </w:pPr>
            <w:r>
              <w:rPr>
                <w:rFonts w:ascii="Arial" w:cs="Arial" w:eastAsia="Arial" w:hAnsi="Arial"/>
                <w:sz w:val="17"/>
                <w:szCs w:val="17"/>
                <w:b w:val="1"/>
                <w:bCs w:val="1"/>
                <w:color w:val="auto"/>
                <w:w w:val="92"/>
              </w:rPr>
              <w:t>54-0135270</w:t>
            </w:r>
          </w:p>
        </w:tc>
      </w:tr>
      <w:tr>
        <w:trPr>
          <w:trHeight w:val="206"/>
        </w:trPr>
        <w:tc>
          <w:tcPr>
            <w:tcW w:w="4460" w:type="dxa"/>
            <w:vAlign w:val="bottom"/>
          </w:tcPr>
          <w:p>
            <w:pPr>
              <w:jc w:val="center"/>
              <w:ind w:right="2114"/>
              <w:spacing w:after="0"/>
              <w:rPr>
                <w:sz w:val="20"/>
                <w:szCs w:val="20"/>
                <w:color w:val="auto"/>
              </w:rPr>
            </w:pPr>
            <w:r>
              <w:rPr>
                <w:rFonts w:ascii="Arial" w:cs="Arial" w:eastAsia="Arial" w:hAnsi="Arial"/>
                <w:sz w:val="17"/>
                <w:szCs w:val="17"/>
                <w:b w:val="1"/>
                <w:bCs w:val="1"/>
                <w:color w:val="auto"/>
                <w:w w:val="91"/>
              </w:rPr>
              <w:t>(State or other jurisdiction of</w:t>
            </w:r>
          </w:p>
        </w:tc>
        <w:tc>
          <w:tcPr>
            <w:tcW w:w="3420" w:type="dxa"/>
            <w:vAlign w:val="bottom"/>
            <w:gridSpan w:val="2"/>
          </w:tcPr>
          <w:p>
            <w:pPr>
              <w:jc w:val="center"/>
              <w:ind w:right="1700"/>
              <w:spacing w:after="0"/>
              <w:rPr>
                <w:sz w:val="20"/>
                <w:szCs w:val="20"/>
                <w:color w:val="auto"/>
              </w:rPr>
            </w:pPr>
            <w:r>
              <w:rPr>
                <w:rFonts w:ascii="Arial" w:cs="Arial" w:eastAsia="Arial" w:hAnsi="Arial"/>
                <w:sz w:val="17"/>
                <w:szCs w:val="17"/>
                <w:b w:val="1"/>
                <w:bCs w:val="1"/>
                <w:color w:val="auto"/>
                <w:w w:val="91"/>
              </w:rPr>
              <w:t>(Commission File No.)</w:t>
            </w:r>
          </w:p>
        </w:tc>
        <w:tc>
          <w:tcPr>
            <w:tcW w:w="2320" w:type="dxa"/>
            <w:vAlign w:val="bottom"/>
          </w:tcPr>
          <w:p>
            <w:pPr>
              <w:jc w:val="center"/>
              <w:ind w:left="914"/>
              <w:spacing w:after="0"/>
              <w:rPr>
                <w:sz w:val="20"/>
                <w:szCs w:val="20"/>
                <w:color w:val="auto"/>
              </w:rPr>
            </w:pPr>
            <w:r>
              <w:rPr>
                <w:rFonts w:ascii="Arial" w:cs="Arial" w:eastAsia="Arial" w:hAnsi="Arial"/>
                <w:sz w:val="17"/>
                <w:szCs w:val="17"/>
                <w:b w:val="1"/>
                <w:bCs w:val="1"/>
                <w:color w:val="auto"/>
                <w:w w:val="95"/>
              </w:rPr>
              <w:t>(I.R.S. Employer</w:t>
            </w:r>
          </w:p>
        </w:tc>
      </w:tr>
      <w:tr>
        <w:trPr>
          <w:trHeight w:val="223"/>
        </w:trPr>
        <w:tc>
          <w:tcPr>
            <w:tcW w:w="4460" w:type="dxa"/>
            <w:vAlign w:val="bottom"/>
          </w:tcPr>
          <w:p>
            <w:pPr>
              <w:jc w:val="center"/>
              <w:ind w:right="2134"/>
              <w:spacing w:after="0"/>
              <w:rPr>
                <w:sz w:val="20"/>
                <w:szCs w:val="20"/>
                <w:color w:val="auto"/>
              </w:rPr>
            </w:pPr>
            <w:r>
              <w:rPr>
                <w:rFonts w:ascii="Arial" w:cs="Arial" w:eastAsia="Arial" w:hAnsi="Arial"/>
                <w:sz w:val="17"/>
                <w:szCs w:val="17"/>
                <w:b w:val="1"/>
                <w:bCs w:val="1"/>
                <w:color w:val="auto"/>
                <w:w w:val="92"/>
              </w:rPr>
              <w:t>incorporation or organization)</w:t>
            </w:r>
          </w:p>
        </w:tc>
        <w:tc>
          <w:tcPr>
            <w:tcW w:w="17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320" w:type="dxa"/>
            <w:vAlign w:val="bottom"/>
          </w:tcPr>
          <w:p>
            <w:pPr>
              <w:jc w:val="center"/>
              <w:ind w:left="894"/>
              <w:spacing w:after="0"/>
              <w:rPr>
                <w:sz w:val="20"/>
                <w:szCs w:val="20"/>
                <w:color w:val="auto"/>
              </w:rPr>
            </w:pPr>
            <w:r>
              <w:rPr>
                <w:rFonts w:ascii="Arial" w:cs="Arial" w:eastAsia="Arial" w:hAnsi="Arial"/>
                <w:sz w:val="17"/>
                <w:szCs w:val="17"/>
                <w:b w:val="1"/>
                <w:bCs w:val="1"/>
                <w:color w:val="auto"/>
                <w:w w:val="93"/>
              </w:rPr>
              <w:t>Identification No.)</w:t>
            </w:r>
          </w:p>
        </w:tc>
      </w:tr>
      <w:tr>
        <w:trPr>
          <w:trHeight w:val="396"/>
        </w:trPr>
        <w:tc>
          <w:tcPr>
            <w:tcW w:w="4460" w:type="dxa"/>
            <w:vAlign w:val="bottom"/>
          </w:tcPr>
          <w:p>
            <w:pPr>
              <w:jc w:val="center"/>
              <w:ind w:left="314"/>
              <w:spacing w:after="0"/>
              <w:rPr>
                <w:sz w:val="20"/>
                <w:szCs w:val="20"/>
                <w:color w:val="auto"/>
              </w:rPr>
            </w:pPr>
            <w:r>
              <w:rPr>
                <w:rFonts w:ascii="Arial" w:cs="Arial" w:eastAsia="Arial" w:hAnsi="Arial"/>
                <w:sz w:val="17"/>
                <w:szCs w:val="17"/>
                <w:b w:val="1"/>
                <w:bCs w:val="1"/>
                <w:color w:val="auto"/>
                <w:w w:val="99"/>
              </w:rPr>
              <w:t>3525 FAIRYSTONE PARK HIGHWAY</w:t>
            </w:r>
          </w:p>
        </w:tc>
        <w:tc>
          <w:tcPr>
            <w:tcW w:w="17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06"/>
        </w:trPr>
        <w:tc>
          <w:tcPr>
            <w:tcW w:w="4460" w:type="dxa"/>
            <w:vAlign w:val="bottom"/>
          </w:tcPr>
          <w:p>
            <w:pPr>
              <w:jc w:val="center"/>
              <w:ind w:left="294"/>
              <w:spacing w:after="0"/>
              <w:rPr>
                <w:sz w:val="20"/>
                <w:szCs w:val="20"/>
                <w:color w:val="auto"/>
              </w:rPr>
            </w:pPr>
            <w:r>
              <w:rPr>
                <w:rFonts w:ascii="Arial" w:cs="Arial" w:eastAsia="Arial" w:hAnsi="Arial"/>
                <w:sz w:val="17"/>
                <w:szCs w:val="17"/>
                <w:b w:val="1"/>
                <w:bCs w:val="1"/>
                <w:color w:val="auto"/>
              </w:rPr>
              <w:t>BASSETT, VIRGINIA</w:t>
            </w:r>
          </w:p>
        </w:tc>
        <w:tc>
          <w:tcPr>
            <w:tcW w:w="17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320" w:type="dxa"/>
            <w:vAlign w:val="bottom"/>
          </w:tcPr>
          <w:p>
            <w:pPr>
              <w:jc w:val="right"/>
              <w:ind w:right="974"/>
              <w:spacing w:after="0"/>
              <w:rPr>
                <w:sz w:val="20"/>
                <w:szCs w:val="20"/>
                <w:color w:val="auto"/>
              </w:rPr>
            </w:pPr>
            <w:r>
              <w:rPr>
                <w:rFonts w:ascii="Arial" w:cs="Arial" w:eastAsia="Arial" w:hAnsi="Arial"/>
                <w:sz w:val="17"/>
                <w:szCs w:val="17"/>
                <w:b w:val="1"/>
                <w:bCs w:val="1"/>
                <w:color w:val="auto"/>
              </w:rPr>
              <w:t>24055</w:t>
            </w:r>
          </w:p>
        </w:tc>
      </w:tr>
      <w:tr>
        <w:trPr>
          <w:trHeight w:val="223"/>
        </w:trPr>
        <w:tc>
          <w:tcPr>
            <w:tcW w:w="4460" w:type="dxa"/>
            <w:vAlign w:val="bottom"/>
          </w:tcPr>
          <w:p>
            <w:pPr>
              <w:jc w:val="center"/>
              <w:ind w:left="294"/>
              <w:spacing w:after="0"/>
              <w:rPr>
                <w:sz w:val="20"/>
                <w:szCs w:val="20"/>
                <w:color w:val="auto"/>
              </w:rPr>
            </w:pPr>
            <w:r>
              <w:rPr>
                <w:rFonts w:ascii="Arial" w:cs="Arial" w:eastAsia="Arial" w:hAnsi="Arial"/>
                <w:sz w:val="17"/>
                <w:szCs w:val="17"/>
                <w:b w:val="1"/>
                <w:bCs w:val="1"/>
                <w:color w:val="auto"/>
                <w:w w:val="89"/>
              </w:rPr>
              <w:t>(Address of principal executive offices)</w:t>
            </w:r>
          </w:p>
        </w:tc>
        <w:tc>
          <w:tcPr>
            <w:tcW w:w="17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320" w:type="dxa"/>
            <w:vAlign w:val="bottom"/>
          </w:tcPr>
          <w:p>
            <w:pPr>
              <w:jc w:val="center"/>
              <w:ind w:right="114"/>
              <w:spacing w:after="0"/>
              <w:rPr>
                <w:sz w:val="20"/>
                <w:szCs w:val="20"/>
                <w:color w:val="auto"/>
              </w:rPr>
            </w:pPr>
            <w:r>
              <w:rPr>
                <w:rFonts w:ascii="Arial" w:cs="Arial" w:eastAsia="Arial" w:hAnsi="Arial"/>
                <w:sz w:val="17"/>
                <w:szCs w:val="17"/>
                <w:b w:val="1"/>
                <w:bCs w:val="1"/>
                <w:color w:val="auto"/>
                <w:w w:val="95"/>
              </w:rPr>
              <w:t>(Zip Code)</w:t>
            </w:r>
          </w:p>
        </w:tc>
      </w:tr>
    </w:tbl>
    <w:p>
      <w:pPr>
        <w:spacing w:after="0" w:line="190"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Registrant’s telephone number, including area code 276/629-6000</w:t>
      </w: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(Former name or former address, if changed since last report)</w:t>
      </w:r>
    </w:p>
    <w:p>
      <w:pPr>
        <w:spacing w:after="0" w:line="224" w:lineRule="exact"/>
        <w:rPr>
          <w:sz w:val="24"/>
          <w:szCs w:val="24"/>
          <w:color w:val="auto"/>
        </w:rPr>
      </w:pPr>
    </w:p>
    <w:p>
      <w:pPr>
        <w:spacing w:after="0" w:line="280"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 (see General Instruction A.2 below):</w:t>
      </w:r>
    </w:p>
    <w:p>
      <w:pPr>
        <w:spacing w:after="0" w:line="163" w:lineRule="exact"/>
        <w:rPr>
          <w:sz w:val="24"/>
          <w:szCs w:val="24"/>
          <w:color w:val="auto"/>
        </w:rPr>
      </w:pPr>
    </w:p>
    <w:p>
      <w:pPr>
        <w:ind w:left="420" w:hanging="417"/>
        <w:spacing w:after="0"/>
        <w:tabs>
          <w:tab w:leader="none" w:pos="4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217" w:lineRule="exact"/>
        <w:rPr>
          <w:rFonts w:ascii="MS PGothic" w:cs="MS PGothic" w:eastAsia="MS PGothic" w:hAnsi="MS PGothic"/>
          <w:sz w:val="17"/>
          <w:szCs w:val="17"/>
          <w:color w:val="auto"/>
        </w:rPr>
      </w:pPr>
    </w:p>
    <w:p>
      <w:pPr>
        <w:ind w:left="420" w:hanging="417"/>
        <w:spacing w:after="0"/>
        <w:tabs>
          <w:tab w:leader="none" w:pos="4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217" w:lineRule="exact"/>
        <w:rPr>
          <w:rFonts w:ascii="MS PGothic" w:cs="MS PGothic" w:eastAsia="MS PGothic" w:hAnsi="MS PGothic"/>
          <w:sz w:val="17"/>
          <w:szCs w:val="17"/>
          <w:color w:val="auto"/>
        </w:rPr>
      </w:pPr>
    </w:p>
    <w:p>
      <w:pPr>
        <w:ind w:left="420" w:hanging="417"/>
        <w:spacing w:after="0"/>
        <w:tabs>
          <w:tab w:leader="none" w:pos="4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217" w:lineRule="exact"/>
        <w:rPr>
          <w:rFonts w:ascii="MS PGothic" w:cs="MS PGothic" w:eastAsia="MS PGothic" w:hAnsi="MS PGothic"/>
          <w:sz w:val="17"/>
          <w:szCs w:val="17"/>
          <w:color w:val="auto"/>
        </w:rPr>
      </w:pPr>
    </w:p>
    <w:p>
      <w:pPr>
        <w:ind w:left="420" w:hanging="417"/>
        <w:spacing w:after="0"/>
        <w:tabs>
          <w:tab w:leader="none" w:pos="4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257415"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7415" cy="431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447040</wp:posOffset>
            </wp:positionV>
            <wp:extent cx="725741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 w:name="page2"/>
    <w:bookmarkEnd w:id="1"/>
    <w:p>
      <w:pPr>
        <w:spacing w:after="0"/>
        <w:rPr>
          <w:sz w:val="20"/>
          <w:szCs w:val="20"/>
          <w:color w:val="auto"/>
        </w:rPr>
      </w:pPr>
      <w:r>
        <w:rPr>
          <w:rFonts w:ascii="Arial" w:cs="Arial" w:eastAsia="Arial" w:hAnsi="Arial"/>
          <w:sz w:val="17"/>
          <w:szCs w:val="17"/>
          <w:color w:val="auto"/>
        </w:rPr>
        <w:t>Item 5.03. Amendments to Articles of Incorporation or Bylaws; Change in Fiscal Year</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(a) Amendment to Bylaws:</w:t>
      </w:r>
    </w:p>
    <w:p>
      <w:pPr>
        <w:spacing w:after="0" w:line="218" w:lineRule="exact"/>
        <w:rPr>
          <w:sz w:val="20"/>
          <w:szCs w:val="20"/>
          <w:color w:val="auto"/>
        </w:rPr>
      </w:pPr>
    </w:p>
    <w:p>
      <w:pPr>
        <w:jc w:val="both"/>
        <w:ind w:firstLine="465"/>
        <w:spacing w:after="0" w:line="226" w:lineRule="auto"/>
        <w:rPr>
          <w:sz w:val="20"/>
          <w:szCs w:val="20"/>
          <w:color w:val="auto"/>
        </w:rPr>
      </w:pPr>
      <w:r>
        <w:rPr>
          <w:rFonts w:ascii="Arial" w:cs="Arial" w:eastAsia="Arial" w:hAnsi="Arial"/>
          <w:sz w:val="17"/>
          <w:szCs w:val="17"/>
          <w:color w:val="auto"/>
        </w:rPr>
        <w:t>On July 11, 2012, the Board of Directors amended Article II, Section 1 of the Company’s By-Laws to change the date of the Company’s annual meeting of shareholders from the last Tuesday of February of each year to the fifteenth (15</w:t>
      </w:r>
      <w:r>
        <w:rPr>
          <w:rFonts w:ascii="Arial" w:cs="Arial" w:eastAsia="Arial" w:hAnsi="Arial"/>
          <w:sz w:val="24"/>
          <w:szCs w:val="24"/>
          <w:color w:val="auto"/>
          <w:vertAlign w:val="superscript"/>
        </w:rPr>
        <w:t>th</w:t>
      </w:r>
      <w:r>
        <w:rPr>
          <w:rFonts w:ascii="Arial" w:cs="Arial" w:eastAsia="Arial" w:hAnsi="Arial"/>
          <w:sz w:val="17"/>
          <w:szCs w:val="17"/>
          <w:color w:val="auto"/>
        </w:rPr>
        <w:t>) Wednesday following the end of each fiscal year or such other date as the Board of Directors shall determine. Exhibit 3 to this Form 8-K contains the text of the foregoing amendment.</w:t>
      </w:r>
    </w:p>
    <w:p>
      <w:pPr>
        <w:spacing w:after="0" w:line="250" w:lineRule="exact"/>
        <w:rPr>
          <w:sz w:val="20"/>
          <w:szCs w:val="20"/>
          <w:color w:val="auto"/>
        </w:rPr>
      </w:pPr>
    </w:p>
    <w:p>
      <w:pPr>
        <w:jc w:val="both"/>
        <w:ind w:firstLine="465"/>
        <w:spacing w:after="0" w:line="258" w:lineRule="auto"/>
        <w:rPr>
          <w:sz w:val="20"/>
          <w:szCs w:val="20"/>
          <w:color w:val="auto"/>
        </w:rPr>
      </w:pPr>
      <w:r>
        <w:rPr>
          <w:rFonts w:ascii="Arial" w:cs="Arial" w:eastAsia="Arial" w:hAnsi="Arial"/>
          <w:sz w:val="17"/>
          <w:szCs w:val="17"/>
          <w:color w:val="auto"/>
        </w:rPr>
        <w:t>In accordance with the foregoing amendment to the By-laws, the Company intends to hold its 2013 Annual Meeting of Shareholders on March 6, 2013. Because that date is more than 30 days earlier than the anniversary of the 2012 Annual Meeting, the Company has established October 10, 2012 as a reasonable deadline for shareholder proposals submitted pursuant to Rule 14a-8 under the Securities Exchange Act of 1934. Therefore, any proposal that a shareholder intends to present for action at the 2013 Annual Meeting must be received by the Company not later than October 10, 2012 in order for the proposal to be included in the proxy statement and form of proxy for the 2013 Annual Meeting. Any such proposal must meet the applicable requirements of the Securities Exchange Act of 1934 and the rules and regulations thereunder.</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Item 9.01. Financial Statements and Exhibits</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Exhibit 3. Amendment to the By-Laws of Bassett Furniture Industries,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422275</wp:posOffset>
            </wp:positionV>
            <wp:extent cx="725741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17"/>
          <w:szCs w:val="17"/>
          <w:color w:val="auto"/>
        </w:rPr>
        <w:t>Signatures</w:t>
      </w:r>
    </w:p>
    <w:p>
      <w:pPr>
        <w:spacing w:after="0" w:line="218" w:lineRule="exact"/>
        <w:rPr>
          <w:sz w:val="20"/>
          <w:szCs w:val="20"/>
          <w:color w:val="auto"/>
        </w:rPr>
      </w:pPr>
    </w:p>
    <w:p>
      <w:pPr>
        <w:ind w:firstLine="465"/>
        <w:spacing w:after="0" w:line="280"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163"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BASSETT FURNITURE INDUSTRIES, INCORPORATED</w:t>
      </w:r>
    </w:p>
    <w:p>
      <w:pPr>
        <w:spacing w:after="0" w:line="200" w:lineRule="exact"/>
        <w:rPr>
          <w:sz w:val="20"/>
          <w:szCs w:val="20"/>
          <w:color w:val="auto"/>
        </w:rPr>
      </w:pPr>
    </w:p>
    <w:p>
      <w:pPr>
        <w:spacing w:after="0" w:line="224" w:lineRule="exact"/>
        <w:rPr>
          <w:sz w:val="20"/>
          <w:szCs w:val="20"/>
          <w:color w:val="auto"/>
        </w:rPr>
      </w:pPr>
    </w:p>
    <w:p>
      <w:pPr>
        <w:spacing w:after="0"/>
        <w:tabs>
          <w:tab w:leader="none" w:pos="820" w:val="left"/>
          <w:tab w:leader="none" w:pos="5700" w:val="left"/>
          <w:tab w:leader="none" w:pos="626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July 17, 2012</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J. Michael Daniel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22860</wp:posOffset>
            </wp:positionV>
            <wp:extent cx="2392680"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92680" cy="1651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7"/>
          <w:szCs w:val="17"/>
          <w:color w:val="auto"/>
        </w:rPr>
        <w:t>J. Michael Daniel</w:t>
      </w:r>
    </w:p>
    <w:p>
      <w:pPr>
        <w:spacing w:after="0" w:line="22"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7"/>
          <w:szCs w:val="17"/>
          <w:color w:val="auto"/>
        </w:rPr>
        <w:t>Title:</w:t>
        <w:tab/>
        <w:t>Vice President, 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415290</wp:posOffset>
            </wp:positionV>
            <wp:extent cx="725741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180"/>
          </w:cols>
          <w:pgMar w:left="240" w:top="527" w:right="479" w:bottom="1440" w:gutter="0" w:footer="0" w:header="0"/>
        </w:sectPr>
      </w:pPr>
    </w:p>
    <w:bookmarkStart w:id="3" w:name="page4"/>
    <w:bookmarkEnd w:id="3"/>
    <w:p>
      <w:pPr>
        <w:jc w:val="center"/>
        <w:ind w:right="-1200"/>
        <w:spacing w:after="0"/>
        <w:rPr>
          <w:sz w:val="20"/>
          <w:szCs w:val="20"/>
          <w:color w:val="auto"/>
        </w:rPr>
      </w:pPr>
      <w:r>
        <w:rPr>
          <w:rFonts w:ascii="Arial" w:cs="Arial" w:eastAsia="Arial" w:hAnsi="Arial"/>
          <w:sz w:val="17"/>
          <w:szCs w:val="17"/>
          <w:color w:val="auto"/>
        </w:rPr>
        <w:t>EXHIBIT INDEX</w:t>
      </w:r>
    </w:p>
    <w:p>
      <w:pPr>
        <w:spacing w:after="0" w:line="218"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Description</w:t>
      </w:r>
    </w:p>
    <w:p>
      <w:pPr>
        <w:spacing w:after="0" w:line="218" w:lineRule="exact"/>
        <w:rPr>
          <w:sz w:val="20"/>
          <w:szCs w:val="20"/>
          <w:color w:val="auto"/>
        </w:rPr>
      </w:pPr>
    </w:p>
    <w:p>
      <w:pPr>
        <w:spacing w:after="0"/>
        <w:tabs>
          <w:tab w:leader="none" w:pos="2280" w:val="left"/>
        </w:tabs>
        <w:rPr>
          <w:sz w:val="20"/>
          <w:szCs w:val="20"/>
          <w:color w:val="auto"/>
        </w:rPr>
      </w:pPr>
      <w:r>
        <w:rPr>
          <w:rFonts w:ascii="Arial" w:cs="Arial" w:eastAsia="Arial" w:hAnsi="Arial"/>
          <w:sz w:val="17"/>
          <w:szCs w:val="17"/>
          <w:color w:val="auto"/>
        </w:rPr>
        <w:t>Exhibit No. 3</w:t>
      </w:r>
      <w:r>
        <w:rPr>
          <w:sz w:val="20"/>
          <w:szCs w:val="20"/>
          <w:color w:val="auto"/>
        </w:rPr>
        <w:tab/>
      </w:r>
      <w:r>
        <w:rPr>
          <w:rFonts w:ascii="Arial" w:cs="Arial" w:eastAsia="Arial" w:hAnsi="Arial"/>
          <w:sz w:val="15"/>
          <w:szCs w:val="15"/>
          <w:color w:val="auto"/>
        </w:rPr>
        <w:t>Amendment to By-Laws of Bassett Furniture Industries, Inc.</w:t>
      </w:r>
    </w:p>
    <w:p>
      <w:pPr>
        <w:sectPr>
          <w:pgSz w:w="11900" w:h="16838" w:orient="portrait"/>
          <w:cols w:equalWidth="0" w:num="1">
            <w:col w:w="10219"/>
          </w:cols>
          <w:pgMar w:left="240" w:top="553"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7"/>
          <w:szCs w:val="17"/>
          <w:b w:val="1"/>
          <w:bCs w:val="1"/>
          <w:color w:val="auto"/>
        </w:rPr>
        <w:t>Exhibit No. 3</w:t>
      </w:r>
    </w:p>
    <w:p>
      <w:pPr>
        <w:spacing w:after="0" w:line="269" w:lineRule="exact"/>
        <w:rPr>
          <w:sz w:val="20"/>
          <w:szCs w:val="20"/>
          <w:color w:val="auto"/>
        </w:rPr>
      </w:pPr>
    </w:p>
    <w:p>
      <w:pPr>
        <w:ind w:left="2880"/>
        <w:spacing w:after="0"/>
        <w:rPr>
          <w:sz w:val="20"/>
          <w:szCs w:val="20"/>
          <w:color w:val="auto"/>
        </w:rPr>
      </w:pPr>
      <w:r>
        <w:rPr>
          <w:rFonts w:ascii="Arial" w:cs="Arial" w:eastAsia="Arial" w:hAnsi="Arial"/>
          <w:sz w:val="17"/>
          <w:szCs w:val="17"/>
          <w:b w:val="1"/>
          <w:bCs w:val="1"/>
          <w:color w:val="auto"/>
        </w:rPr>
        <w:t>BASSETT FURNITURE INDUSTRIES, INCORPORATED</w:t>
      </w:r>
    </w:p>
    <w:p>
      <w:pPr>
        <w:spacing w:after="0" w:line="269" w:lineRule="exact"/>
        <w:rPr>
          <w:sz w:val="20"/>
          <w:szCs w:val="20"/>
          <w:color w:val="auto"/>
        </w:rPr>
      </w:pPr>
    </w:p>
    <w:p>
      <w:pPr>
        <w:jc w:val="center"/>
        <w:ind w:right="620"/>
        <w:spacing w:after="0"/>
        <w:rPr>
          <w:sz w:val="20"/>
          <w:szCs w:val="20"/>
          <w:color w:val="auto"/>
        </w:rPr>
      </w:pPr>
      <w:r>
        <w:rPr>
          <w:rFonts w:ascii="Arial" w:cs="Arial" w:eastAsia="Arial" w:hAnsi="Arial"/>
          <w:sz w:val="17"/>
          <w:szCs w:val="17"/>
          <w:b w:val="1"/>
          <w:bCs w:val="1"/>
          <w:color w:val="auto"/>
        </w:rPr>
        <w:t>Board of Directors</w:t>
      </w:r>
    </w:p>
    <w:p>
      <w:pPr>
        <w:spacing w:after="0" w:line="28" w:lineRule="exact"/>
        <w:rPr>
          <w:sz w:val="20"/>
          <w:szCs w:val="20"/>
          <w:color w:val="auto"/>
        </w:rPr>
      </w:pPr>
    </w:p>
    <w:p>
      <w:pPr>
        <w:jc w:val="center"/>
        <w:ind w:right="620"/>
        <w:spacing w:after="0"/>
        <w:rPr>
          <w:sz w:val="20"/>
          <w:szCs w:val="20"/>
          <w:color w:val="auto"/>
        </w:rPr>
      </w:pPr>
      <w:r>
        <w:rPr>
          <w:rFonts w:ascii="Arial" w:cs="Arial" w:eastAsia="Arial" w:hAnsi="Arial"/>
          <w:sz w:val="17"/>
          <w:szCs w:val="17"/>
          <w:b w:val="1"/>
          <w:bCs w:val="1"/>
          <w:color w:val="auto"/>
        </w:rPr>
        <w:t>July 11, 2012</w:t>
      </w:r>
    </w:p>
    <w:p>
      <w:pPr>
        <w:spacing w:after="0" w:line="252" w:lineRule="exact"/>
        <w:rPr>
          <w:sz w:val="20"/>
          <w:szCs w:val="20"/>
          <w:color w:val="auto"/>
        </w:rPr>
      </w:pPr>
    </w:p>
    <w:p>
      <w:pPr>
        <w:ind w:left="4260"/>
        <w:spacing w:after="0"/>
        <w:rPr>
          <w:sz w:val="20"/>
          <w:szCs w:val="20"/>
          <w:color w:val="auto"/>
        </w:rPr>
      </w:pPr>
      <w:r>
        <w:rPr>
          <w:rFonts w:ascii="Arial" w:cs="Arial" w:eastAsia="Arial" w:hAnsi="Arial"/>
          <w:sz w:val="17"/>
          <w:szCs w:val="17"/>
          <w:b w:val="1"/>
          <w:bCs w:val="1"/>
          <w:u w:val="single" w:color="auto"/>
          <w:color w:val="auto"/>
        </w:rPr>
        <w:t>Amendment of Bylaws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RESOLVED: </w:t>
      </w:r>
      <w:r>
        <w:rPr>
          <w:rFonts w:ascii="Arial" w:cs="Arial" w:eastAsia="Arial" w:hAnsi="Arial"/>
          <w:sz w:val="17"/>
          <w:szCs w:val="17"/>
          <w:color w:val="auto"/>
        </w:rPr>
        <w:t>that the first sentence of Article II, Section 1 of the Bylaws is hereby amended to read in its entirety as follows:</w:t>
      </w:r>
    </w:p>
    <w:p>
      <w:pPr>
        <w:spacing w:after="0" w:line="269" w:lineRule="exact"/>
        <w:rPr>
          <w:sz w:val="20"/>
          <w:szCs w:val="20"/>
          <w:color w:val="auto"/>
        </w:rPr>
      </w:pPr>
    </w:p>
    <w:p>
      <w:pPr>
        <w:jc w:val="both"/>
        <w:ind w:left="620" w:right="780"/>
        <w:spacing w:after="0" w:line="234" w:lineRule="auto"/>
        <w:rPr>
          <w:sz w:val="20"/>
          <w:szCs w:val="20"/>
          <w:color w:val="auto"/>
        </w:rPr>
      </w:pPr>
      <w:r>
        <w:rPr>
          <w:rFonts w:ascii="Arial" w:cs="Arial" w:eastAsia="Arial" w:hAnsi="Arial"/>
          <w:sz w:val="17"/>
          <w:szCs w:val="17"/>
          <w:color w:val="auto"/>
        </w:rPr>
        <w:t xml:space="preserve">“The annual meeting of the Shareholders shall be held on the </w:t>
      </w:r>
      <w:r>
        <w:rPr>
          <w:rFonts w:ascii="Arial" w:cs="Arial" w:eastAsia="Arial" w:hAnsi="Arial"/>
          <w:sz w:val="17"/>
          <w:szCs w:val="17"/>
          <w:color w:val="auto"/>
          <w:strike w:val="1"/>
        </w:rPr>
        <w:t>last Tuesday of February of each year and the hour</w:t>
      </w:r>
      <w:r>
        <w:rPr>
          <w:rFonts w:ascii="Arial" w:cs="Arial" w:eastAsia="Arial" w:hAnsi="Arial"/>
          <w:sz w:val="17"/>
          <w:szCs w:val="17"/>
          <w:b w:val="1"/>
          <w:bCs w:val="1"/>
          <w:u w:val="single" w:color="auto"/>
          <w:color w:val="auto"/>
        </w:rPr>
        <w:t>fifteenth (15</w:t>
      </w:r>
      <w:r>
        <w:rPr>
          <w:rFonts w:ascii="Arial" w:cs="Arial" w:eastAsia="Arial" w:hAnsi="Arial"/>
          <w:sz w:val="24"/>
          <w:szCs w:val="24"/>
          <w:b w:val="1"/>
          <w:bCs w:val="1"/>
          <w:u w:val="single" w:color="auto"/>
          <w:color w:val="auto"/>
          <w:vertAlign w:val="superscript"/>
        </w:rPr>
        <w:t>th</w:t>
      </w:r>
      <w:r>
        <w:rPr>
          <w:rFonts w:ascii="Arial" w:cs="Arial" w:eastAsia="Arial" w:hAnsi="Arial"/>
          <w:sz w:val="17"/>
          <w:szCs w:val="17"/>
          <w:b w:val="1"/>
          <w:bCs w:val="1"/>
          <w:u w:val="single" w:color="auto"/>
          <w:color w:val="auto"/>
        </w:rPr>
        <w:t>)</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Wednesday following the end of each fiscal year of the Corporation or on such other date as the Board of Directors shall determine, and the time</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set by the Chairman of the Board or by the President, for the purpose of electing Directors and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transaction of such other business as may </w:t>
      </w:r>
      <w:r>
        <w:rPr>
          <w:rFonts w:ascii="Arial" w:cs="Arial" w:eastAsia="Arial" w:hAnsi="Arial"/>
          <w:sz w:val="17"/>
          <w:szCs w:val="17"/>
          <w:b w:val="1"/>
          <w:bCs w:val="1"/>
          <w:u w:val="single" w:color="auto"/>
          <w:color w:val="auto"/>
        </w:rPr>
        <w:t>properly</w:t>
      </w:r>
      <w:r>
        <w:rPr>
          <w:rFonts w:ascii="Arial" w:cs="Arial" w:eastAsia="Arial" w:hAnsi="Arial"/>
          <w:sz w:val="17"/>
          <w:szCs w:val="17"/>
          <w:color w:val="auto"/>
        </w:rPr>
        <w:t xml:space="preserve"> come before the meeting.”</w:t>
      </w:r>
    </w:p>
    <w:sectPr>
      <w:pgSz w:w="11900" w:h="16838" w:orient="portrait"/>
      <w:cols w:equalWidth="0" w:num="1">
        <w:col w:w="10800"/>
      </w:cols>
      <w:pgMar w:left="86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2019-12-09T06:46:21Z</dcterms:created>
  <dcterms:modified xsi:type="dcterms:W3CDTF">2019-12-09T06:46:21Z</dcterms:modified>
</cp:coreProperties>
</file>