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36" w:lineRule="exact"/>
        <w:rPr>
          <w:sz w:val="24"/>
          <w:szCs w:val="24"/>
          <w:color w:val="auto"/>
        </w:rPr>
      </w:pPr>
    </w:p>
    <w:p>
      <w:pPr>
        <w:ind w:left="3920" w:right="1960" w:hanging="3912"/>
        <w:spacing w:after="0" w:line="503" w:lineRule="auto"/>
        <w:tabs>
          <w:tab w:leader="none" w:pos="4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November 29, 2025</w:t>
      </w: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000-00209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BASSETT FURNITURE INDUSTRIES, INCORPORATED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54-0135270</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7"/>
              </w:rPr>
              <w:t>3525 FAIRYSTONE PARK HIGHWAY</w:t>
            </w:r>
          </w:p>
        </w:tc>
        <w:tc>
          <w:tcPr>
            <w:tcW w:w="3060" w:type="dxa"/>
            <w:vAlign w:val="bottom"/>
          </w:tcPr>
          <w:p>
            <w:pPr>
              <w:spacing w:after="0"/>
              <w:rPr>
                <w:sz w:val="24"/>
                <w:szCs w:val="24"/>
                <w:color w:val="auto"/>
              </w:rPr>
            </w:pPr>
          </w:p>
        </w:tc>
      </w:tr>
      <w:tr>
        <w:trPr>
          <w:trHeight w:val="220"/>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BASSETT, VIRGINIA</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24055</w:t>
            </w:r>
          </w:p>
        </w:tc>
      </w:tr>
      <w:tr>
        <w:trPr>
          <w:trHeight w:val="234"/>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276/629-6000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6040" w:type="dxa"/>
            <w:vAlign w:val="bottom"/>
            <w:gridSpan w:val="5"/>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960" w:type="dxa"/>
            <w:vAlign w:val="bottom"/>
          </w:tcPr>
          <w:p>
            <w:pPr>
              <w:spacing w:after="0"/>
              <w:rPr>
                <w:sz w:val="20"/>
                <w:szCs w:val="20"/>
                <w:color w:val="auto"/>
              </w:rPr>
            </w:pPr>
          </w:p>
        </w:tc>
      </w:tr>
      <w:tr>
        <w:trPr>
          <w:trHeight w:val="432"/>
        </w:trPr>
        <w:tc>
          <w:tcPr>
            <w:tcW w:w="32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00" w:type="dxa"/>
            <w:vAlign w:val="bottom"/>
          </w:tcPr>
          <w:p>
            <w:pPr>
              <w:spacing w:after="0"/>
              <w:rPr>
                <w:sz w:val="24"/>
                <w:szCs w:val="24"/>
                <w:color w:val="auto"/>
              </w:rPr>
            </w:pPr>
          </w:p>
        </w:tc>
        <w:tc>
          <w:tcPr>
            <w:tcW w:w="3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2"/>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Common Stock ($5.00 par value)</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BSET</w:t>
            </w:r>
          </w:p>
        </w:tc>
        <w:tc>
          <w:tcPr>
            <w:tcW w:w="200" w:type="dxa"/>
            <w:vAlign w:val="bottom"/>
          </w:tcPr>
          <w:p>
            <w:pPr>
              <w:spacing w:after="0"/>
              <w:rPr>
                <w:sz w:val="20"/>
                <w:szCs w:val="20"/>
                <w:color w:val="auto"/>
              </w:rPr>
            </w:pPr>
          </w:p>
        </w:tc>
        <w:tc>
          <w:tcPr>
            <w:tcW w:w="36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410"/>
        </w:trPr>
        <w:tc>
          <w:tcPr>
            <w:tcW w:w="7440" w:type="dxa"/>
            <w:vAlign w:val="bottom"/>
            <w:gridSpan w:val="4"/>
          </w:tcPr>
          <w:p>
            <w:pPr>
              <w:ind w:left="29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0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960" w:type="dxa"/>
            <w:vAlign w:val="bottom"/>
          </w:tcPr>
          <w:p>
            <w:pPr>
              <w:spacing w:after="0"/>
              <w:rPr>
                <w:sz w:val="24"/>
                <w:szCs w:val="24"/>
                <w:color w:val="auto"/>
              </w:rPr>
            </w:pPr>
          </w:p>
        </w:tc>
      </w:tr>
      <w:tr>
        <w:trPr>
          <w:trHeight w:val="460"/>
        </w:trPr>
        <w:tc>
          <w:tcPr>
            <w:tcW w:w="928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960" w:type="dxa"/>
            <w:vAlign w:val="bottom"/>
          </w:tcPr>
          <w:p>
            <w:pPr>
              <w:jc w:val="right"/>
              <w:ind w:right="129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432"/>
        </w:trPr>
        <w:tc>
          <w:tcPr>
            <w:tcW w:w="928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960" w:type="dxa"/>
            <w:vAlign w:val="bottom"/>
          </w:tcPr>
          <w:p>
            <w:pPr>
              <w:jc w:val="right"/>
              <w:ind w:right="133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at least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1140" w:type="dxa"/>
        <w:tblCellMar>
          <w:top w:w="0" w:type="dxa"/>
          <w:left w:w="0" w:type="dxa"/>
          <w:bottom w:w="0" w:type="dxa"/>
          <w:right w:w="0" w:type="dxa"/>
        </w:tblCellMar>
      </w:tblP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line="207" w:lineRule="exact"/>
        <w:tabs>
          <w:tab w:leader="none" w:pos="612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w:t>
      </w:r>
    </w:p>
    <w:p>
      <w:pPr>
        <w:spacing w:after="0" w:line="22" w:lineRule="exact"/>
        <w:rPr>
          <w:sz w:val="24"/>
          <w:szCs w:val="24"/>
          <w:color w:val="auto"/>
        </w:rPr>
      </w:pPr>
    </w:p>
    <w:p>
      <w:pPr>
        <w:spacing w:after="0" w:line="207" w:lineRule="exact"/>
        <w:tabs>
          <w:tab w:leader="none" w:pos="8740" w:val="left"/>
        </w:tabs>
        <w:rPr>
          <w:sz w:val="20"/>
          <w:szCs w:val="20"/>
          <w:color w:val="auto"/>
        </w:rPr>
      </w:pPr>
      <w:r>
        <w:rPr>
          <w:rFonts w:ascii="Times New Roman" w:cs="Times New Roman" w:eastAsia="Times New Roman" w:hAnsi="Times New Roman"/>
          <w:sz w:val="18"/>
          <w:szCs w:val="18"/>
          <w:color w:val="auto"/>
        </w:rPr>
        <w:t>filing reflect the correction of an error to previously issued financial statements.</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790" w:right="339" w:bottom="0" w:gutter="0" w:footer="0" w:header="0"/>
        </w:sectPr>
      </w:pPr>
    </w:p>
    <w:bookmarkStart w:id="1" w:name="page2"/>
    <w:bookmarkEnd w:id="1"/>
    <w:p>
      <w:pPr>
        <w:spacing w:after="0" w:line="207" w:lineRule="exact"/>
        <w:tabs>
          <w:tab w:leader="none" w:pos="87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2" w:lineRule="exact"/>
        <w:rPr>
          <w:sz w:val="20"/>
          <w:szCs w:val="20"/>
          <w:color w:val="auto"/>
        </w:rPr>
      </w:pPr>
    </w:p>
    <w:p>
      <w:pPr>
        <w:spacing w:after="0" w:line="207" w:lineRule="exact"/>
        <w:tabs>
          <w:tab w:leader="none" w:pos="9400" w:val="left"/>
        </w:tabs>
        <w:rPr>
          <w:sz w:val="20"/>
          <w:szCs w:val="20"/>
          <w:color w:val="auto"/>
        </w:rPr>
      </w:pPr>
      <w:r>
        <w:rPr>
          <w:rFonts w:ascii="Times New Roman" w:cs="Times New Roman" w:eastAsia="Times New Roman" w:hAnsi="Times New Roman"/>
          <w:sz w:val="18"/>
          <w:szCs w:val="18"/>
          <w:color w:val="auto"/>
        </w:rPr>
        <w:t>by any of the registrant’s executive officers during the relevant recovery period pursuant to §240.10D-1(b).</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20"/>
          </w:cols>
          <w:pgMar w:left="320" w:top="580" w:right="35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ectPr>
          <w:pgSz w:w="11900" w:h="16838" w:orient="portrait"/>
          <w:cols w:equalWidth="0" w:num="5">
            <w:col w:w="8180" w:space="180"/>
            <w:col w:w="160" w:space="80"/>
            <w:col w:w="260" w:space="180"/>
            <w:col w:w="180" w:space="80"/>
            <w:col w:w="1920"/>
          </w:cols>
          <w:pgMar w:left="320" w:top="580"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May 31, 2025 was $133,570,442.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January 28, 2026 was 8,654,370</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Portions of the Bassett Furniture Industries, Incorporated definitive Proxy Statement for its 2026 Annual Meeting of Stockholders to be held March 11, 2026, to be filed with the Securities and Exchange Commission pursuant to Regulation 14A under the Securities Exchange Act of 1934 (the “Proxy Statement”)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1C.</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Cybersecurity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7A.</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9B.</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w:t>
            </w: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90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4" w:name="page5"/>
    <w:bookmarkEnd w:id="4"/>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herein, unless the context otherwise requires,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Bassett Furniture Industries, Incorporated and its subsidiaries. References to 2025, 2024 and 2023 mean the fiscal years ended November 29, 2025, November 30,2024 and November 25, 2023. Please note that fiscal 2024 contained 53 weeks while fiscal 2025 and 2023 each contained 52 weeks.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SAFE-HARBOR,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“anticipates”, “believes”, “plans”, “estimates”, “expects”, “aimed” and “intends” or words or phrases of similar expression. These forward-looking statements involve certain risks and uncertainties. No assurance can be given that any such matters will be realized. Important factors, which should be read in conjunction with Item 1A “Risk Factors”, that could cause actual results to differ materially from those contemplated by such forward-looking statements include:</w:t>
      </w:r>
    </w:p>
    <w:p>
      <w:pPr>
        <w:spacing w:after="0" w:line="187" w:lineRule="exact"/>
        <w:rPr>
          <w:sz w:val="20"/>
          <w:szCs w:val="20"/>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internet and consumer demand for home furnishings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report after the date hereof, except as may be required by law. In light of these risks and uncertainties, you should keep in mind that the events described in any forward-looking statement made in this report might not occur.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86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While traffic to the website decreased 8% during 2025, sales conversion rates increased 28% resulting in a 25% increase in total web sales.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the end of 2024, we had substantially completed the liquidation of Noa Home’s assets and liabilities. In the second quarter of 2024 we recognized non-cash charges totaling $2,401 related to the impairment of certain long-lived assets of Noa Home and the establishment of a reserve against Noa Home’s remaining inventory at that time. Upon substantially completing the liquidation of Noa Home at the end of the fourth quarter of 2024, we recognized a charge of $962 associated with the transfer of the cumulative translation losses out of accumulated other comprehensive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strategically aligned our business into two reportable segments:</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Retail—Company-owned stores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Segment 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wholesale segment is involved principally in the design, manufacturing and sourcing of furniture products that are distributed through our BHF store network (both Company-owned and licensee-owned stores) and various independent retailers. The wholesale furniture industry is very competitive and there are a large number of manufacturers both within and outside the United States who compete in the market on the basis of product quality, price, style, delivery and service. Additionally, many retailers source imported product directly, thus bypassing domestic furniture manufacturers and wholesale importers. We believe that we can be successful in the current competitive environment because our products represent excellent value combining attractive prices, quality and styling, prompt delivery, and superior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shipments by category for the last three fiscal years, excluding intercompany sales to our retail segment,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59,391</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$136,314</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55,168</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$ 134,449</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89,005</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66,363</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$ 155,368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w:t>
            </w:r>
          </w:p>
        </w:tc>
        <w:tc>
          <w:tcPr>
            <w:tcW w:w="3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3,252</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19,736</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34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1,920</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17,625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3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27,872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Wood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16,297</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28,654</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15,932</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29,667</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20,070</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37,427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Bassett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12,835</w:t>
            </w:r>
          </w:p>
        </w:tc>
        <w:tc>
          <w:tcPr>
            <w:tcW w:w="340" w:type="dxa"/>
            <w:vAlign w:val="bottom"/>
          </w:tcPr>
          <w:p>
            <w:pPr>
              <w:spacing w:after="0"/>
              <w:rPr>
                <w:sz w:val="16"/>
                <w:szCs w:val="16"/>
                <w:color w:val="auto"/>
              </w:rPr>
            </w:pPr>
          </w:p>
        </w:tc>
        <w:tc>
          <w:tcPr>
            <w:tcW w:w="7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17,075</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29,910</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11,720</w:t>
            </w:r>
          </w:p>
        </w:tc>
        <w:tc>
          <w:tcPr>
            <w:tcW w:w="340" w:type="dxa"/>
            <w:vAlign w:val="bottom"/>
          </w:tcPr>
          <w:p>
            <w:pPr>
              <w:spacing w:after="0"/>
              <w:rPr>
                <w:sz w:val="16"/>
                <w:szCs w:val="16"/>
                <w:color w:val="auto"/>
              </w:rPr>
            </w:pPr>
          </w:p>
        </w:tc>
        <w:tc>
          <w:tcPr>
            <w:tcW w:w="7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14,001</w:t>
            </w:r>
          </w:p>
        </w:tc>
        <w:tc>
          <w:tcPr>
            <w:tcW w:w="9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25,721</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300" w:type="dxa"/>
            <w:vAlign w:val="bottom"/>
          </w:tcPr>
          <w:p>
            <w:pPr>
              <w:spacing w:after="0"/>
              <w:rPr>
                <w:sz w:val="16"/>
                <w:szCs w:val="16"/>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15,915</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28,244</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Casegoods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118,599</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96,015</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$214,614</w:t>
            </w:r>
          </w:p>
        </w:tc>
        <w:tc>
          <w:tcPr>
            <w:tcW w:w="64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120,441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87,021</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$ 207,462</w:t>
            </w:r>
          </w:p>
        </w:tc>
        <w:tc>
          <w:tcPr>
            <w:tcW w:w="64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145,392</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103,519</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$ 248,911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23% of our 2025 wholesale sales were of imported product compared to 20% in 2024 and 22% in 2023. We define imported product as fully finished product that is sourced. Our domestic product includes certain products that contain components which were also sourced. We continue to believe that a blended strategy including domestically produced products primarily of a custom-order nature combined with sourcing of major collections provides the best value and quality of products to our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$19,519 at November 29, 2025 and $21,750 at November 30,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lumber, fabric, leather, foam and other materials in the production of wood and upholstered furniture. These components are purchased from a variety of domestic and international suppliers and are widely available. The price and availability of foam, which is highly dependent on the cost of oil and available capacity of oil refineries, can be subject to significant volatility from time to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Retail Segment Overview – Company-Owned Retail Stores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retail—Company-owned stores segment consists of 57 BHF stores that provide consumers with a friendly and casual environment for buying furniture and accessories. The retail furniture industry remains very competitive and includes local furniture stores, regional furniture retailers, national department and chain stores, single-vendor branded retailers and on-line retailers. As a whole, our store network which includes 29 licensee-owned stores in addition to the 57 BHF Company-owned stores, ranks in the top 40 in retail furniture sales in the United States. The following table shows the number of Company-owned stores by state at November 29, 2025:</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26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Stores</w:t>
            </w:r>
          </w:p>
        </w:tc>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Stores</w:t>
            </w:r>
          </w:p>
        </w:tc>
      </w:tr>
      <w:tr>
        <w:trPr>
          <w:trHeight w:val="20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7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7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9"/>
              </w:rPr>
              <w:t>North Carolina</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5</w:t>
            </w: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7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9"/>
              </w:rPr>
              <w:t>South Carolina</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7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74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8"/>
                <w:szCs w:val="18"/>
                <w:color w:val="auto"/>
              </w:rPr>
            </w:pP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Company-owned retail stores by major product category for the last three fiscal years are summarized below:</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117,231</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111,943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134,000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6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9,121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4,990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1,951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31,885</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32,201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36,732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6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29,218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26,179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32,252</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29,226</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29,250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31,005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2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216,681</w:t>
            </w:r>
          </w:p>
        </w:tc>
        <w:tc>
          <w:tcPr>
            <w:tcW w:w="920" w:type="dxa"/>
            <w:vAlign w:val="bottom"/>
            <w:tcBorders>
              <w:right w:val="single" w:sz="8" w:color="CCEEFF"/>
            </w:tcBorders>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204,563</w:t>
            </w:r>
          </w:p>
        </w:tc>
        <w:tc>
          <w:tcPr>
            <w:tcW w:w="880" w:type="dxa"/>
            <w:vAlign w:val="bottom"/>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235,940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of goods other than Bassett-branded products, such as accessories and bedding, and also includes the sale of furniture protection plans.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 to examine the performance of every one of our stores. Store traffic has been declining and the effect on our retail model has become increasingly challenging. We believe that on a market-by-market basis, there will be fewer stores in the future. We will continue to evaluate store-by-store performance as we seek the optimal store count in the markets in which we compete at retail. We closed one store in 2025 and expect to open two new stores in 2026. We are also planning to relocate one store within the same market in late 2026 or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We consider our corporate functions to be other business activities and have aggregated them with any of our operating segments that do not meet the requirements to be reportable segments. As of and for the periods ended November 29, 2025, November 30, 2024 and November 25, 2023, the only such operating segment included in Corporate and other was Noa Home, which was acquired on September 2, 2022. All sales reported in our Corporate and other category were attributable to Noa Home, which generated substantially all of its sales outside of the United States. During the second quarter of 2024 we concluded that Noa Home was not likely to achieve profitability in the foreseeable future and decided to cease operations by selling the inventory in an orderly fashion. As of the end of 2024, we had substantially completed the liquidation of Noa Home.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trademarks, including “Bassett” and the names of some of our marketing divisions, products and collections, are significant to the conduct of our business. This is important due to consumer recognition of the names and identification with our broad range of products. Certain of our trademarks are licensed to independent retailers for use in full store and store gallery presentations of our products. We also own copyrights that are important in the conduct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materially complied with all federal, state and local standards regarding safety, health and pollution and environmental controls.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be affected by laws and regulations of countries from which we source goods. Labor, environmental and other laws and regulations change over time, especially in the developing countries from which we source. Changes in these areas of regulation could negatively impact the cost and availability of sourced goods. The timing and extent to which these regulations could have an adverse effect on our financial position or results of operations is difficult to predict. In addition, the imposition of new or increased duties, tariffs, retaliatory tariffs and trade limitations with respect to foreign-sourced products could negatively impact the cost of such goods. While we currently do not believe that costs associated with such trade policies will have a material adverse effect on our financial position or future results of operations, changes to such policies in the future could negatively impact our financial position or future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employed 1,194 people as of November 29, 2025. Our associate count represents a decrease of 34 from a year ago, 29 due to headcount reductions in our manufacturing facilities in response to business conditions and 9 in our retail segment primarily attributable to the closure of a store location and the consolidation of several warehouses. Headcount by segment is as follows:</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 in the wholesale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 in the retail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 in the corporate segment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approach our workplace culture by being </w:t>
      </w:r>
      <w:r>
        <w:rPr>
          <w:rFonts w:ascii="Times New Roman" w:cs="Times New Roman" w:eastAsia="Times New Roman" w:hAnsi="Times New Roman"/>
          <w:sz w:val="18"/>
          <w:szCs w:val="18"/>
          <w:b w:val="1"/>
          <w:bCs w:val="1"/>
          <w:i w:val="1"/>
          <w:iCs w:val="1"/>
          <w:color w:val="auto"/>
        </w:rPr>
        <w:t>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 Each Other</w:t>
      </w:r>
      <w:r>
        <w:rPr>
          <w:rFonts w:ascii="Times New Roman" w:cs="Times New Roman" w:eastAsia="Times New Roman" w:hAnsi="Times New Roman"/>
          <w:sz w:val="18"/>
          <w:szCs w:val="18"/>
          <w:color w:val="auto"/>
        </w:rPr>
        <w:t>, the tenets of which include fostering a workplace that promotes respect for each other, investing in our associates’ well-being, providing safe and comfortable work environments, offering opportunities to develop personally and professionally, being good stewards of the environment, and giving back to the communities in which we work and live. We believe that these investments are crucial to the success of our associates and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Focus Group Study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we conducted a focus group study, facilitated by a third-party consultant, in our manufacturing facilities and our corporate office. Meeting in groups of 8-10, approximately 20% of our associates participated and shared their thoughts about the Company and their work environment. This information was provided to senior management by the consultant in location-specific summary reports. Based on opinions shared by the focus groups, we gained valuable insight into how we can improve our work environments and better communicate with our associates.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Respect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the diversity of our associates as an essential component in the way we do business. It continues to be Bassett’s policy to be equitable and impartial in our relations with our associates and to base all employment-related decisions upon valid, job-related factors, without regard to race, color, religion, national origin, age, sex, physical or mental disability, genetic information, veteran or other protected status.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maintain and enforce our policy prohibiting discrimination and harassment in our workplace. Our managers are trained in how to prevent, recognize and respond to possible inappropriate behavior. Associates have several available avenues for reporting concerns, including a confidential hotline. We promptly and carefully investigate each complaint of harassment or discrimination. More details about our commitment to preventing discrimination and harassment in our workplaces are available on our website.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Quality of 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invest in the physical and mental well-being of our associates, their spouses and their children.</w:t>
      </w:r>
    </w:p>
    <w:p>
      <w:pPr>
        <w:spacing w:after="0" w:line="27" w:lineRule="exact"/>
        <w:rPr>
          <w:sz w:val="20"/>
          <w:szCs w:val="20"/>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benefits and wellness app, free to our associates and their dependents, assists with locating best-in-class, in terms of quality and cost, healthcare providers and facilities, along with free virtual exercise therapy for back and joint care.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several free online mental and behavioral health resources, with unlimited access to board-certified psychiatrists and licensed therapists.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wellness programs, including onsite health clinics, personalized health coaching, mental health counseling, and incentivized healthy lifestyle choices, are designed to improve associate health and reduce healthcare costs for both the associate and the Company.</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opportunities for our associates to meet with a certified financial planner for personalized retirement planning and budget counseling.</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comprehensive benefit plans including Company-subsidized health insurance, 401(k) Plan with Company matching contributions, and paid time off. We believe our benefit plans are competitive and meet the needs of most of our associates.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our facilities continue, which improve our associates’ safety and comfort, and increase efficiency. These include:</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installation of air quality control equipment at our Martinsville, VA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Roof replacement and a complete freight elevator refurbishment at our Central Warehouse in Bassett, VA.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a new HVAC system at one of our upholstery manufacturing facilities in Newton, 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a biometric (finger scan) building entry system at our Corporate Office to improve security.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comprehensive human resources, benefits, payroll and timekeeping system gives our associates the ability to view, and where applicable, update their personal information, benefits enrollments, pay history and time worked in real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our “Opportunities For Improvement” program, associates can submit an “OFI” about a job-related issue they’ve experienced or observed and a suggestion for improvement. Examples include concerns related to product quality, process improvement, safety and communication issues.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opportunities to our associates for educational and skill development, including: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for associates who desire to further their education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training for managers, with classes completed monthly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for customer-facing associates designed to enhance the in-store and follow up experiences for our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and Civic Responsibility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Representing our commitment to sustainably sourced hardwoods, each Arbor Day since 2021, over 30 of our associates travel to central Ohio to take part in the planting of Appalachian hardwood seedlings. This event is hosted by our BenchMade supply partners, and over 220,000 trees have been planted to date – and counting. Additionally, we remain committed to our recycling efforts. Materials recycled in 2025 include:</w:t>
      </w:r>
    </w:p>
    <w:p>
      <w:pPr>
        <w:spacing w:after="0" w:line="163"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Tons</w:t>
            </w:r>
          </w:p>
        </w:tc>
        <w:tc>
          <w:tcPr>
            <w:tcW w:w="354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Tons</w:t>
            </w:r>
          </w:p>
        </w:tc>
      </w:tr>
      <w:tr>
        <w:trPr>
          <w:trHeight w:val="20"/>
        </w:trPr>
        <w:tc>
          <w:tcPr>
            <w:tcW w:w="18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 Dust</w:t>
            </w:r>
          </w:p>
        </w:tc>
        <w:tc>
          <w:tcPr>
            <w:tcW w:w="25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8"/>
                <w:szCs w:val="18"/>
                <w:color w:val="auto"/>
                <w:w w:val="93"/>
              </w:rPr>
              <w:t>1,333</w:t>
            </w:r>
          </w:p>
        </w:tc>
        <w:tc>
          <w:tcPr>
            <w:tcW w:w="35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Fabric Scraps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7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Paper/Cardboard</w:t>
            </w:r>
          </w:p>
        </w:tc>
        <w:tc>
          <w:tcPr>
            <w:tcW w:w="2560" w:type="dxa"/>
            <w:vAlign w:val="bottom"/>
            <w:gridSpan w:val="2"/>
          </w:tcPr>
          <w:p>
            <w:pPr>
              <w:jc w:val="right"/>
              <w:ind w:right="2160"/>
              <w:spacing w:after="0"/>
              <w:rPr>
                <w:sz w:val="20"/>
                <w:szCs w:val="20"/>
                <w:color w:val="auto"/>
              </w:rPr>
            </w:pPr>
            <w:r>
              <w:rPr>
                <w:rFonts w:ascii="Times New Roman" w:cs="Times New Roman" w:eastAsia="Times New Roman" w:hAnsi="Times New Roman"/>
                <w:sz w:val="18"/>
                <w:szCs w:val="18"/>
                <w:color w:val="auto"/>
              </w:rPr>
              <w:t>162</w:t>
            </w:r>
          </w:p>
        </w:tc>
        <w:tc>
          <w:tcPr>
            <w:tcW w:w="35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Wood Pallets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Metal/Electronics</w:t>
            </w:r>
          </w:p>
        </w:tc>
        <w:tc>
          <w:tcPr>
            <w:tcW w:w="25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8"/>
                <w:szCs w:val="18"/>
                <w:color w:val="auto"/>
              </w:rPr>
              <w:t>56</w:t>
            </w:r>
          </w:p>
        </w:tc>
        <w:tc>
          <w:tcPr>
            <w:tcW w:w="35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Finishing Materials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Plastic</w:t>
            </w:r>
          </w:p>
        </w:tc>
        <w:tc>
          <w:tcPr>
            <w:tcW w:w="2560" w:type="dxa"/>
            <w:vAlign w:val="bottom"/>
            <w:gridSpan w:val="2"/>
          </w:tcPr>
          <w:p>
            <w:pPr>
              <w:jc w:val="right"/>
              <w:ind w:right="2160"/>
              <w:spacing w:after="0"/>
              <w:rPr>
                <w:sz w:val="20"/>
                <w:szCs w:val="20"/>
                <w:color w:val="auto"/>
              </w:rPr>
            </w:pPr>
            <w:r>
              <w:rPr>
                <w:rFonts w:ascii="Times New Roman" w:cs="Times New Roman" w:eastAsia="Times New Roman" w:hAnsi="Times New Roman"/>
                <w:sz w:val="18"/>
                <w:szCs w:val="18"/>
                <w:color w:val="auto"/>
              </w:rPr>
              <w:t>36</w:t>
            </w: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Foam</w:t>
            </w:r>
          </w:p>
        </w:tc>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9,450 cubic</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feet</w:t>
            </w:r>
          </w:p>
        </w:tc>
        <w:tc>
          <w:tcPr>
            <w:tcW w:w="3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we partnered with the mission-driven team from Military Makeover with Montel® to design and furnish a home for a North Carolina veteran and his family. Additionally, we supported numerous other charitable and civic organizations with monetary and in-kind donations.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risk exposure related to our customers, consisting primarily of trade accounts receivable along with certain guarantees, net of recognized reserves, totaled approximately $18,528 and $18,281 at November 29, 2025 and November 30, 2024, respectively. At November 29, 2025 and November 30, 2024, approximately 41% and 43%, respectively, of the aggregate risk exposure, net of reserves, was attributable to five customers. In fiscal 2025, 2024 and 2023, no customer accounted for more than 10% of total consolidated net sales.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our annual, quarterly and current reports, proxy statements and other information with the SEC. Our filings with the Securities and Exchange Commission (“SEC”) are available to the public at the SEC’s website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website, www.bassettfurniture.com, we make available free of charge as soon as reasonably practicable after electronically filing or furnishing with the SEC, our annual report on Form 10-K, quarterly reports on Form 10-Q, current reports on Form 8-K and any amendments thereto.</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information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The risk factors below represent what we believe are the known material risk factors with respect to us and our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risks could materially adversely affect our business, operations, industry, financial position or future financial results.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Retail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volatile retail environment and changing economic conditions that may further adversely affect consumer demand and spending.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home furnishings industry has been subject to cyclical variations in the general economy and to uncertainty regarding future economic prospects. Should current economic conditions weaken, the current rate of housing starts continue to decline, or rising inflation persist, consumer confidence and demand for home furnishings could deteriorate which could adversely affect our business through its impact on the performance of our Company-owned stores, as well as our licensees and the ability of a number of them to meet their obligations to us.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face significant competition from national, regional and local retailers of home furnishings, including increasing on-line competition via the internet.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market for home furnishings is highly fragmented and intensely competitive. We currently compete against a diverse group of retailers, including national department stores, regional or independent specialty stores, and dedicated franchises of furniture manufacturers. National mass merchants such as Costco also have limited product offerings. We also compete with retailers that market products through store catalogs and the internet. In addition, there are few barriers to entry into our current and contemplated markets, and new competitors may enter our current or future markets at any time. We have also seen increasing competition from retailers offering consumers the ability to purchase home furnishings via the internet for home delivery, and this trend is expected to continue. Our existing competitors or new entrants into our industry may use a number of different strategies to compete against us, including aggressive advertising, pricing and marketing, extension of credit to customers on terms more favorable than we offer, and expansion into markets where we currently operate. Competition from any of these sources could cause us to lose market share, revenues and customers, increase expenditures or reduce prices, any of which could have a material adverse effect on our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licensee-owned stores may not be able to meet their obligations to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significant amount of accounts receivable attributable to our network of licensee-owned stores. We also guarantee one lease each for two licensees. If these stores do not generate the necessary level of sales and profits, the licensees may not be able to fulfill their obligations to us resulting in additional bad debt expenses and real estate related losses.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Brand and Product Offerings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anticipate or respond to changes in consumer tastes and trends in a timely manner could adversely impact our business,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furniture are dependent upon consumer acceptance of our designs, styles, quality and price. As with all retailers, our business is susceptible to changes in consumer tastes and trends. We attempt to monitor changes in consumer tastes and home design trends through attendance at international industry events and fashion shows, internal marketing research, and communication with our retailers and design consultants who provide valuable input on consumer tendencies. However, such tastes and trends can change rapidly and any delay or failure to anticipate or respond to changing consumer tastes and trends in a timely manner could adversely impact our business, operating results and financial condition.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certain suppliers may require extensive advance notice of our requirements in order to produce products in the quantities we desire. This long lead time may require us to place orders far in advance of the time when certain products will be offered for sale, thereby exposing us to risks relating to shifts in consumer demand and trends, and any downturn in the U.S. economy.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brand, marketing and advertising efforts and pricing strategies, and if we are not able to maintain and enhance our brand, or if we are not successful in these efforts and strategies, our business and operating results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Maintaining and enhancing our brand is critical to our ability to expand our base of customers and drive increased traffic at both Company-owned and licensee-owned stores and on our website.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 We have also invested heavily in our website and e-commerce. We cannot provide assurance that our marketing, advertising and other efforts to promote and maintain awareness of our brand will not require us to incur substantial costs. If these efforts are unsuccessful or we incur substantial costs in connection with these efforts, our business, operating results and financial condition could be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Material Sourcing and Supply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foreign sources of production for a portion of our products exposes us to certain additional risks associated with international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foreign sources for the supply of certain of our products exposes us to risks associated with overseas sourcing. These risks are related to government regulation, volatile ocean freight costs, delays in shipments, and extended lead time in ordering. The U.S. government as well as governments in the foreign countries where we source our products may change their laws, regulations and policies, including those related to tariffs and trade barriers, investments, taxation and exchange controls which could make it more difficult to service our customers resulting in an adverse effect on our earnings.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raw materials could result in increased costs or cause production delays which might result in a decline in sales, either of which could adversely impact our earnings.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various types of wood, foam, fibers, fabrics, leathers, and other raw materials in manufacturing our furniture. Certain of our raw materials, including fabrics, are purchased both abroad and domestically. Fluctuations in the price, availability and quality of raw materials could result in increased costs or a delay in manufacturing our products, which in turn could result in a delay in delivering products to our customers. For example, lumber prices fluctuate over time based on factors such as weather and demand, which in turn impact availability. There is no guarantee that we will be able to successfully pass along additional cost increases as they arise and rising inflation could have an adverse impact upon consumer demand for discretionary items such as home furnishings. Production delays or upward trends in raw material prices could result in lower sales or margins, thereby adversely impacting our earnings.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Electronic Data Processing and Digital Information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extensively on computer systems to process transactions, summarize results and manage our business. Disruptions in both our primary and back-up systems could adversely affect our business and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and back-up computer systems are subject to damage or interruption from power outages, computer and telecommunications failures, computer viruses, security breaches, natural disasters and errors by employees. Though losses arising from some of these issues would be covered by insurance, interruptions of our critical business computer systems or failure of our back-up systems could reduce our sales or result in longer production times. If our critical business computer systems or back-up systems are damaged or cease to function properly, we may have to make a significant investment to repair or replace them. We have been a target of a cybersecurity attack in the past, and while such attack did not result in a material impact on our operations, business, customer relationships or reputation, we can provide no assurance that cybersecurity attacks or incidents in the future will not have a material adverse impact on our business.</w:t>
      </w:r>
    </w:p>
    <w:p>
      <w:pPr>
        <w:spacing w:after="0" w:line="18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and may continue in the future to incur costs resulting from security risks we face in connection with our electronic processing, storage and transmission of confidential information whether on computer systems maintained on our internal network or by third parties that may host certain of our systems. We may also incur reputational harm resulting from these security risks.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accept electronic payment cards in our stores and also gather certain personal identifiable information in the processing of our retail sales transactions. We also store and process confidential information pertaining to our employees and other third parties on our networks. We may in the future become subject to claims for purportedly fraudulent transactions arising out of the actual or alleged theft of credit or debit card information. In addition, if there were a disclosure of confidential information provided by, or concerning, our employees, customers or other third parties, including through inadvertent disclosure, unapproved dissemination, or unauthorized access, our reputation could be harmed, and we could be subject to civil or criminal liability and regulatory actions. Proceedings related to theft of credit or debit card information may be brought by payment card providers, banks and credit unions that issue cards, cardholders (either individually or as part of a class action lawsuit) and federal and state regulators. Any such proceedings could distract our management from running our business and cause us to incur significant unplanned losses and expenses. Consumer perception of our brand could also be negatively affected by these events, which could further adversely affect our results and prospects.</w:t>
      </w:r>
    </w:p>
    <w:p>
      <w:pPr>
        <w:spacing w:after="0" w:line="40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color w:val="auto"/>
        </w:rPr>
        <w:t>CYBERSECURITY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an information security program designed in alignment with the ISO/IEC 27001 and ISO/IEC 27002 standards to address risks arising from cybersecurity threats. The program consists of documented policies, standards, and procedures that define the design, implementation, operation, and maintenance of security controls. The maturity and effectiveness of the information security program are evaluated biennially by an independent third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A risk assessment is conducted annually.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used by the Company include, endpoint threat detection and response (EDR), identity and access management (IAM), multi-factor authentication (MFA), firewalls and intrusion detection and prevention systems, vulnerability and patch management, and ongoing employee information security awareness and training programs. An internal information security audit program is maintained to help ensure that these controls remain operational and effective.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security firms are used by the Company in different capacities to provide or operate some of these controls and technology systems. Third parties are also used to conduct assessments, such as vulnerability scans and penetration testing of the Company and its systems. The Company uses a variety of processes to address cybersecurity threats related to the use of third-party technology and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written incident response plan ("IRP") and conducts tabletop exercises to enhance incident response preparedness. Disaster recovery plans are used to prepare for the potential for a disruption in technology we rely on. Employees undergo security awareness training, including phishing simulation training, when hired and periodically throughout the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executive leadership team meets regularly to address enterprise risks, and cybersecurity is a risk category addressed by that group. In addition to assessing major risks, management identifies and monitors such risks. At least annually, the Company’s executive leadership reviews with the Board of Directors the major risks identified in the enterprise risk management process, as well as the steps identified to mitigate such risks. Each of the business and functional leaders responsible for the management of these identified risks also regularly discuss with the Board changes in assessment of these risks and mitigation plans.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 third parties it relies on) may not be able to fully, continuously, and effectively implement security controls as intended. As described above, we utilize a risk-based approach and judgment to determine the security controls to implement and it is possible we may not implement appropriate controls if we do not recognize or if we underestimate a particular risk. In addition, security controls, no matter how well designed or implemented, may only mitigate and not fully eliminate risks. And events, when detected by security tools or third parties, may not always be immediately understood or acted upon.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2024, the Company activated its incident response plan to address a cybersecurity incident that was resolved without material impact to the Company. The Company is not aware of any additional cybersecurity threats or incidents to date that have materially affected or are reasonably likely to materially affect the Company, including our business strategy, results of operations or financial condition.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in Item 1A Risk Factors under the heading of "Risks Related to Electronic Data Processing and Digital Information,” forward-looking cybersecurity threats that could have a material impact on the Company are discussed. That section of Item 1A should be read in conjunction with this Item 1C.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Information Officer ("CIO") holds primary oversight responsibility for the team managing the development, operation, and maintenance of our information security program. This team also has responsibility to maintain and enhance the Company’s written cyber security incident response plan, which identifies incident severity classifications and serves as a trigger for escalation for the response team.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over 25 years of experience across diverse IT technologies, the CIO brings extensive expertise to the role. The CIO is also a member of the Company’s executive leadership team, meeting regularly with the CEO, CFO, and other senior leaders. The CIO directly reports to the Board at least annually, addressing cybersecurity risks and strategy, and attends Board meetings to discuss cybersecurity matters as needed. The Audit Committee provides oversight of the information security program. The CIO reports to the Audit Committee annually on cybersecurity risks and related internal controls and attends quarterly meetings to provide updates and address any questions regarding cybersecurity and information technology systems.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8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2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 own the following facilities, by segment:</w:t>
            </w: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Wholesale Segment:</w:t>
            </w: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3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37"/>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8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Wood Division</w:t>
            </w:r>
          </w:p>
        </w:tc>
        <w:tc>
          <w:tcPr>
            <w:tcW w:w="49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Martinsville, Virginia</w:t>
            </w: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49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Newton, North Carolina</w:t>
            </w: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49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Haleyville, Alabama</w:t>
            </w:r>
          </w:p>
        </w:tc>
      </w:tr>
      <w:tr>
        <w:trPr>
          <w:trHeight w:val="234"/>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Warehouses</w:t>
            </w:r>
          </w:p>
        </w:tc>
        <w:tc>
          <w:tcPr>
            <w:tcW w:w="49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Bassett, Virginia</w:t>
            </w:r>
          </w:p>
        </w:tc>
      </w:tr>
    </w:tbl>
    <w:p>
      <w:pPr>
        <w:spacing w:after="0" w:line="17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general, these facilities are suitable and are considered to be adequate for the continuing operations involved. All facilities are in regular use and provide adequate capacity for our manufacturing and warehousing needs. In addition to the owned properties shown above, we lease facilities in Newton, North Carolina for the manufacturing of upholstered furniture and the manufacturing and warehousing operations of outdoor furniture.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Retail Segment:</w:t>
      </w:r>
    </w:p>
    <w:p>
      <w:pPr>
        <w:spacing w:after="0" w:line="22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Real estate associated with our retail segment consists of eight owned locations with an aggregate square footage of 203,465 and a net book value of approximately $23,500,000. These stores are located as follows:</w:t>
      </w:r>
    </w:p>
    <w:p>
      <w:pPr>
        <w:spacing w:after="0" w:line="180"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Concord, North Carolina</w:t>
            </w: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Greensboro, North Carolina</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Greenville, South Carolina</w:t>
            </w: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Fredericksburg, Virginia</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Louisville, Kentucky</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Knoxville, Tennessee</w:t>
            </w: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Tampa, Florida</w:t>
            </w:r>
          </w:p>
        </w:tc>
      </w:tr>
    </w:tbl>
    <w:p>
      <w:pPr>
        <w:spacing w:after="0" w:line="17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Of these locations, two are subject to land leases. Our remaining 49 store locations are leased from third parties. In addition to retail stores, we also lease ten locations for use as regional warehouses and home delivery distribution centers.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Corporate and Other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our corporate office building, which includes an annex, located in Bassett, Virginia.</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See Note 15 to the Consolidated Financial Statements included under Item 8 of this Annual Report for more information with respect to our operating lease obligations.</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color w:val="auto"/>
        </w:rPr>
        <w:t>LEGAL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p>
      <w:pPr>
        <w:spacing w:after="0" w:line="22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John E. Bassett III, 67, has been with the Company since 1981 and served in various wood manufacturing and product sourcing capacities, including Vice President, Wood Manufacturing; Vice-President, Global Sourcing from 2001 to 2007 and Vice President, Wood in 2008. He was appointed Senior Vice President, Wood in 2009. In 2019, he was promoted to the position of Senior Vice President, Chief Operations Officer.</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Bruce R. Cohenour, 67, has been with the Company since 2011, starting as Senior Vice President of Upholstery Merchandising. In 2013, he was promoted to Senior Vice President of Sales and Merchandising. In 2019, he was appointed Senior Vice President, Chief Sales Officer. Prior to joining Bassett, Mr. Cohenour was with Hooker Furniture Corp. from 2007 through 2010, last serving as President of the Case Goods Division.</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J. Michael Daniel, 64, joined the Company in 2007 as Corporate Controller. From April 2009 through December 2009, he served as Corporate Controller and Interim Chief Financial Officer. In January 2010, he was appointed Vice President and Chief Accounting Officer. In January 2013, he was promoted to Senior Vice President and Chief Financial Officer. In 2019, he was also promoted to the position of Senior Vice President, Chief Financial and Administrative Officer.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Jay R. Hervey, Esq., 66, has served as the General Counsel, Vice President and Secretary for the Company since 1997.</w:t>
      </w:r>
    </w:p>
    <w:p>
      <w:pPr>
        <w:spacing w:after="0" w:line="225"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Robert H. Spilman, Jr., 69, has been with the Company since 1984. Since 2000, he has served as Chief Executive Officer and President, and in 2016 also became the Chairman of the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Bassett’s common stock trades on the NASDAQ global select market system under the symbol “BSET.” We had approximately 6,500 beneficial stockholders at January 28,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to repurchase Company stock under a plan which was originally announced in 1998. On March 9, 2022, the Board of Directors increased the remaining limit of the repurchase plan to $40,000,000. The repurchase program does not include a specific timetable or price targets and may be suspended or terminated at any time. Shares may be purchased through open market or privately negotiated transactions at the discretion of management based on its evaluation of prevailing market conditions and other factors. The following table summarizes the stock repurchase activity for the three months ended November 29, 2025, and the approximate dollar value of shares that may yet be repurchased pursuant to our stock repurchase program: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as Part</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that May</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Plans</w:t>
            </w:r>
          </w:p>
        </w:tc>
      </w:tr>
      <w:tr>
        <w:trPr>
          <w:trHeight w:val="238"/>
        </w:trPr>
        <w:tc>
          <w:tcPr>
            <w:tcW w:w="8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10"/>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2025 - October 4, 2025</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18,744</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5 - November 1, 2025</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2025 - November 29, 2025</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18,254</w:t>
            </w: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ind w:left="3620" w:right="1620" w:hanging="360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thousands except share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86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While traffic to the website decreased 8% during 2025, sales conversion rates increased 28% resulting in a 25% increase in total web sales.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the end of 2024, we had substantially completed the liquidation of Noa Home’s assets and liabilities. In the second quarter of 2024 we recognized non-cash charges totaling $2,401 related to the impairment of certain long-lived assets of Noa Home and the establishment of a reserve against Noa Home’s remaining inventory at that time. Upon substantially completing the liquidation of Noa Home at the end of the fourth quarter of 2024, we recognized a charge of $962 associated with the transfer of the cumulative translation losses out of accumulated other comprehensive income.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Analysis of 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therein for fiscal year 2025 as compared to fiscal year 2024. For additional analysis of the fiscal year 2024 results as compared to fiscal year 2023, see “Analysis of Continuing Operations” in Part II, Item 7, Management’s Discussion and Analysis of Financial Condition and Results of Operations in the Company’s 2024 Annual Report on Form 10-K, filed with the SEC on February 10,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revenue, cost of furniture and accessories sold, selling, general and administrative (“SG&amp;A”) expense, other charges, and income from operations were as follows for the years ended November 29, 2025, November 30, 2024 and November 25,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Comparative Change</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6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335,280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6"/>
              </w:rPr>
              <w:t>$ 329,923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390,136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 (60,213)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146,598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150,508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183,648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188,682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179,415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206,488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9,267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(27,073)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180,357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53.8%</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187,527</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205,227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 charges</w:t>
            </w:r>
          </w:p>
        </w:tc>
        <w:tc>
          <w:tcPr>
            <w:tcW w:w="10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5,515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-91.0%</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5,515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contract abandonment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1,240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Loss upon realization of cumulative translation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962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962</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440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10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5,409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revaluation of contingent consideration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1,013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7,827</w:t>
            </w:r>
          </w:p>
        </w:tc>
        <w:tc>
          <w:tcPr>
            <w:tcW w:w="6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2.5</w:t>
            </w:r>
            <w:r>
              <w:rPr>
                <w:rFonts w:ascii="Times New Roman" w:cs="Times New Roman" w:eastAsia="Times New Roman" w:hAnsi="Times New Roman"/>
                <w:sz w:val="22"/>
                <w:szCs w:val="22"/>
                <w:color w:val="auto"/>
                <w:vertAlign w:val="subscript"/>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(16,269)</w:t>
            </w:r>
          </w:p>
        </w:tc>
        <w:tc>
          <w:tcPr>
            <w:tcW w:w="6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3"/>
                <w:szCs w:val="13"/>
                <w:color w:val="auto"/>
              </w:rPr>
              <w:t>-4.9</w:t>
            </w:r>
            <w:r>
              <w:rPr>
                <w:rFonts w:ascii="Times New Roman" w:cs="Times New Roman" w:eastAsia="Times New Roman" w:hAnsi="Times New Roman"/>
                <w:sz w:val="22"/>
                <w:szCs w:val="22"/>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(3,135)</w:t>
            </w:r>
          </w:p>
        </w:tc>
        <w:tc>
          <w:tcPr>
            <w:tcW w:w="7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3"/>
                <w:szCs w:val="13"/>
                <w:color w:val="auto"/>
              </w:rPr>
              <w:t>-0.8</w:t>
            </w:r>
            <w:r>
              <w:rPr>
                <w:rFonts w:ascii="Times New Roman" w:cs="Times New Roman" w:eastAsia="Times New Roman" w:hAnsi="Times New Roman"/>
                <w:sz w:val="22"/>
                <w:szCs w:val="22"/>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24,096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 (13,134)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sales by segment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Comparative Change</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7"/>
                <w:szCs w:val="17"/>
                <w:color w:val="auto"/>
              </w:rPr>
            </w:pPr>
          </w:p>
        </w:tc>
        <w:tc>
          <w:tcPr>
            <w:tcW w:w="18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 Revenue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Wholesale sales of furniture and accessories</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214,614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207,462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248,911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6"/>
                <w:szCs w:val="16"/>
                <w:color w:val="auto"/>
              </w:rPr>
              <w:t>7,152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(41,449)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to retail segment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(96,015)</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(87,021)</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(103,519)</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8"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16,498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jc w:val="right"/>
              <w:ind w:right="148"/>
              <w:spacing w:after="0" w:line="68" w:lineRule="exact"/>
              <w:rPr>
                <w:sz w:val="20"/>
                <w:szCs w:val="20"/>
                <w:color w:val="auto"/>
              </w:rPr>
            </w:pPr>
            <w:r>
              <w:rPr>
                <w:rFonts w:ascii="Times New Roman" w:cs="Times New Roman" w:eastAsia="Times New Roman" w:hAnsi="Times New Roman"/>
                <w:sz w:val="7"/>
                <w:szCs w:val="7"/>
                <w:color w:val="auto"/>
              </w:rPr>
              <w:t>(8,994</w:t>
            </w: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sales to external customers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118,599</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120,441</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145,392</w:t>
            </w: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6"/>
                <w:szCs w:val="16"/>
                <w:color w:val="auto"/>
              </w:rPr>
              <w:t>(1,842)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(24,951)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Retail sales of furniture and accessories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216,681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204,563</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235,940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12,118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(31,377)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Corporate &amp; Other - Noa Home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4,919</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8,804</w:t>
            </w:r>
          </w:p>
        </w:tc>
        <w:tc>
          <w:tcPr>
            <w:tcW w:w="140" w:type="dxa"/>
            <w:vAlign w:val="bottom"/>
          </w:tcPr>
          <w:p>
            <w:pPr>
              <w:spacing w:after="0"/>
              <w:rPr>
                <w:sz w:val="12"/>
                <w:szCs w:val="12"/>
                <w:color w:val="auto"/>
              </w:rPr>
            </w:pPr>
          </w:p>
        </w:tc>
        <w:tc>
          <w:tcPr>
            <w:tcW w:w="980" w:type="dxa"/>
            <w:vAlign w:val="bottom"/>
          </w:tcPr>
          <w:p>
            <w:pPr>
              <w:jc w:val="right"/>
              <w:ind w:right="88"/>
              <w:spacing w:after="0" w:line="148"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2"/>
                <w:szCs w:val="12"/>
                <w:color w:val="auto"/>
              </w:rPr>
            </w:pPr>
          </w:p>
        </w:tc>
        <w:tc>
          <w:tcPr>
            <w:tcW w:w="980" w:type="dxa"/>
            <w:vAlign w:val="bottom"/>
          </w:tcPr>
          <w:p>
            <w:pPr>
              <w:jc w:val="right"/>
              <w:ind w:right="85"/>
              <w:spacing w:after="0" w:line="148"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jc w:val="right"/>
              <w:ind w:right="148"/>
              <w:spacing w:after="0" w:line="68" w:lineRule="exact"/>
              <w:rPr>
                <w:sz w:val="20"/>
                <w:szCs w:val="20"/>
                <w:color w:val="auto"/>
              </w:rPr>
            </w:pPr>
            <w:r>
              <w:rPr>
                <w:rFonts w:ascii="Times New Roman" w:cs="Times New Roman" w:eastAsia="Times New Roman" w:hAnsi="Times New Roman"/>
                <w:sz w:val="7"/>
                <w:szCs w:val="7"/>
                <w:color w:val="auto"/>
              </w:rPr>
              <w:t>(4,919</w:t>
            </w: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jc w:val="right"/>
              <w:ind w:right="145"/>
              <w:spacing w:after="0" w:line="68" w:lineRule="exact"/>
              <w:rPr>
                <w:sz w:val="20"/>
                <w:szCs w:val="20"/>
                <w:color w:val="auto"/>
              </w:rPr>
            </w:pPr>
            <w:r>
              <w:rPr>
                <w:rFonts w:ascii="Times New Roman" w:cs="Times New Roman" w:eastAsia="Times New Roman" w:hAnsi="Times New Roman"/>
                <w:sz w:val="7"/>
                <w:szCs w:val="7"/>
                <w:color w:val="auto"/>
              </w:rPr>
              <w:t>(3,885</w:t>
            </w: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net sales of furniture and accessories</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335,280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329,923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390,136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5,357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85"/>
              <w:spacing w:after="0" w:line="236" w:lineRule="exact"/>
              <w:rPr>
                <w:sz w:val="20"/>
                <w:szCs w:val="20"/>
                <w:color w:val="auto"/>
              </w:rPr>
            </w:pPr>
            <w:r>
              <w:rPr>
                <w:rFonts w:ascii="Times New Roman" w:cs="Times New Roman" w:eastAsia="Times New Roman" w:hAnsi="Times New Roman"/>
                <w:sz w:val="14"/>
                <w:szCs w:val="14"/>
                <w:color w:val="auto"/>
              </w:rPr>
              <w:t>(60,213</w:t>
            </w:r>
            <w:r>
              <w:rPr>
                <w:rFonts w:ascii="Times New Roman" w:cs="Times New Roman" w:eastAsia="Times New Roman" w:hAnsi="Times New Roman"/>
                <w:sz w:val="27"/>
                <w:szCs w:val="27"/>
                <w:color w:val="auto"/>
                <w:vertAlign w:val="superscript"/>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year ended November 29, 2025, increased $5,357 or approximately 1.6% from the prior year period primarily due to increases in delivered retail sales partially offset by decreases in wholesale shipments to the open market and lost sales from the closure of Noa Home at the end of fiscal 2024. Excluding the lost sales from Noa Home, total sales revenue increased 3.1%.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margins for the year ended November 29, 2025 increased 190 basis points from 2024. Gross margins in the prior year were adversely impacted by increased inventory valuation charges of $1,729 in the wholesale segment, $472 in the retail segment and $500 in the Noa Home operation, as well as $609 of unproductive labor costs incurred during a temporary shutdown resulting from a cybersecurity incident. Excluding the above-mentioned additional inventory valuation charges and unproductive labor costs in 2024, gross margins would have increased 90 basis points primarily due to improved margins in the wholesale segment, partially offset by lower margins in the retail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as a percentage of sales for the year ended November 29, 2025 decreased 300 basis points reflecting benefits from the prior year restructuring plan and on-going cost containment activities coupled with greater leverage of fixed costs from higher sales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we recognized an asset impairment charge of $498 related to an underperforming retail store expected to be closed in late fiscal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we recognized charges of $5,515 for asset impairments, $1,240 resulting from a contract abandonment, $962 from the realization of cumulative translation losses on Noa Home, and a restructuring charge for severance of $440. See Note 14 to our consolidated financial statements for additional information regarding these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items affecting comparability between fiscal 2025 and 2024 are discussed below in “Other Items Affecting Net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29, 2025, November 30, 2024 and November 25, 2023,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ceased operations as of the end of 2024 by selling the remaining inventory in an orderly fashion over the second half of fiscal 2024.</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segment financial measures prepared in accordance with GAAP, we also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that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November 29, 2025</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gridSpan w:val="2"/>
          </w:tcPr>
          <w:p>
            <w:pPr>
              <w:spacing w:after="0"/>
              <w:rPr>
                <w:sz w:val="17"/>
                <w:szCs w:val="17"/>
                <w:color w:val="auto"/>
              </w:rPr>
            </w:pPr>
          </w:p>
        </w:tc>
      </w:tr>
      <w:tr>
        <w:trPr>
          <w:trHeight w:val="234"/>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Presentation</w:t>
            </w:r>
          </w:p>
        </w:tc>
      </w:tr>
      <w:tr>
        <w:trPr>
          <w:trHeight w:val="191"/>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3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&amp;</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0"/>
                <w:szCs w:val="20"/>
                <w:color w:val="auto"/>
              </w:rPr>
            </w:pPr>
          </w:p>
        </w:tc>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Other</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Items</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Operating</w:t>
            </w: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214,614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216,681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335,280</w:t>
            </w:r>
          </w:p>
        </w:tc>
        <w:tc>
          <w:tcPr>
            <w:tcW w:w="80" w:type="dxa"/>
            <w:vAlign w:val="bottom"/>
            <w:shd w:val="clear" w:color="auto" w:fill="CCEEFF"/>
          </w:tcPr>
          <w:p>
            <w:pPr>
              <w:spacing w:after="0"/>
              <w:rPr>
                <w:sz w:val="20"/>
                <w:szCs w:val="20"/>
                <w:color w:val="auto"/>
              </w:rPr>
            </w:pPr>
          </w:p>
        </w:tc>
      </w:tr>
      <w:tr>
        <w:trPr>
          <w:trHeight w:val="198"/>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138,883</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103,205</w:t>
            </w:r>
          </w:p>
        </w:tc>
        <w:tc>
          <w:tcPr>
            <w:tcW w:w="3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(95,490(2)</w:t>
            </w:r>
          </w:p>
        </w:tc>
        <w:tc>
          <w:tcPr>
            <w:tcW w:w="2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146,598</w:t>
            </w:r>
          </w:p>
        </w:tc>
        <w:tc>
          <w:tcPr>
            <w:tcW w:w="80" w:type="dxa"/>
            <w:vAlign w:val="bottom"/>
          </w:tcPr>
          <w:p>
            <w:pPr>
              <w:spacing w:after="0"/>
              <w:rPr>
                <w:sz w:val="20"/>
                <w:szCs w:val="20"/>
                <w:color w:val="auto"/>
              </w:rPr>
            </w:pPr>
          </w:p>
        </w:tc>
      </w:tr>
      <w:tr>
        <w:trPr>
          <w:trHeight w:val="191"/>
        </w:trPr>
        <w:tc>
          <w:tcPr>
            <w:tcW w:w="3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75,731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113,476</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188,682</w:t>
            </w:r>
          </w:p>
        </w:tc>
        <w:tc>
          <w:tcPr>
            <w:tcW w:w="80" w:type="dxa"/>
            <w:vAlign w:val="bottom"/>
            <w:shd w:val="clear" w:color="auto" w:fill="CCEEFF"/>
          </w:tcPr>
          <w:p>
            <w:pPr>
              <w:spacing w:after="0"/>
              <w:rPr>
                <w:sz w:val="20"/>
                <w:szCs w:val="20"/>
                <w:color w:val="auto"/>
              </w:rPr>
            </w:pPr>
          </w:p>
        </w:tc>
      </w:tr>
      <w:tr>
        <w:trPr>
          <w:trHeight w:val="198"/>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40,870</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113,069</w:t>
            </w:r>
          </w:p>
        </w:tc>
        <w:tc>
          <w:tcPr>
            <w:tcW w:w="3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27,652</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2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180,357</w:t>
            </w:r>
          </w:p>
        </w:tc>
        <w:tc>
          <w:tcPr>
            <w:tcW w:w="80" w:type="dxa"/>
            <w:vAlign w:val="bottom"/>
          </w:tcPr>
          <w:p>
            <w:pPr>
              <w:spacing w:after="0"/>
              <w:rPr>
                <w:sz w:val="20"/>
                <w:szCs w:val="20"/>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34,861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34,861</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November 30, 2024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8"/>
              </w:rPr>
              <w:t>Non-GAAP Presentation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Presentation</w:t>
            </w:r>
          </w:p>
        </w:tc>
      </w:tr>
      <w:tr>
        <w:trPr>
          <w:trHeight w:val="191"/>
        </w:trPr>
        <w:tc>
          <w:tcPr>
            <w:tcW w:w="2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&amp;</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Other</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Items</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Operating</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204,563</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4,919</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329,923</w:t>
            </w:r>
          </w:p>
        </w:tc>
      </w:tr>
      <w:tr>
        <w:trPr>
          <w:trHeight w:val="198"/>
        </w:trPr>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139,393</w:t>
            </w:r>
          </w:p>
        </w:tc>
        <w:tc>
          <w:tcPr>
            <w:tcW w:w="2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95,728</w:t>
            </w:r>
          </w:p>
        </w:tc>
        <w:tc>
          <w:tcPr>
            <w:tcW w:w="3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(87,416(2)</w:t>
            </w:r>
          </w:p>
        </w:tc>
        <w:tc>
          <w:tcPr>
            <w:tcW w:w="2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150,508</w:t>
            </w:r>
          </w:p>
        </w:tc>
      </w:tr>
      <w:tr>
        <w:trPr>
          <w:trHeight w:val="210"/>
        </w:trPr>
        <w:tc>
          <w:tcPr>
            <w:tcW w:w="2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68,069</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108,835</w:t>
            </w: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42,712</w:t>
            </w:r>
          </w:p>
        </w:tc>
        <w:tc>
          <w:tcPr>
            <w:tcW w:w="2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115,439</w:t>
            </w:r>
          </w:p>
        </w:tc>
        <w:tc>
          <w:tcPr>
            <w:tcW w:w="3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30,572</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2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187,527</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1,240</w:t>
            </w: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upon realization of cumulative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25,357</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8,157</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w:t>
            </w:r>
          </w:p>
        </w:tc>
        <w:tc>
          <w:tcPr>
            <w:tcW w:w="26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2,673</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25,357</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3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8,157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9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November 25, 2023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Presentation</w:t>
            </w:r>
          </w:p>
        </w:tc>
      </w:tr>
      <w:tr>
        <w:trPr>
          <w:trHeight w:val="191"/>
        </w:trPr>
        <w:tc>
          <w:tcPr>
            <w:tcW w:w="2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&amp;</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Items</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Operating</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248,911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235,940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8,804</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390,136</w:t>
            </w:r>
          </w:p>
        </w:tc>
      </w:tr>
      <w:tr>
        <w:trPr>
          <w:trHeight w:val="198"/>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171,394</w:t>
            </w: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111,769</w:t>
            </w:r>
          </w:p>
        </w:tc>
        <w:tc>
          <w:tcPr>
            <w:tcW w:w="3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(103,517(2)</w:t>
            </w:r>
          </w:p>
        </w:tc>
        <w:tc>
          <w:tcPr>
            <w:tcW w:w="2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183,648</w:t>
            </w:r>
          </w:p>
        </w:tc>
      </w:tr>
      <w:tr>
        <w:trPr>
          <w:trHeight w:val="191"/>
        </w:trPr>
        <w:tc>
          <w:tcPr>
            <w:tcW w:w="28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77,517</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124,171</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4,802</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206,488</w:t>
            </w:r>
          </w:p>
        </w:tc>
      </w:tr>
      <w:tr>
        <w:trPr>
          <w:trHeight w:val="198"/>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46,818</w:t>
            </w: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124,707</w:t>
            </w:r>
          </w:p>
        </w:tc>
        <w:tc>
          <w:tcPr>
            <w:tcW w:w="3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34,728</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2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205,227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5,409</w:t>
            </w: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revaluation of contingent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1,013(11)</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1,013</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30,699</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26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3"/>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30,699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the elimination of intercompany profit in inventory.</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asset impairment charge of $498 in our retail segment.</w:t>
      </w:r>
    </w:p>
    <w:p>
      <w:pPr>
        <w:spacing w:after="0" w:line="9"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ind w:left="50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accruing the remaining minimum payments under a contract for logistical services in Riverside, CA which is no longer utilized.</w:t>
      </w:r>
    </w:p>
    <w:p>
      <w:pPr>
        <w:ind w:left="50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for the realization of Noa Home's cumulative translation losses previously recorded in accumulated other comprehensive income due to the closure and substantially complete liquidation of that business.</w:t>
      </w: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for the accrual of severance pay due to restructuring.</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the full impairment of the goodwill associated with Noa Home.</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resulting from the write-down of the contingent consideration payable on the acquisition of Noa Home.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for our Wholesale Segment were as follows for the fiscal years ended November 29,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 and November 25,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2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214,614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9"/>
              </w:rPr>
              <w:t>207,462</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248,911</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7,152</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(41,449)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75,731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68,069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77,517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40,870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42,712</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46,818</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34,861</w:t>
            </w:r>
          </w:p>
        </w:tc>
        <w:tc>
          <w:tcPr>
            <w:tcW w:w="7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16.2</w:t>
            </w:r>
            <w:r>
              <w:rPr>
                <w:rFonts w:ascii="Times New Roman" w:cs="Times New Roman" w:eastAsia="Times New Roman" w:hAnsi="Times New Roman"/>
                <w:sz w:val="24"/>
                <w:szCs w:val="24"/>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25,357</w:t>
            </w:r>
          </w:p>
        </w:tc>
        <w:tc>
          <w:tcPr>
            <w:tcW w:w="76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12.2</w:t>
            </w:r>
            <w:r>
              <w:rPr>
                <w:rFonts w:ascii="Times New Roman" w:cs="Times New Roman" w:eastAsia="Times New Roman" w:hAnsi="Times New Roman"/>
                <w:sz w:val="24"/>
                <w:szCs w:val="24"/>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30,699</w:t>
            </w:r>
          </w:p>
        </w:tc>
        <w:tc>
          <w:tcPr>
            <w:tcW w:w="7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12.3</w:t>
            </w:r>
            <w:r>
              <w:rPr>
                <w:rFonts w:ascii="Times New Roman" w:cs="Times New Roman" w:eastAsia="Times New Roman" w:hAnsi="Times New Roman"/>
                <w:sz w:val="24"/>
                <w:szCs w:val="24"/>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9,504</w:t>
            </w:r>
          </w:p>
        </w:tc>
        <w:tc>
          <w:tcPr>
            <w:tcW w:w="102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37.5</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Wholesale shipments by category for the fiscal years ended November 29, 2025, November 30, 2024 and November 25, 2023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59,391</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$136,314</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55,168</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$ 134,449</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89,005</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66,363</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$ 155,368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w:t>
            </w:r>
          </w:p>
        </w:tc>
        <w:tc>
          <w:tcPr>
            <w:tcW w:w="3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3,252</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19,736</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34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1,920</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17,625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3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27,872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Wood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16,297</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28,654</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15,932</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29,667</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20,070</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37,427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Bassett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12,835</w:t>
            </w:r>
          </w:p>
        </w:tc>
        <w:tc>
          <w:tcPr>
            <w:tcW w:w="340" w:type="dxa"/>
            <w:vAlign w:val="bottom"/>
          </w:tcPr>
          <w:p>
            <w:pPr>
              <w:spacing w:after="0"/>
              <w:rPr>
                <w:sz w:val="16"/>
                <w:szCs w:val="16"/>
                <w:color w:val="auto"/>
              </w:rPr>
            </w:pPr>
          </w:p>
        </w:tc>
        <w:tc>
          <w:tcPr>
            <w:tcW w:w="7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17,075</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29,910</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11,720</w:t>
            </w:r>
          </w:p>
        </w:tc>
        <w:tc>
          <w:tcPr>
            <w:tcW w:w="340" w:type="dxa"/>
            <w:vAlign w:val="bottom"/>
          </w:tcPr>
          <w:p>
            <w:pPr>
              <w:spacing w:after="0"/>
              <w:rPr>
                <w:sz w:val="16"/>
                <w:szCs w:val="16"/>
                <w:color w:val="auto"/>
              </w:rPr>
            </w:pPr>
          </w:p>
        </w:tc>
        <w:tc>
          <w:tcPr>
            <w:tcW w:w="7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14,001</w:t>
            </w:r>
          </w:p>
        </w:tc>
        <w:tc>
          <w:tcPr>
            <w:tcW w:w="9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25,721</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300" w:type="dxa"/>
            <w:vAlign w:val="bottom"/>
          </w:tcPr>
          <w:p>
            <w:pPr>
              <w:spacing w:after="0"/>
              <w:rPr>
                <w:sz w:val="16"/>
                <w:szCs w:val="16"/>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15,915</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28,244</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Casegoods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118,599</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96,015</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$214,614</w:t>
            </w:r>
          </w:p>
        </w:tc>
        <w:tc>
          <w:tcPr>
            <w:tcW w:w="64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120,441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87,021</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$ 207,462</w:t>
            </w:r>
          </w:p>
        </w:tc>
        <w:tc>
          <w:tcPr>
            <w:tcW w:w="64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2"/>
                <w:szCs w:val="22"/>
                <w:color w:val="auto"/>
                <w:vertAlign w:val="sub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145,392</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103,519</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$ 248,911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as Compared to Fiscal 2024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year ended November 29, 2025 increased $7,152 or 3.4% from fiscal 2024 due primarily to a 8.2% increase in shipments to our retail store network partially offset by a 2% decrease in shipments to the open market and a 9% decrease in Lane Venture shipments. Gross margins for the year ended November 29, 2025 increased 250 basis points over fiscal 2024 year. Excluding $1,729 of increased inventory valuation charges in 2024 and $609 of unproductive labor costs incurred during a temporary shutdown resulting from a cybersecurity incident in 2024, gross margins would have increased by 140 basis points due primarily to improved pricing strategies in both the upholstery and wood operations coupled with greater leverage of fixed costs from higher sales levels. SG&amp;A expenses as a percentage of sales decreased 160 basis points primarily due to to the benefit of cost reductions implemented during the second half of fiscal 2024 coupled with greater leverage of fixed costs from higher sales levels and lower bad debt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$19,519 at November 29, 2025 and $21,750 at November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Retail Segment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Company Owned Stores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(loss) for our retail segment were as follows for the fiscal years ended November 29,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 and November 25,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2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216,681</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204,563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235,940</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12,118</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(31,377)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113,476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108,835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124,171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(15,336)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113,069</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115,439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124,707</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407</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(6,604)</w:t>
            </w:r>
          </w:p>
        </w:tc>
        <w:tc>
          <w:tcPr>
            <w:tcW w:w="74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(536)</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7,011</w:t>
            </w:r>
          </w:p>
        </w:tc>
        <w:tc>
          <w:tcPr>
            <w:tcW w:w="102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-106.2</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(6,068)</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Retail sales by major product category for the fiscal years ended November 29, 2025, November 30, 2024 and November 25, 2023 were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117,231</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111,943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134,000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9,121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4,990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1,951</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31,885</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32,201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36,732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29,218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26,179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32,252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29,226</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29,250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31,005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216,681</w:t>
            </w:r>
          </w:p>
        </w:tc>
        <w:tc>
          <w:tcPr>
            <w:tcW w:w="960" w:type="dxa"/>
            <w:vAlign w:val="bottom"/>
            <w:tcBorders>
              <w:right w:val="single" w:sz="8" w:color="CCEEFF"/>
            </w:tcBorders>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204,563</w:t>
            </w:r>
          </w:p>
        </w:tc>
        <w:tc>
          <w:tcPr>
            <w:tcW w:w="920" w:type="dxa"/>
            <w:vAlign w:val="bottom"/>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235,940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right="1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as Compared to Fiscal 2024</w:t>
      </w:r>
    </w:p>
    <w:p>
      <w:pPr>
        <w:spacing w:after="0" w:line="22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Net sales for the year ended November 29, 2025 increased $12,118 or 5.9% from fiscal 2024. Written sales (the value of sales orders taken but not delivered) increased 1.2% from fiscal 2024. Gross margin for the year ended November 29, 2025 declined 80 basis points from fiscal 2024. Excluding the $471 of additional inventory valuation charges in the prior year period, gross margins would have decreased by 100 basis points due to lower margins for both in-line and clearance goods as we have become more aggressive in cycling through unproductive inventory coupled with increased promotional activity. In addition, the Company-owned stores did not take a price increase related to the increase in tariff costs until January 2026. SG&amp;A expenses as a percentage of sales for the year ended November 29, 2025 decreased 420 basis points primarily due to the benefit of cost reductions implemented during the second half of fiscal 2024, lower advertising and marketing costs, efficiency gains in our warehouse and delivery operation along with greater leverage of fixed costs due to higher sales levels.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November 29, 2025 was $34,402 compared to $37,053 at November 30,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this reconciling category. Revenues, costs and expenses of Corporate and other for the fiscal years ended November 29, 2025, November 30, 2024 and November 25, 2023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4,919</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8,804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2,116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4,802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27,652</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NM</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30,572</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34,728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(27,652)</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6"/>
              </w:rPr>
              <w:t>NM</w:t>
            </w:r>
          </w:p>
        </w:tc>
        <w:tc>
          <w:tcPr>
            <w:tcW w:w="26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97"/>
              </w:rPr>
              <w:t>(28,456)</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w w:val="96"/>
              </w:rPr>
              <w:t>-578.5</w:t>
            </w:r>
            <w:r>
              <w:rPr>
                <w:rFonts w:ascii="Times New Roman" w:cs="Times New Roman" w:eastAsia="Times New Roman" w:hAnsi="Times New Roman"/>
                <w:sz w:val="35"/>
                <w:szCs w:val="35"/>
                <w:color w:val="auto"/>
                <w:w w:val="96"/>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7"/>
              </w:rPr>
              <w:t>(29,926)</w:t>
            </w:r>
          </w:p>
        </w:tc>
        <w:tc>
          <w:tcPr>
            <w:tcW w:w="80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-339.9</w:t>
            </w:r>
            <w:r>
              <w:rPr>
                <w:rFonts w:ascii="Times New Roman" w:cs="Times New Roman" w:eastAsia="Times New Roman" w:hAnsi="Times New Roman"/>
                <w:sz w:val="35"/>
                <w:szCs w:val="35"/>
                <w:color w:val="auto"/>
                <w:vertAlign w:val="subscript"/>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02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35"/>
                <w:szCs w:val="35"/>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1,470</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4"/>
        </w:trPr>
        <w:tc>
          <w:tcPr>
            <w:tcW w:w="2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2025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as Compared to Fiscal 2024</w:t>
      </w:r>
    </w:p>
    <w:p>
      <w:pPr>
        <w:spacing w:after="0" w:line="22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Sales and gross profit for the year ended November 29, 2025 declined from fiscal 2024 due to the closure and liquidation of Noa Home during fiscal 2024. The $2,920 decrease in SG&amp;A expenses from fiscal 2024 was primarily due to the closure of Noa Home and decreased corporate overhead spending from better expense management, including the benefit of cost reductions implemented during the second half of fiscal 2024, partially offset by increased incentive compensation.</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 Affecting Net Income (Loss)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items affecting net income (loss) for fiscal 2025, 2024 and 2023 are as follows: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(1)</w:t>
            </w:r>
          </w:p>
        </w:tc>
        <w:tc>
          <w:tcPr>
            <w:tcW w:w="14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2,528</w:t>
            </w:r>
          </w:p>
        </w:tc>
      </w:tr>
      <w:tr>
        <w:trPr>
          <w:trHeight w:val="216"/>
        </w:trPr>
        <w:tc>
          <w:tcPr>
            <w:tcW w:w="1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(2)</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costs (3)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1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gains (cost) of company-owned life insurance</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1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r>
        <w:trPr>
          <w:trHeight w:val="210"/>
        </w:trPr>
        <w:tc>
          <w:tcPr>
            <w:tcW w:w="1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14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130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income arising from our short-term investments and interest-bearing cash equivalents. The decrease in interest income for fiscal 2025 as compared with fiscal 2024 was due primarily to lower interest rates paid on certificates of deposit. See Note 3 to the Consolidated Financial Statements for additional information regarding our investments in certificates of deposit.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attributable to finance leases for trucks and computer and office equipment. See Note 15 to the Consolidated Financial Statements for additional information regarding our leases.</w:t>
      </w: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net periodic pension costs not included in income from operations. See Note 10 to the Consolidated Financial Statements for additional information related to our defined benefit pension plans.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income tax expense (benefit) of $2,660, $(4,675) and $683 for fiscal 2025, 2024 and 2023, respectively. Our effective tax rate of 30.4% for 2025 differs from the federal statutory rate of 21.0% primarily due to the effects of state income taxes and various permanent differences, capital loss carrybacks, provision to return adjustments and other charges. Our effective tax rate of 32.5% for 2024 differs from the federal statutory rate of 21.0% due to the increases in the valuation allowance placed on deferred tax assets resulting from pre-tax losses in foreign tax jurisdictions associated with Noa Home, the nondeductible impairment of the Noa Home tradename, the tax benefit recorded for the capital loss associated with the cumulative investment in Noa Home due to the shutdown of the operations, the effects of state income taxes, various permanent differences, provision to return adjustments and other charges.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net deferred tax assets of $5,979 as of November 29, 2025, which, upon utilization, are expected to reduce our cash outlays for income taxes in future years. It will require approximately $28,500 of future taxable income to utilize our net deferred tax assets. See Note 13 to the Consolidated Financial Statements for additional information regarding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operations for the year ended November 29, 2025 was $13,491 compared to cash provided by operations of $4,050 for the year ended November 30, 2024, representing an increase of $9,441 in cash flows from operations. This increase was primarily the result of improved operating income and changes in working capital due to the timing impact of expenditures as a result of an additional week in the first quarter of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cash position increased $1,726 for fiscal 2025. We spent $4,530 on purchases of property and equipment, $6,939 in dividends and $2,150 to repurchase shares under our existing stock repurchase program. As of November 29, 2025, $18,254 remains available for future purchases under our stock repurchase plan. During the fourth quarter of fiscal 2025, a $2,500 CD which had formerly been pledged as collateral against our merchant services agreement with a bank matured and was not reinvested. With cash and cash equivalents and short-term investments totaling $59,240 on hand at November 29, 2025, expected future operating cash flows and the availability under our credit line noted below, we believe we have sufficient liquidity to fund operations for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November 29, 2025, we had $8,182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used commitment was less than $8,250 at November 29, 2025, we were not required to test the Consolidated Fixed Charge Coverage Ratio or the Consolidated Lease Adjusted Leverage to EBITDAR Ratio. However, had we been required to test those ratios, we would have been in full compliance. Consequently, our availability under the Credit Facility is currently $16,818. As of November 29, 2025 the Credit Facility was scheduled to expire on January 31, 2027. Subsequent to November 29, 2025, the Credit Facility has been extended through January 31, 2029 under substantially the same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trucks used in our wholesale and retail segments. The total future minimum lease payments for leases with terms in excess of one year at November 29, 2025 is $105,045 the present value of which is $89,392 and is included in our accompanying consolidated balance sheet at November 29, 2025. We were contingently liable under licensee lease obligation guarantees in the amount of $4,148 at November 29, 2025. The remaining terms under these lease guarantees range from approximately one to five years. See Note 15 to our Consolidated Financial Statements for a schedule of future cash payments on our lease obligations and additional details regarding our leases and lease guarantees.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post-employment benefits to certain current and former executives and management level employees of the Company. Included among these benefits are two defined-benefit plans with a combined projected benefit obligation of $6,990 at November 29, 2025. See Note 10 to our consolidated financial statements for a projection of future benefit payments under these plans from 2026 through 2035. We also have deferred compensation plans with a total liability of $5,530 at November 29, 2025, the current portion of which is $327. See Note 10 to our Consolidated Financial Statements for additional information regarding these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Share Repurchases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2025, we declared and paid four quarterly dividends totaling $6,939, or $0.80 per share. During fiscal 2025, we repurchased 142,121 shares of our stock for an aggregate of $2,150 under our share repurchase program. The weighted-average effect of these share repurchases on basic earnings per share from continuing operations was less than $0.01 per share. On March 9, 2022, our Board of Directors increased the remaining limit of the repurchase plan to $40,000. The approximate dollar value that may yet be purchased pursuant to our stock repurchase program as of November 29, 2025 was $18,254.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anticipate that total capital expenditures for fiscal 2026 will be between $8 million and $12 million, which will be used for tenant improvements on new retail stores and additional investments in information technology, including enhancements to our website. Our capital expenditure and working capital requirements in the foreseeable future may change depending on many factors, including but not limited to the overall performance of the store program, our rate of growth,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account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involving the valuation of goodwill impairments (see Note 7 to the Consolidated Financial Statements) and asset impairments (see Note 14 to the Consolidated Financial Statements) have utilized Level 3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We lease land and buildings that are primarily used in the operation of our retail BHF stores and distribution facilities as well as certain manufacturing facilities in our upholstery operations. We have guaranteed certain lease obligations of licensee operators as part of our retail strategy. See Note 15 to the Consolidated Financial Statements, included in Item 8 of this Annual Report on Form 10-K, for further discussion of lease guarantees, including descriptions of the terms of such commitments and methods used to mitigate risks associated with these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claims and litigation as well as environmental matters which arise in the normal course of business. Although the final outcome of these legal and environmental matters cannot be determined, based on the facts presently known, it is our opinion that the final resolution of these matters will not have a material adverse effect on our financial position or future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of America (“GAAP”) which requires that certain estimates and assumptions be made that affect the amounts and disclosures reported in those financial statements and the related accompanying notes. Actual results could differ from these estimates and assumptions. We use our best judgment in valuing these estimates and may, as warranted, solicit external advice. Estimates are based on current facts and circumstances, prior experience and other assumptions believed to be reasonable. The following critical accounting estimates, some of which are impacted significantly by judgments, assumptions and estimates, affect our consolidated financial statements.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Returns and Allowances </w:t>
      </w:r>
      <w:r>
        <w:rPr>
          <w:rFonts w:ascii="Times New Roman" w:cs="Times New Roman" w:eastAsia="Times New Roman" w:hAnsi="Times New Roman"/>
          <w:sz w:val="18"/>
          <w:szCs w:val="18"/>
          <w:color w:val="auto"/>
        </w:rPr>
        <w:t>– We record an estimate for returns and allowances as a reduction of revenue based on our historical return patterns. The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returns and allowances was $2,732, $3,970 and $4,883 at November 29, 2025, November 30, 2024 and November 25, 2023.</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We maintain an allowance for credit losses for estimated losses resulting from the inability of our customers to make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Our accounts receivable reserves were $429 and $1,097 at November 29, 2025 and November 30, 2024, respectively, representing 2.9% and 7.7% of our gross accounts receivable balances at those dates, respectively. The allowance for credit losses is based on a review of specifically identified customer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We have elected to use the practical expedient under ASC Topic 326 which allows us to assume that current conditions as of the balance sheet date do not change over the expected life of the receivables (see Recent Accounting Pronouncements below regarding the early adoption of ASU 2025-05).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Reserves </w:t>
      </w:r>
      <w:r>
        <w:rPr>
          <w:rFonts w:ascii="Times New Roman" w:cs="Times New Roman" w:eastAsia="Times New Roman" w:hAnsi="Times New Roman"/>
          <w:sz w:val="18"/>
          <w:szCs w:val="18"/>
          <w:color w:val="auto"/>
        </w:rPr>
        <w:t>- We estimate an inventory reserve for excess quantities and obsolete items based on specific identification and historical write-offs,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taking into account future demand and market conditions. Our reserves for excess and obsolete inventory were $6,027 and $5,395 at November 29, 2025 and November 30, 2024, respectively, representing 8.9% of our inventories on a LIFO basis at both years. If actual demand or market conditions in the future are less favorable than those estimated, additional inventory write-downs may be required.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fair value of consideration given over the fair value of the tangible assets and liabilities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of businesses acquired. The acquisition of assets and liabilities and the resulting goodwill is allocated to the respective reporting unit: Wood, Upholstery, Retail – Company-Owned Stores, and Noa Home. We review goodwill at the reporting unit level annually for impairment or more frequently if events or circumstances indicate that assets might be impaired.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&amp; Other,</w:t>
      </w:r>
      <w:r>
        <w:rPr>
          <w:rFonts w:ascii="Times New Roman" w:cs="Times New Roman" w:eastAsia="Times New Roman" w:hAnsi="Times New Roman"/>
          <w:sz w:val="18"/>
          <w:szCs w:val="18"/>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2025, 2024 and 2023 we performed the qualitative assessment as described above with respect to our upholstery reporting unit and concluded that there was no impairment of goodwill. With respect to our former Noa Home reporting unit, for the annual test of goodwill as of the beginning of the fourth quarter of fiscal 2023 we proceeded to the quantitative test and concluded that the goodwill allocated to that reporting unit as of November 25, 2023 was fully impaired.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Intangible assets acquired in a business combination and determined to have an indefinite useful life are not amortized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fiscal 2024, as a result of our decision to cease operations at Noa Home, we recognized a charge of $1,827 to fully impair the Noa Home trade name intangible asset. At November 29, 2025, our indefinite-lived intangible asset other than goodwill consisted of the trade name acquired in the acquisition of Lane Venture and had a carrying value of $6,848.</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 At November 29, 2025 our definite-lived intangible assets consist of customer relationships acquired in the acquisition of Lane Venture with a carrying value of $62.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periodically evaluate whether events or circumstances have occurred that indicate long-lived assets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of the asset. In the event the sum of the expected undiscounted future cash flows is less than the carrying value of the asset, an impairment loss equal to the excess of the asset’s carrying value over its fair value is recorded. 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Right of use assets under operating leases are written down to their estimated fair value. Our estimates of the fair value of the impaired right of use assets include estimates of discounted cash flows based upon current market rents and other inputs which we consider to be Level 3 inputs as specified in the fair value hierarchy in ASC Topic 820, Fair Value Measurement and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regarding the impact or potential impact of recent accounting pronouncements upon our financial position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color w:val="auto"/>
        </w:rPr>
        <w:t>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purchases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of raw materials used in our manufacturing processes, principally wood, woven fabric, and foam products. The cost of foam products, which are petroleum-based, is sensitive to changes in the prices of oil and refined petroleum 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$23,513 and $24,127 at November 29, 2025 and November 30, 2024, respectively, for Company-owned stores, consisting of eight locations with a total of 203,465 square feet of space, could suffer significant impairment in value if we are forced to close additional stores and sell or lease the related properties during periods of weakness in certain markets. Additionally, if we are required to assume responsibility for payment under the lease obligations of $4,148 and $5,131 which we have guaranteed on behalf of licensees as of November 29, 2025 and November 30, 2024, respectively,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and warehouse facilities. At November 29, 2025, the unamortized balance of such right-of-use assets totaled $77,180. Should we have to close or otherwise abandon one of these leased locations, we could incur additional impairment charges if rental market conditions do not support a fair value for the right of use asset in excess of its carrying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color w:val="auto"/>
        </w:rPr>
        <w:t>FINANCIAL STATEMENTS AND SUPPLEMENTARY DATA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Bassett Furniture Industries, Incorporated (a Virginia corporation) and subsidiaries (the “Company”) as of November 29, 2025, the related consolidated statement of operations, comprehensive income (loss), cash flows, and stockholders’ equity for the year ended November 29,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November 29, 2025, and the results of its operations and its cash flows for the year ended November 29,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November 29, 2025, based on criteria established in the 2013 Internal Control—Integrated Framework issued by the Committee of Sponsoring Organizations of the Treadway Commission (“COSO”), and our report dated February 5, 2026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Bassett Furniture Industries, Incorporated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Bassett Furniture Industries, Incorporated and subsidiaries (the Company) as of November 30, 2024, the related consolidated statements of operations, comprehensive income (loss), stockholders' equity and cash flows for each of the two years in the period ended November 30,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30, 2024, and the results of its operations and its cash flows for each of the two years in the period ended November 30, 2024,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2002 to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29, 2025 and November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r>
      <w:tr>
        <w:trPr>
          <w:trHeight w:val="198"/>
        </w:trPr>
        <w:tc>
          <w:tcPr>
            <w:tcW w:w="8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$429 and $1,097 as of November 29, 2025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November 30, 2024, respectively</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r>
      <w:tr>
        <w:trPr>
          <w:trHeight w:val="209"/>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r>
      <w:tr>
        <w:trPr>
          <w:trHeight w:val="229"/>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w:t>
            </w: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tcPr>
          <w:p>
            <w:pPr>
              <w:spacing w:after="0"/>
              <w:rPr>
                <w:sz w:val="22"/>
                <w:szCs w:val="22"/>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9,410</w:t>
            </w:r>
          </w:p>
        </w:tc>
      </w:tr>
      <w:tr>
        <w:trPr>
          <w:trHeight w:val="209"/>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15 and 16)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 par value; 50,000,000 shares authorized; issued and outstanding: 8,651,054 at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November 29, 2025 and 8,736,046 at November 30, 2024</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29, 2025, November 30, 2024, and November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335,280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329,923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390,136</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146,598</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183,648</w:t>
            </w:r>
          </w:p>
        </w:tc>
      </w:tr>
      <w:tr>
        <w:trPr>
          <w:trHeight w:val="209"/>
        </w:trPr>
        <w:tc>
          <w:tcPr>
            <w:tcW w:w="4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180,357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205,227</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upon realization of cumulative translation adjustment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9"/>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r>
      <w:tr>
        <w:trPr>
          <w:trHeight w:val="216"/>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r>
      <w:tr>
        <w:trPr>
          <w:trHeight w:val="210"/>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09"/>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196"/>
        </w:trPr>
        <w:tc>
          <w:tcPr>
            <w:tcW w:w="48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48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632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8"/>
          </w:tcPr>
          <w:p>
            <w:pPr>
              <w:jc w:val="center"/>
              <w:ind w:left="155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8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4" w:name="page35"/>
    <w:bookmarkEnd w:id="34"/>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Bassett Furniture Industries, Incorporated and Subsidiaries For the years ended November 29, 2025, November 30, 2024, and November 25, 2023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Actuarial adjustment to</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LTCA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6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Actuarial adjustment to supplemental executive retirement defined benefit plan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(SERP)</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SERP</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1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r>
      <w:tr>
        <w:trPr>
          <w:trHeight w:val="20"/>
        </w:trPr>
        <w:tc>
          <w:tcPr>
            <w:tcW w:w="63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600" w:type="dxa"/>
            <w:vAlign w:val="bottom"/>
            <w:gridSpan w:val="8"/>
          </w:tcPr>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29, 2025, November 30, 2024, and November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6,100</w:t>
            </w:r>
          </w:p>
        </w:tc>
        <w:tc>
          <w:tcPr>
            <w:tcW w:w="100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(3,171)</w:t>
            </w:r>
          </w:p>
        </w:tc>
      </w:tr>
      <w:tr>
        <w:trPr>
          <w:trHeight w:val="198"/>
        </w:trPr>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8,801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6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impairment charges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(7,246)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(9,188)</w:t>
            </w:r>
          </w:p>
        </w:tc>
      </w:tr>
      <w:tr>
        <w:trPr>
          <w:trHeight w:val="230"/>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920" w:type="dxa"/>
            <w:vAlign w:val="bottom"/>
          </w:tcPr>
          <w:p>
            <w:pPr>
              <w:spacing w:after="0"/>
              <w:rPr>
                <w:sz w:val="19"/>
                <w:szCs w:val="19"/>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7"/>
              </w:rPr>
              <w:t>(18,508)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(20,637)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(20,196)</w:t>
            </w:r>
          </w:p>
        </w:tc>
      </w:tr>
      <w:tr>
        <w:trPr>
          <w:trHeight w:val="209"/>
        </w:trPr>
        <w:tc>
          <w:tcPr>
            <w:tcW w:w="62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(17,489)</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certificates of deposit</w:t>
            </w:r>
          </w:p>
        </w:tc>
        <w:tc>
          <w:tcPr>
            <w:tcW w:w="9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maturity of certificates of deposit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disposition of discontinued operations</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r>
      <w:tr>
        <w:trPr>
          <w:trHeight w:val="209"/>
        </w:trPr>
        <w:tc>
          <w:tcPr>
            <w:tcW w:w="62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r>
      <w:tr>
        <w:trPr>
          <w:trHeight w:val="210"/>
        </w:trPr>
        <w:tc>
          <w:tcPr>
            <w:tcW w:w="6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20" w:type="dxa"/>
            <w:vAlign w:val="bottom"/>
            <w:gridSpan w:val="2"/>
          </w:tcPr>
          <w:p>
            <w:pPr>
              <w:spacing w:after="0"/>
              <w:rPr>
                <w:sz w:val="18"/>
                <w:szCs w:val="18"/>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(12,856)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20" w:type="dxa"/>
            <w:vAlign w:val="bottom"/>
            <w:gridSpan w:val="2"/>
          </w:tcPr>
          <w:p>
            <w:pPr>
              <w:spacing w:after="0"/>
              <w:rPr>
                <w:sz w:val="18"/>
                <w:szCs w:val="18"/>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39,551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52,407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shd w:val="clear" w:color="auto" w:fill="CCEEFF"/>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6" w:name="page37"/>
    <w:bookmarkEnd w:id="36"/>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Bassett Furniture Industries, Incorporated and Subsidiaries For the years ended November 29, 2025, November 30, 2024, and November 25, 2023 (In thousands, except share and per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280" w:type="dxa"/>
            <w:vAlign w:val="bottom"/>
          </w:tcPr>
          <w:p>
            <w:pPr>
              <w:spacing w:after="0"/>
              <w:rPr>
                <w:sz w:val="20"/>
                <w:szCs w:val="20"/>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26,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8,951,839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150,800</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195,609</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(282)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net of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($0.68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(5,982)</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74,421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(258,039)</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(2,293)</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29"/>
        </w:trPr>
        <w:tc>
          <w:tcPr>
            <w:tcW w:w="32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25,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8,768,221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(9,695)</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net of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($0.76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(6,654)</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79,490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(111,665)</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8,736,046</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43,681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122,847</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6,100</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net of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($0.80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(6,939)</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66,964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(151,956)</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32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29,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8,651,054</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121,128</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460" w:type="dxa"/>
            <w:vAlign w:val="bottom"/>
            <w:gridSpan w:val="13"/>
          </w:tcPr>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7" w:name="page38"/>
    <w:bookmarkEnd w:id="37"/>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Bassett Furniture Industries, Incorporated (together with its consolidated subsidiaries, “Bassett”, “we”, “our”, the “Company”) based in Bassett, Virginia, is a leading manufacturer, marketer and retailer of branded home furnishings. Bassett’s full range of furniture products and accessories, designed to provide quality, style and value, are sold through an exclusive nation-wide network of 86 retail stores known as Bassett Home Furnishings (referred to as “BHF”). Of the 86 stores, the Company owns and operates 57 stores (“Company-owned retail stores”) with the other 29 being independently owned (“licensee operated”). We also distribute our products through other multi-line furniture stores, many of which feature Bassett galleries or design centers. Products can also be purchased by the end consumer directly from our website.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sourced approximately 23% of our wholesale products from various foreign countries, with the remaining volume produced at our five domestic manufacturing facilities.</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 and Principles of Consolidation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fiscal year ends on the last Saturday in November, which periodically results in a 53-week year. Fiscal 2025 and 2023 each contained 52 weeks while fiscal 2024 contained 53 weeks. The Consolidated Financial Statements include the accounts of Bassett Furniture Industries, Incorporated and our subsidiaries, all of which are wholly owned.. All significant intercompany balances and transactions are eliminated in consolidation. The financial statements have been prepared in accordance with generally accepted accounting principles in the United States ("GAAP"). Unless otherwise indicated, references in the Consolidated Financial Statements to fiscal 2025, 2024 and 2023 are to Bassett's fiscal years ended November 29, 2025, November 30, 2024 and November 25, 2023, respectively. References to the “ASC” included hereinafter refer to the Accounting Standards Codification established by the Financial Accounting Standards Board as the source of authoritative GAAP.</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analyzed our licensees under the requirements for variable interest entities (“VIEs”). All of these licensees operate as BHF stores and are furniture retailers. We sell furniture to these licensees, and in some cases have acted as a sublessor and made lease guarantees. We have recorded reserves for potential exposures related to these licensees. See Note 15 for disclosure of leases and lease guarantees. Based on financial projections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exist pursuant to our license and security agreements and are in the nature of protective rights as contemplated under ASC Topic 810. We completed our assessment for other potential VIEs and concluded that there were none. We will continue to reassess the status of potential VIEs including when facts and circumstances surrounding each potential VIE change.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Inc. (“Noa Home”), a mid-priced e-commerce furniture retailer headquartered in Montreal, Canada. Noa Home had operations in Canada, Australia, Singapore and the United Kingdom. Since acquisition, Noa Home was consolidated as a wholly-owned subsidiary. During the second quarter of fiscal 2024 we concluded that Noa Home was not likely to achieve profitability in the foreseeable future and decided to cease operations and sell the remaining inventory in an orderly manner. As of November 30, 2024 we had substantially completed the liquidation of Noa Home’s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liabilities at the date of the financial statements and the reported amounts of revenues and expenses during the reporting period. Some of the more significant estimates include allowances for credit losses, calculation of inventory reserves, the valuation of our reporting units for the purpose of testing the carrying value of goodwill, and the valuation of our right of use assets. We also utilize estimates in determining the valuation of income tax reserves, insurance reserves, and assumptions related to our post-employment benefit obligations.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requires a company to recognize revenue when it transfers promised goods or services to customers in an amount that reflects the consideration the company expects to receive in exchange for those goods or services. For our wholesale and retail segments, revenue is recognized at a point in time when the risks and rewards of ownership and title to the product have transferred to the buyer.</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wholesale, transfer occurs and revenue is recognized upon the shipment of goods to independent dealers and licensee-owned BHF stores. We offer payment terms varying from 30 to 60 days for licensees and wholesale customers. Estimates for returns and allowances have been recorded as a reduction of revenue based on our historical return patterns. Our accounts receivable, net, which are associated with our wholesale segment, were $14,410, $13,181 and $13,736 at November 29, 2025, November 30, 2024 and November 25, 2023, respectively. The contracts with our licensee store owners do not provide for any royalty or license fee to be paid to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$24,969, $25,742 and $22,788 as of November 29, 2025, November 30, 2024 and November 25, 2023, respectively. Substantially all of the customer deposits held at November 30, 2024 related to performance obligations that were satisfied during fiscal 2025 and have therefore been recognized in revenue for the year ended November 29, 2025. Estimates for returns and allowances have been recorded as a reduction of revenue based on our historical return patterns. The estimate for returns and allowances was $2,732, $3,970 and $4,883 at November 29, 2025, November 30, 2024 and November 25, 2023, respectively, and is included with other accrued liabilities in the accompanying balance sheets. Some accessories sold to our retail customers are shipped directly to the customer by third-party vendors who have the responsibility for the performance obligation with respect to those items. Because we are acting in the capacity of an agent for the vendor in these sales, we recognize the revenue net of the cost paid to the vendor.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November 29, 2025, November 30, 2024 and November 25, 2023, our balance of prepaid commissions included in other current assets was $2,662, $2,928 and $2,245,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accounting and reporting under ASC 606, we apply the following policy elections and practical expedients:</w:t>
      </w:r>
    </w:p>
    <w:p>
      <w:pPr>
        <w:spacing w:after="0" w:line="2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revenue amounts collected from customers for sales tax.</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the promised amount of consideration for the effects of a significant financing component since the period of time between transfer of our goods or services and the collection of consideration from the customer is less than one year.</w:t>
      </w:r>
    </w:p>
    <w:p>
      <w:pPr>
        <w:ind w:left="66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value of unsatisfied performance obligations because the transfer of goods or services is made within one year of the placement of customer orders.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for disaggregated revenue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and Short-Term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cash on hand, demand deposits in banks and all highly liquid investments with an original maturity of three months or less to be cash and cash equivalents. Substantially all of our cash and cash equivalents are in excess of federal deposit insurance limits. Our short-term investments consist of certificates of deposit that have original maturities of twelve months or less but greater than three months and all placed with federally insured financial institutions and are within federal deposit insurance limits.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trade accounts receivable is due from customers located within the United States. 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Actual credit losses could differ from those estimates. We have elected to use the practical expedient under ASC Topic 326 which allows us to assume that current conditions as of the balance sheet date do not change over the expected life of the receivables (see Recent Accounting Pronouncements below regarding the early adoption of ASU 2025-05).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Concentrations of Credit Risk and Major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subject us to credit risk consist primarily of investments, accounts and financial guarantees. Investments are managed within established guidelines to mitigate risks. Accounts and notes receivable and financial guarantees subject us to credit risk partially due to the concentration of amounts due from and guaranteed on behalf of independent licensee customers. At November 29, 2025 and November 30, 2024, our aggregate exposure from receivables and guarantees related to customers consisted of the following:</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5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(Note 4)</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80" w:type="dxa"/>
            <w:vAlign w:val="bottom"/>
            <w:shd w:val="clear" w:color="auto" w:fill="CCEEFF"/>
          </w:tcPr>
          <w:p>
            <w:pPr>
              <w:spacing w:after="0"/>
              <w:rPr>
                <w:sz w:val="18"/>
                <w:szCs w:val="18"/>
                <w:color w:val="auto"/>
              </w:rPr>
            </w:pP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Contingent obligations under lease guarantees, less amounts recognized</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 15)</w:t>
            </w:r>
          </w:p>
        </w:tc>
        <w:tc>
          <w:tcPr>
            <w:tcW w:w="10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4,118</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5,100</w:t>
            </w:r>
          </w:p>
        </w:tc>
      </w:tr>
      <w:tr>
        <w:trPr>
          <w:trHeight w:val="223"/>
        </w:trPr>
        <w:tc>
          <w:tcPr>
            <w:tcW w:w="56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credit risk exposure related to customers</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November 29, 2025 and November 30, 2024, approximately 41% and 43%, respectively, of the aggregate risk exposure, net of reserves, shown above was attributable to five customers. In fiscal 2025, 2024 and 2023, no customer accounted for more than 10% of total consolidated net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foreign manufacturing operations. We define export sales from our wholesale segment as sales to any country or territory other than the United States or its territories or possessions. Our wholesale export sales were approximately $334, $323, and $406 in fiscal 2025, 2024, and 2023, respectively. All of our export sales are invoiced and settled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(finished goods, work in process, raw materials and retail merchandise) accounted for under the first-in, first out (“FIFO”) method are stated at the lower of cost or net realizable value or, in the case of inventory accounted for under the last-in, first out (“LIFO”) method, at the lower of cost or market. Cost is determined for domestic manufactured furniture inventories using the LIFO method because we believe this methodology provides better matching of revenue and expenses. The cost of imported inventories as well as Lane Venture and Bassett Outdoor product inventories are determined on a first-in, first-out (“FIFO”) basis. Inventories accounted for under the LIFO method represented 46% and 50% of total inventory before reserves at November 29, 2025 and November 30, 2024, respectively. We estimate inventory reserves for excess quantities and obsolete items based on specific identification and historical write-offs, taking into account future demand and market conditions. If actual demand or market conditions in the future are less favorable than those estimated, additional inventory write-downs may be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is comprised of all land, buildings and leasehold improvements and machinery and equipment used in the manufacturing and warehousing of furniture, our Company-owned retail operations, our logistical services operations, and corporate administration. This property and equipment is stated at cost less accumulated depreciation. Depreciation is computed over the estimated useful lives of the respective assets utilizing the straight-line method. Buildings and improvements are generally depreciated over a period of 10 to 39 years. Machinery and equipment are generally depreciated over a period of 5 to 10 years. Leasehold improvements are amortized based on the underlying lease term, or the asset’s estimated useful life, whichever is shorter.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given over the fair value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level annually for impairment or more frequently if events or circumstances indicate that assets might be impaired.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&amp; Other,</w:t>
      </w:r>
      <w:r>
        <w:rPr>
          <w:rFonts w:ascii="Times New Roman" w:cs="Times New Roman" w:eastAsia="Times New Roman" w:hAnsi="Times New Roman"/>
          <w:sz w:val="18"/>
          <w:szCs w:val="18"/>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2025, 2024 and 2023 we performed the qualitative assessment as described above with respect to our upholstery reporting unit and concluded that there was no impairment of goodwill. With respect to our former Noa Home reporting unit, for the annual test of goodwill as of the beginning of the fourth quarter of fiscal 2023 we proceeded to the quantitative test and concluded that the goodwill allocated to that reporting unit as of November 25, 2023 was fully impaired.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3),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 See Note 7 for additional information regarding the results of our goodwill impairment test performed as of the beginning of the fourth quarter of fiscal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guidance requires lessees to recognize substantially all leases on their balance sheet as a right-of-use (“ROU”) asset and a lease liability.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We determine if a contract contains a lease at inception based on our right to control the use of an identified asset and our right to obtain substantially all of the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factors. Any options that meet this criteria are included in the lease term at lease commencement.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leases do not have an interest rate implicit in the lease. As a result, for purposes of measuring our ROU asset and lease liability, we determine our incremental borrowing rate by applying a spread above the U.S. Treasury borrowing rates which we believe approximates the rate we would get if borrowing on a collateralized basis based on information available at the commencement date. In the case an interest rate is implicit in a lease we will use that rate as the discount rate for that lease. Some of our leases contain variable rent payments based on a Consumer Price Index or percentage of sales. Due to the variable nature of these costs, they are not included in the measurement of the ROU asset and lease liability.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an accounting policy election to not recognize ROU assets and lease liabilities on the balance sheet for those leases with initial terms of one year or less and instead such lease obligations will be expensed on a straight-line basis over the lease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additional information regarding our leases.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acquired in a business combination and determined to have an indefinite useful 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the second quarter of fiscal 2024, in conjunction with our decision to close Noa Home and cease operations by the end of fiscal 2024, we fully impaired the carrying value of the intangible asset for the Noa Home trade name.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 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evaluate whether events or circumstances have occurred that indicate 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and eventual disposition of the asset. In the event the sum of the expected undiscounted future cash flows is less than the carrying value of the asset, an impairment loss equal to the excess of the asset’s carrying value over its fair value is recorded. Fair value is determined based on discounted cash flows or appraised values depending on the nature of the assets. The long-term nature of these assets requires the estimation of cash inflows and outflows several years into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ROU assets under operating leases are written down to their estimated fair value. Our estimates of the fair value of the impaired ROU assets included estimates of discounted cash flows based upon current market rents and other inputs which we consider to be Level 3 inputs as specified in the fair value hierarchy in ASC Topic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xml:space="preserve"> (see Note 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unrecognized tax benefits is adequate, it is often difficult to predict the final outcome or the timing of the resolution of any particular tax matters. We may adjust these liabilities as relevant circumstances evolve, such as guidance from the relevant tax authority or our tax advisors, or resolution of issues in the courts. These adjustments are recognized as a component of income tax expense in the period in which they are identified.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deferred income tax assets to determine if valuation allowances are required or should be adjusted. A valuation allowance is established against our deferred tax assets based on consideration of all available evidence, both positive and negative, using a “more likely than not” standard. This assessment considers, among other matters, the nature, frequency and severity of recent losses, forecasts of future profitability, the duration of statutory carryforward or carryback periods, our experience with tax attributes expiring unused and tax planning alternatives. In making such judgments, significant weight is given to evidence that can be objectively verified. See Note 13 for additional information regarding our income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Shipping and Handling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to deliver wholesale merchandise to customers are recorded in selling, general and administrative expense and totaled $23,005, $22,721, and $26,125 for fiscal 2025, 2024 and 2023, respectively. Costs incurred to deliver retail merchandise to customers, including the cost of operating regional distribution warehouses, are also recorded in selling, general and administrative expense and totaled $20,317, $20,342, and $23,399 for fiscal 2025,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for producing and distributing advertising and advertising materials are expensed when incurred and are included in selling, general and administrative expenses. Advertising costs totaled $10,330, $13,256, and $19,106 in fiscal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Reserves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self-funded insurance programs in place to cover workers’ compensation and health insurance. These insurance programs are subject to various stop-loss limitations. We accrue estimated losses using historical loss experience. Although we believe that the insurance reserves are adequate, the reserve estimates are based on historical experience, which may not be indicative of current and future losses. We adjust insurance reserves, as needed, in the event that future loss experience differs from historical loss patterns.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Refer to the supplemental lease disclosures in Note 15 for cash flow impacts of leasing transactions during fiscal 2025, 2024 and 2023. At November 29, 2025 and November 30, 2024, $34 and $273, respectively, of our fiscal 2025 and 2024 purchases of property and equipment were unpaid and included in accounts payable in the accompanying balance sheets. Otherwise, there were no material non-cash investing or financing activities during fiscal 2025, 2024 or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fiscal 2025, 2024 and 2023 was $36, $21 and $22,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for taxes paid net of refunds received.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as of the beginning of fiscal 2025, we adopted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As of and for the year ended November 29, 2025 we do not hold any investments in equity securities, therefore the adoption of this guidance did not have an impact upon our financial position or results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 Financial Instruments – Credit Losses (Topic ASC 326) Measurement of Credit Losses for Accounts Receivable and Contract Assets.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We have elected to adopt ASU 2025-05 beginning with the third quarter of fiscal 2025 and have elected to utilize the practical expedient provided therein. The adoption of this ASU as of June 1, 2025 did not have a material impact on our financial position 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29, 2025, we adopted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enhanced disclosures required by ASU 2023-07 are reflected in our segment disclosures in Note 18. The adoption of this guidance related solely to disclosures and did not have an impact upon our financial position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We do not expect that this guidance will have a material impact upon our financial position and results of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Investments and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accounts receivable, and accounts payable. Because of their short maturities, the carrying amounts of cash and cash equivalents, short-term investments in certificates of deposit,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$17,963 and $20,360 at November 29, 2025 and November 30, 2024 consisted of certificates of deposit (CDs) with original terms of six to twelve months, bearing interest at rates ranging from 2.01% to 4.21%. At November 29, 2025, the weighted average remaining time to maturity of the CDs was approximately three months and the weighted average yield of the CDs was approximately 4.0%. As the CDs mature, we expect to reinvest them in CDs of similar maturities of up to one year. Due to the nature of these investments and their relatively short maturities, the carrying amount of the short-term investments at November 29, 2025 and November 30, 2024 approximates their fair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in CDs at November 30, 2024 included one CD in the amount of $2,500 which was placed with a financial institution that provided merchant services for our retail segment. This CD was pledged as security for the merchant services agreement. The CD, which was in excess of federal deposit insurance limits, had a six-month term which was renewed through October of 2025 and an interest rate of 2.0%. The requirement to maintain the pledge was waived prior to the maturity of the CD, therefore it was allowed to mature and the funds were returned to cash and cash equivalents.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involve the following: goodwill impairment testing (Note 7), which involves Level 3 inputs; and asset impairments (Note 14) which utilize Level 3 inputs.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7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accounts receivable</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138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(recoveries) charged to expense</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to allowance, net</w:t>
            </w: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the year</w:t>
            </w:r>
          </w:p>
        </w:tc>
        <w:tc>
          <w:tcPr>
            <w:tcW w:w="7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accounts receivable written off against the reserve during the year ended November 29, 2025 orginated during fiscal 2024.</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 See Note 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6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5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16,040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14,921</w:t>
            </w:r>
          </w:p>
        </w:tc>
        <w:tc>
          <w:tcPr>
            <w:tcW w:w="60" w:type="dxa"/>
            <w:vAlign w:val="bottom"/>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5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32,503</w:t>
            </w:r>
          </w:p>
        </w:tc>
        <w:tc>
          <w:tcPr>
            <w:tcW w:w="5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31,744</w:t>
            </w:r>
          </w:p>
        </w:tc>
        <w:tc>
          <w:tcPr>
            <w:tcW w:w="6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79,833</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5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(12,016)</w:t>
            </w:r>
          </w:p>
        </w:tc>
        <w:tc>
          <w:tcPr>
            <w:tcW w:w="5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(11,665)</w:t>
            </w:r>
          </w:p>
        </w:tc>
      </w:tr>
      <w:tr>
        <w:trPr>
          <w:trHeight w:val="230"/>
        </w:trPr>
        <w:tc>
          <w:tcPr>
            <w:tcW w:w="66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(6,027)</w:t>
            </w:r>
          </w:p>
        </w:tc>
        <w:tc>
          <w:tcPr>
            <w:tcW w:w="5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r>
      <w:tr>
        <w:trPr>
          <w:trHeight w:val="223"/>
        </w:trPr>
        <w:tc>
          <w:tcPr>
            <w:tcW w:w="6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61,790</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source a significant amount of our wholesale product from other countries. During 2025, 2024 and 2023, purchases from our three largest vendors primarily located in Vietnam were $15,108, $11,689 and $15,601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5" w:name="page46"/>
    <w:bookmarkEnd w:id="45"/>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Wholesale Segment</w:t>
            </w:r>
          </w:p>
        </w:tc>
        <w:tc>
          <w:tcPr>
            <w:tcW w:w="14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Retail Segment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26, 2022</w:t>
            </w: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(3,834)</w:t>
            </w:r>
          </w:p>
        </w:tc>
        <w:tc>
          <w:tcPr>
            <w:tcW w:w="1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25, 2023</w:t>
            </w:r>
          </w:p>
        </w:tc>
        <w:tc>
          <w:tcPr>
            <w:tcW w:w="14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(4,271)</w:t>
            </w:r>
          </w:p>
        </w:tc>
        <w:tc>
          <w:tcPr>
            <w:tcW w:w="14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30, 2024</w:t>
            </w:r>
          </w:p>
        </w:tc>
        <w:tc>
          <w:tcPr>
            <w:tcW w:w="1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29, 2025</w:t>
            </w:r>
          </w:p>
        </w:tc>
        <w:tc>
          <w:tcPr>
            <w:tcW w:w="14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9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November 29,</w:t>
            </w:r>
          </w:p>
        </w:tc>
        <w:tc>
          <w:tcPr>
            <w:tcW w:w="14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122,688</w:t>
            </w:r>
          </w:p>
        </w:tc>
        <w:tc>
          <w:tcPr>
            <w:tcW w:w="14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106,318</w:t>
            </w:r>
          </w:p>
        </w:tc>
        <w:tc>
          <w:tcPr>
            <w:tcW w:w="1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239,872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(166,697)</w:t>
            </w:r>
          </w:p>
        </w:tc>
        <w:tc>
          <w:tcPr>
            <w:tcW w:w="1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73,175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our property and equipment by reportable segment is a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November 29,</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39,455</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40,756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12,701</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14,632</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0" w:right="2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the property and equipment shown above was included in income (loss) from operations in our consolidated statements of operations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(wholesale segment)</w:t>
            </w:r>
          </w:p>
        </w:tc>
        <w:tc>
          <w:tcPr>
            <w:tcW w:w="13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1,995</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 segment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segment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3,884</w:t>
            </w:r>
          </w:p>
        </w:tc>
        <w:tc>
          <w:tcPr>
            <w:tcW w:w="10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2,599</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178"/>
        </w:trPr>
        <w:tc>
          <w:tcPr>
            <w:tcW w:w="42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Total included in selling, general and administrative</w:t>
            </w:r>
          </w:p>
        </w:tc>
        <w:tc>
          <w:tcPr>
            <w:tcW w:w="3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depreciation expense included in income from</w:t>
            </w: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00" w:type="dxa"/>
            <w:vAlign w:val="bottom"/>
            <w:vMerge w:val="continue"/>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8,743</w:t>
            </w:r>
          </w:p>
        </w:tc>
        <w:tc>
          <w:tcPr>
            <w:tcW w:w="104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9,860</w:t>
            </w:r>
          </w:p>
        </w:tc>
        <w:tc>
          <w:tcPr>
            <w:tcW w:w="4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10,084</w:t>
            </w: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in our balance sheets at both November 29, 2025 and November 30, 2024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3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2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(1,926)</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by reportable segment during fiscal 2025,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4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26, 2022</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12,771</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Full impairment of Noa Home goodwill</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r>
      <w:tr>
        <w:trPr>
          <w:trHeight w:val="210"/>
        </w:trPr>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25, 2023</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30"/>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changes in fiscal 2024</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November 30, 2024</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30"/>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changes in fiscal 2025</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29, 2025</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the annual tests for impairment of the carrying value of our goodwill as of the beginning of the fourth quarter of fiscal 2025, 2024 and 2023. Based on the initial qualitative analysis performed under ASC Topic 350, we concluded that is was not more likely than not that the carrying value of our upholstery reporting unit within our wholesale segment exceeded its fair value at November 29, 2025, November 30, 2024 and November 25, 2023. In fiscal 2023, due to the actual and expected future underperformance of our Noa Home reporting unit relative to management's original expectations, we performed a strategic review of the operations as of the beginning of the fourth quarter and concluded that Noa Home should exit the Australian market and focus more on the North American market. Coupled with the financial underperformance and the exit from Australia, we performed a quantitative test of the carrying value of the goodwill recognized as part of the 2022 acquisition of Noa Home and concluded that it was necessary to fully impair the carrying value of the Noa Home goodwill, resulting in a non-cash impairment charge of $5,409 in fiscal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determination of the fair value of our reporting units is based on a combination of a market approach, which considers benchmark company market multiples and comparable transactions occurring within the last two years and an income approach, which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3) The valuation of the Noa Home reporting unit was primarily based on the market approach due to significant uncertainty in the future cash flows of Noa Home. Under the income approach, we determine fair value based on the present value of the most recent cash flow projections for each reporting unit as of the date of the analysis and calculate a terminal value utilizing a terminal growth rate. The significant assumptions under this approach include, among others: income projections, which are dependent on future sales,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at November 29, 2025 and November 30, 2024 consisted of the following:</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6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6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0"/>
        </w:trPr>
        <w:tc>
          <w:tcPr>
            <w:tcW w:w="60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 net</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6,848</w:t>
            </w:r>
          </w:p>
        </w:tc>
        <w:tc>
          <w:tcPr>
            <w:tcW w:w="6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r>
      <w:tr>
        <w:trPr>
          <w:trHeight w:val="209"/>
        </w:trPr>
        <w:tc>
          <w:tcPr>
            <w:tcW w:w="60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6,910</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useful lives of our finite-lived intangible assets and remaining amortization periods as of November 29, 2025 are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5480" w:type="dxa"/>
            <w:vAlign w:val="bottom"/>
          </w:tcPr>
          <w:p>
            <w:pPr>
              <w:spacing w:after="0"/>
              <w:rPr>
                <w:sz w:val="18"/>
                <w:szCs w:val="18"/>
                <w:color w:val="auto"/>
              </w:rPr>
            </w:pP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 in</w:t>
            </w:r>
          </w:p>
        </w:tc>
      </w:tr>
      <w:tr>
        <w:trPr>
          <w:trHeight w:val="238"/>
        </w:trPr>
        <w:tc>
          <w:tcPr>
            <w:tcW w:w="5480" w:type="dxa"/>
            <w:vAlign w:val="bottom"/>
          </w:tcPr>
          <w:p>
            <w:pPr>
              <w:spacing w:after="0"/>
              <w:rPr>
                <w:sz w:val="20"/>
                <w:szCs w:val="20"/>
                <w:color w:val="auto"/>
              </w:rPr>
            </w:pP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10"/>
        </w:trPr>
        <w:tc>
          <w:tcPr>
            <w:tcW w:w="54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trade name intangible asset at November 29, 2025 and November 30, 2024 is associated with Lane Venture. Because it is our intention to maintain and grow this brand, it is considered to be an indefinite-lived intangible asset. The amortization expense associated with finite-lived intangible assets during fiscal 2025, 2024 and 2023 was $58 each year and is included in selling, general and administrative expense in our consolidated statement of operations. All expense arising from the amortization of intangible assets is associated with our wholesale segment. Estimated future amortization expense for intangible assets that exist at November 29, 2025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4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4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w:t>
            </w:r>
          </w:p>
        </w:tc>
        <w:tc>
          <w:tcPr>
            <w:tcW w:w="4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8" w:name="page49"/>
    <w:bookmarkEnd w:id="48"/>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November 29, 2025 and November 30, 2024, we had $8,182 and $6,013, respectively, outstanding under standby letters of credit against our line. The line bears interest at the One-Month Term Secured Overnight Financing Rate (“One-Month Term SOFR”) plus 1.75% and is secured by our accounts receivable (Note 4) and inventory (Note 5).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9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used commitment was less than $8,250 at November 29, 2025, we were not required to test the Consolidated Fixed Charge Coverage Ratio or the Consolidated Lease Adjusted Leverage to EBITDAR Ratio. However, had we been required to test those ratios, we would have been in full compliance. Consequently, our availability under the Credit Facility is currently $16,818. As of November 29, 2025, the Credit Facility was scheduled to expire on January 31, 2027. Subsequent to November 29, 2025, the Credit Facility has been extended through January 31, 2029 under substantially the same terms.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10. Post-Employment Benefit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Savings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2017, our Board of Directors, upon the recommendation of the Organization, Compensation and Nominating Committee (the “Committee”), adopted the Bassett Furniture Industries, Incorporated Management Savings Plan (the “Plan”). The Plan is an unfunded, nonqualified deferred compensation plan maintained for the benefit of certain highly compensated or management level employees.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is an account-based plan under which (i) participants may defer voluntarily the payment of current compensation to future years (“participant deferrals”) and (ii) the Company may make annual awards to participants payable in future years (“Company contributions”). The Plan permits each participant to defer up to 75% of base salary and up to 100% of any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Plan. Each participant’s account will be adjusted to reflect gains and losses based on the performance of the selected investment alternatives. A participant may receive distributions from the Plan:</w:t>
      </w:r>
    </w:p>
    <w:p>
      <w:pPr>
        <w:spacing w:after="0" w:line="5" w:lineRule="exact"/>
        <w:rPr>
          <w:sz w:val="20"/>
          <w:szCs w:val="20"/>
          <w:color w:val="auto"/>
        </w:rPr>
      </w:pPr>
    </w:p>
    <w:p>
      <w:pPr>
        <w:jc w:val="both"/>
        <w:ind w:firstLine="8"/>
        <w:spacing w:after="0" w:line="251" w:lineRule="auto"/>
        <w:tabs>
          <w:tab w:leader="none" w:pos="2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 Expense associated with deferred compensation under the Plan was $537, $925 and $46 for fiscal 2025, 2024 and 2023, respectively, and is included in selling, general and administrative expenses in the accompanying statements of operations. Our liability for Company contributions and participant deferrals at November 29, 2025 and November 30, 2024 was $3,968 and $3,486, respectively, and is included in post-employment benefit obligations in our consolidated balance sheets.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 2017, we made Long Term Cash Awards (“LTC Awards”) totaling $2,000 under the Plan to certain management employees in the amount of $400 each.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 During fiscal 2024 and 2023, we invested $343 and $1,019 in life insurance policies covering all participants in the Plan. During fiscal 2025, we received a net refund of premiums paid of $28. At November 29, 2025, these policies including those entered into prior to fiscal 2024, have a net death benefit of $16,343 for which the Company is the sole beneficiary. These policies are intended to provide a potential source of funds to meet the obligations arising from the deferred compensation and LTC Awards under the Plan and serve as an economic hedge of the financial impact of changes in the liabilities. They are held in an irrevocable trust but are subject to claims of creditors in the event of the Company’s insolvency.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Retirement Income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Upon retirement, the Supplemental Plan provides for lifetime monthly payments in an amount equal to 65% of the participant’s final average compensation as defined in the Supplemental Plan, which is reduced by certain social security benefits to be received and other benefits provided by us. The Supplemental Plan also provides a death benefit that is calculated as (a) prior to retirement death, which pays the beneficiary 50% of final average annual compensation for a period of 120 months, or (b) post-retirement death, which pays the beneficiary 200% of final average compensation in a single payment. We own life insurance policies on these executives with a current net death benefit of $1,542 at November 29, 2025. We expect that any death benefit payable out of the plan would be substantially offset by the proceeds received from our life insurance policy upon the death of the executive. Funding for the remaining cash flows is expected to be provided through operations. There are no benefits payable as a result of a termination of employment for any reason other than death or retirement, other than a change of control provision which provides for the immediate vesting and payment of the retirement benefit under the Supplemental Plan in the event of an employment termination resulting from a change of control.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Aggregated summarized information for the Supplemental Plan and the LTC Awards, measured as of the end of each year presented,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6,917</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(gains) and losses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6,990</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6,917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 rate used to value the ending benefit obligations: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6,175</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6,125</w:t>
            </w:r>
          </w:p>
        </w:tc>
      </w:tr>
      <w:tr>
        <w:trPr>
          <w:trHeight w:val="263"/>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amounts recognized</w:t>
            </w:r>
          </w:p>
        </w:tc>
        <w:tc>
          <w:tcPr>
            <w:tcW w:w="7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tcBorders>
              <w:bottom w:val="single" w:sz="8" w:color="CCEEFF"/>
            </w:tcBorders>
          </w:tcPr>
          <w:p>
            <w:pPr>
              <w:spacing w:after="0"/>
              <w:rPr>
                <w:sz w:val="22"/>
                <w:szCs w:val="22"/>
                <w:color w:val="auto"/>
              </w:rPr>
            </w:pPr>
          </w:p>
        </w:tc>
      </w:tr>
      <w:tr>
        <w:trPr>
          <w:trHeight w:val="197"/>
        </w:trPr>
        <w:tc>
          <w:tcPr>
            <w:tcW w:w="748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 before income tax effects: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(972)</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(1,066)</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7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recognized in net periodic benefit cost and accumulated other comprehensive income:</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26"/>
        </w:trPr>
        <w:tc>
          <w:tcPr>
            <w:tcW w:w="5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other loss</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 used to determine net periodic pension cost: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future compensation levels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(with mortality):</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2026</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2027</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2028</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2029</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2030</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2031 through 2035</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$972 net gain recognized in accumulated other comprehensive income at November 29, 2025, $56 of amortization is expected to be recognized as a component of net periodic pension cost during fiscal 2026.</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loss, net in our consolidated statements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and certain former executives and provides for voluntary deferral of compensation. This plan has been frozen with no additional participants or benefits permitted. We recognized expense of $108, $79, and $204 in fiscal 2025, 2024, and 2023, respectively, associated with the plan. Our liability under this plan was $1,562 and $1,568 as of November 29, 2025 and November 30, 2024, respectively. The non-current portion of this obligation is included in post-employment benefit obligations in our consolidated balance sheets, with the current portion included in accrued compensation and benefits.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non-current portion of the obligations under our defined benefit and deferred compensation plans are included post employment benefit obligations in the accompanying balance sheets as follows:</w:t>
      </w:r>
    </w:p>
    <w:p>
      <w:pPr>
        <w:spacing w:after="0" w:line="171"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plans:</w:t>
            </w: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Plan</w:t>
            </w:r>
          </w:p>
        </w:tc>
        <w:tc>
          <w:tcPr>
            <w:tcW w:w="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4,917</w:t>
            </w:r>
          </w:p>
        </w:tc>
        <w:tc>
          <w:tcPr>
            <w:tcW w:w="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80" w:type="dxa"/>
            <w:vAlign w:val="bottom"/>
          </w:tcPr>
          <w:p>
            <w:pPr>
              <w:spacing w:after="0"/>
              <w:rPr>
                <w:sz w:val="18"/>
                <w:szCs w:val="18"/>
                <w:color w:val="auto"/>
              </w:rPr>
            </w:pPr>
          </w:p>
        </w:tc>
      </w:tr>
      <w:tr>
        <w:trPr>
          <w:trHeight w:val="230"/>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LTC Awards</w:t>
            </w: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9"/>
                <w:szCs w:val="19"/>
                <w:color w:val="auto"/>
              </w:rPr>
            </w:pPr>
          </w:p>
        </w:tc>
      </w:tr>
      <w:tr>
        <w:trPr>
          <w:trHeight w:val="209"/>
        </w:trPr>
        <w:tc>
          <w:tcPr>
            <w:tcW w:w="5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defined benefit plans</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6,175</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Savings Plan</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CEEFF"/>
          </w:tcPr>
          <w:p>
            <w:pPr>
              <w:spacing w:after="0"/>
              <w:rPr>
                <w:sz w:val="18"/>
                <w:szCs w:val="18"/>
                <w:color w:val="auto"/>
              </w:rPr>
            </w:pPr>
          </w:p>
        </w:tc>
      </w:tr>
      <w:tr>
        <w:trPr>
          <w:trHeight w:val="229"/>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5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9"/>
                <w:szCs w:val="19"/>
                <w:color w:val="auto"/>
              </w:rPr>
            </w:pPr>
          </w:p>
        </w:tc>
      </w:tr>
      <w:tr>
        <w:trPr>
          <w:trHeight w:val="209"/>
        </w:trPr>
        <w:tc>
          <w:tcPr>
            <w:tcW w:w="5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compensation plans</w:t>
            </w:r>
          </w:p>
        </w:tc>
        <w:tc>
          <w:tcPr>
            <w:tcW w:w="5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5,204</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80" w:type="dxa"/>
            <w:vAlign w:val="bottom"/>
          </w:tcPr>
          <w:p>
            <w:pPr>
              <w:spacing w:after="0"/>
              <w:rPr>
                <w:sz w:val="19"/>
                <w:szCs w:val="19"/>
                <w:color w:val="auto"/>
              </w:rPr>
            </w:pPr>
          </w:p>
        </w:tc>
      </w:tr>
      <w:tr>
        <w:trPr>
          <w:trHeight w:val="209"/>
        </w:trPr>
        <w:tc>
          <w:tcPr>
            <w:tcW w:w="5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11,379</w:t>
            </w:r>
          </w:p>
        </w:tc>
        <w:tc>
          <w:tcPr>
            <w:tcW w:w="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80" w:type="dxa"/>
            <w:vAlign w:val="bottom"/>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portion of these post employment benefit obligations totalled $1,142 and $1,123 at November 29, 2025 and November 30, 2024, respectively, and is included in other accrued liabilities in the accompanying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Contribution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qualified defined contribution plan (Employee Savings/Retirement Plan) that covers substantially all employees who elect to participate and have fulfilled the necessary service requirements. Employee contributions to the Plan are matched at the rate of 25% of up to 8% of gross pay, regardless of years of service. Expense for employer matching contributions was $921, $943 and $998 during fiscal 2025, 2024 and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at November 29, 2025 and November 30, 2024 consisted of the following:</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56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from defined benefit plans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 effects</w:t>
            </w:r>
          </w:p>
        </w:tc>
        <w:tc>
          <w:tcPr>
            <w:tcW w:w="6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6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09"/>
        </w:trPr>
        <w:tc>
          <w:tcPr>
            <w:tcW w:w="5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activity in accumulated other comprehensive income for fiscal years 2025, 2024 and 2023, which is comprised of post-retirement benefit actuarial gains or losses related to our Supplemental Plan and LTC Awards as well as cumulative translation adjustments arising from our former investment in Noa Home, is as follows:</w:t>
      </w:r>
    </w:p>
    <w:p>
      <w:pPr>
        <w:sectPr>
          <w:pgSz w:w="11900" w:h="16838" w:orient="portrait"/>
          <w:cols w:equalWidth="0" w:num="1">
            <w:col w:w="11220"/>
          </w:cols>
          <w:pgMar w:left="320" w:top="819" w:right="35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Actuarial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660" w:right="740"/>
        <w:spacing w:after="0" w:line="250" w:lineRule="auto"/>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 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570039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Tax effects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70039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Actuarial gains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Net pension amortization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570039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660"/>
        <w:spacing w:after="0" w:line="181" w:lineRule="auto"/>
        <w:rPr>
          <w:sz w:val="20"/>
          <w:szCs w:val="20"/>
          <w:color w:val="auto"/>
        </w:rPr>
      </w:pPr>
      <w:r>
        <w:rPr>
          <w:rFonts w:ascii="Times New Roman" w:cs="Times New Roman" w:eastAsia="Times New Roman" w:hAnsi="Times New Roman"/>
          <w:sz w:val="18"/>
          <w:szCs w:val="18"/>
          <w:color w:val="auto"/>
        </w:rPr>
        <w:t xml:space="preserve">Foreign currency translation adjustment </w:t>
      </w:r>
      <w:r>
        <w:rPr>
          <w:rFonts w:ascii="Times New Roman" w:cs="Times New Roman" w:eastAsia="Times New Roman" w:hAnsi="Times New Roman"/>
          <w:sz w:val="29"/>
          <w:szCs w:val="29"/>
          <w:color w:val="auto"/>
          <w:vertAlign w:val="superscript"/>
        </w:rPr>
        <w:t>(1)</w:t>
      </w:r>
    </w:p>
    <w:p>
      <w:pPr>
        <w:ind w:left="660"/>
        <w:spacing w:after="0"/>
        <w:rPr>
          <w:sz w:val="20"/>
          <w:szCs w:val="20"/>
          <w:color w:val="auto"/>
        </w:rPr>
      </w:pPr>
      <w:r>
        <w:rPr>
          <w:rFonts w:ascii="Times New Roman" w:cs="Times New Roman" w:eastAsia="Times New Roman" w:hAnsi="Times New Roman"/>
          <w:sz w:val="18"/>
          <w:szCs w:val="18"/>
          <w:color w:val="auto"/>
        </w:rPr>
        <w:t>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570039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 at November 30, 2024</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Actuarial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660" w:right="740"/>
        <w:spacing w:after="0" w:line="271" w:lineRule="auto"/>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570039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 at November 29, 2025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360" w:hanging="1353"/>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(378)</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152</w:t>
      </w:r>
    </w:p>
    <w:p>
      <w:pPr>
        <w:spacing w:after="0" w:line="23"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170</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39</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652</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(220)</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793</w:t>
      </w:r>
    </w:p>
    <w:p>
      <w:pPr>
        <w:spacing w:after="0" w:line="23"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(29)</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(65)</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ind w:left="1260" w:hanging="125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68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300" w:space="720"/>
            <w:col w:w="3200"/>
          </w:cols>
          <w:pgMar w:left="320" w:top="819" w:right="359" w:bottom="1440" w:gutter="0" w:footer="0" w:header="0"/>
          <w:type w:val="continuous"/>
        </w:sectPr>
      </w:pPr>
    </w:p>
    <w:p>
      <w:pPr>
        <w:spacing w:after="0" w:line="52" w:lineRule="exact"/>
        <w:rPr>
          <w:sz w:val="20"/>
          <w:szCs w:val="20"/>
          <w:color w:val="auto"/>
        </w:rPr>
      </w:pPr>
    </w:p>
    <w:p>
      <w:pPr>
        <w:ind w:left="1620" w:hanging="316"/>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transfer of $962 of cumulative translation loss out of accumulated other comprehensive loss into the fiscal 2024 loss from operations upon the substantial completion of the liquidation of Noa Home (See Note 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12. Capital Stock and Stock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stock-based employee and director compensation plans in accordance with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ASC 718 requires recognition of the cost of employee services received in exchange for an award of equity instruments in the financial statements over the period the employee is required to perform the services in exchange for the award (presumptively the vesting period) which we recognize on a straight-line basis. Compensation expense related to restricted stock and stock options included in selling, general and administrative expenses in our consolidated statements of operations for fiscal 2025, 2024 and 2023 was as follows: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8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1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10, 2021, our shareholders approved the Bassett Furniture Industries, Incorporated 2021 Stock Incentive Plan (the “2021 Plan”). All present and future non-employee directors, key employees and outside consultants for the Company are eligible to receive incentive awards under the 2021 Plan. Our Organization, Compensation and Nominating Committee (the “OCN Committee”) selects eligible key employees and outside consultants to receive awards under the 2021 Plan in its discretion. Our Board of Directors or any committee designated by the Board of Directors selects eligible non-employee directors to receive awards under the 2021 Plan in its discretion. Five hundred thousand (500,000) shares of common stock are reserved for issuance under the 2021 Plan. Participants may receive the following types of incentive awards under the 2021 Plan: stock options, stock appreciation rights, payment shares, restricted stock, restricted stock units and performance shares. Stock options may be incentive stock options or non-qualified stock options. Stock appreciation rights may be granted in tandem with stock options or as a freestanding award. Non-employee directors and outside consultants are eligible to receive restricted stock and restricted stock units only. The full terms of the 2021 Plan have been filed as an exhibit to our Schedule 14A filed with the United States Securities and Exchange Commission on February 8, 2021.</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account for forfeitures as they occur. Compensation cost for awards with graded vesting schedules are accounted for on a straight-line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outstanding non-vested restricted shares during the year ended November 29, 2025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Fair Value Per</w:t>
            </w:r>
          </w:p>
        </w:tc>
      </w:tr>
      <w:tr>
        <w:trPr>
          <w:trHeight w:val="238"/>
        </w:trPr>
        <w:tc>
          <w:tcPr>
            <w:tcW w:w="62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09"/>
        </w:trPr>
        <w:tc>
          <w:tcPr>
            <w:tcW w:w="62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30, 2024</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r>
      <w:tr>
        <w:trPr>
          <w:trHeight w:val="229"/>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29, 2025</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r>
      <w:tr>
        <w:trPr>
          <w:trHeight w:val="20"/>
        </w:trPr>
        <w:tc>
          <w:tcPr>
            <w:tcW w:w="6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2025, 47,409 restricted shares were vested and released, of which 29,300 shares had been granted to employees and 18,109 shares had been granted to directors. During fiscal 2025, 2024 and 2023, 9,835 shares, 10,360 shares and 5,985 shares, respectively, were withheld to cover withholding taxes of $136, $161 and $109, respectively, arising from the vesting of restricted shares. During fiscal 2025, 2024 and 2023, excess tax benefits (deficiency) of $(21), $(9) and $10, respectively, were recognized within income tax expense upon the release of vested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outstanding non-vested restricted shares, which are all subject to service conditions, at November 29, 2025 is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6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Restriction</w:t>
            </w:r>
          </w:p>
        </w:tc>
      </w:tr>
      <w:tr>
        <w:trPr>
          <w:trHeight w:val="216"/>
        </w:trPr>
        <w:tc>
          <w:tcPr>
            <w:tcW w:w="2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at Grant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60" w:type="dxa"/>
            <w:vAlign w:val="bottom"/>
          </w:tcPr>
          <w:p>
            <w:pPr>
              <w:spacing w:after="0"/>
              <w:rPr>
                <w:sz w:val="18"/>
                <w:szCs w:val="18"/>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8"/>
        </w:trPr>
        <w:tc>
          <w:tcPr>
            <w:tcW w:w="2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0"/>
                <w:szCs w:val="20"/>
                <w:color w:val="auto"/>
              </w:rPr>
            </w:pP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09"/>
        </w:trPr>
        <w:tc>
          <w:tcPr>
            <w:tcW w:w="2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January 11, 2023</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13,900</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17.55</w:t>
            </w:r>
          </w:p>
        </w:tc>
        <w:tc>
          <w:tcPr>
            <w:tcW w:w="14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October 29, 2024</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14.11</w:t>
            </w: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March 12, 2025</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17,556</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w:t>
            </w:r>
          </w:p>
        </w:tc>
        <w:tc>
          <w:tcPr>
            <w:tcW w:w="14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9"/>
                <w:szCs w:val="19"/>
                <w:color w:val="auto"/>
              </w:rPr>
            </w:pP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these non-vested restricted shares at November 29, 2025 is $340, all of which is expected to be recognized in fiscal 2026 through fiscal 2027.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2017 we adopted and implemented the 2017 Employee Stock Purchase Plan (“2017 ESPP”) that allows eligible employees to purchase a limited number of shares of our stock at 85% of market value. Under the 2017 ESPP we sold 26,970, 30,436 and 28,063 shares to employees during fiscal 2025, 2024 and 2023, respectively, which resulted in an immaterial amount of compensation expense. There are 16,991 shares remaining available for sale under the 2017 ESPP at November 29,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from operations are as follows:</w:t>
      </w:r>
    </w:p>
    <w:p>
      <w:pPr>
        <w:spacing w:after="0" w:line="239"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9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(1,962)</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8"/>
                <w:szCs w:val="18"/>
                <w:color w:val="auto"/>
              </w:rPr>
            </w:pPr>
          </w:p>
        </w:tc>
      </w:tr>
      <w:tr>
        <w:trPr>
          <w:trHeight w:val="230"/>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the effective income tax rate, as a percentage of income before income taxes, is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goodwill, restructuring and other charges</w:t>
            </w: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w:t>
            </w: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Nontaxable gain on revaluation of contingent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consideration</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 carryback</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1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tcPr>
          <w:p>
            <w:pPr>
              <w:spacing w:after="0"/>
              <w:rPr>
                <w:sz w:val="19"/>
                <w:szCs w:val="19"/>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tax benefits (deficiencies) in the amount of $(21), $(9) and $10 were recognized as a component of income tax expense during fiscal 2025, 2024 and 2023, respectively, resulting from the exercise of stock options and the release of restricted shares. The fiscal 2023 adjustment for impairment of non-deductible goodwill reflects the fact that there was no tax basis related to the impaired goodwill.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In July of 2025, new tax legislation was enacted under the One Big Beautiful Bill Act (the “Act”). While the Act includes a wide range of provisions that could impact our financial results in future periods, the passage of the Act did not have a material impact on our results of operations or financial condition in fiscal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income tax effects of temporary differences and carryforwards, which give rise to significant portions of the deferred income tax assets and deferred income tax liabilities,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November 29,</w:t>
            </w:r>
          </w:p>
        </w:tc>
        <w:tc>
          <w:tcPr>
            <w:tcW w:w="14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6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2,652</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2,498</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net operating loss and credit carryforwards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22,527</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27,138</w:t>
            </w:r>
          </w:p>
        </w:tc>
        <w:tc>
          <w:tcPr>
            <w:tcW w:w="60" w:type="dxa"/>
            <w:vAlign w:val="bottom"/>
          </w:tcPr>
          <w:p>
            <w:pPr>
              <w:spacing w:after="0"/>
              <w:rPr>
                <w:sz w:val="18"/>
                <w:szCs w:val="18"/>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shd w:val="clear" w:color="auto" w:fill="CCEEFF"/>
          </w:tcPr>
          <w:p>
            <w:pPr>
              <w:spacing w:after="0"/>
              <w:rPr>
                <w:sz w:val="19"/>
                <w:szCs w:val="19"/>
                <w:color w:val="auto"/>
              </w:rPr>
            </w:pPr>
          </w:p>
        </w:tc>
      </w:tr>
      <w:tr>
        <w:trPr>
          <w:trHeight w:val="209"/>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(2,264)</w:t>
            </w:r>
          </w:p>
        </w:tc>
      </w:tr>
      <w:tr>
        <w:trPr>
          <w:trHeight w:val="209"/>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4,200</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23,771</w:t>
            </w:r>
          </w:p>
        </w:tc>
        <w:tc>
          <w:tcPr>
            <w:tcW w:w="60" w:type="dxa"/>
            <w:vAlign w:val="bottom"/>
            <w:shd w:val="clear" w:color="auto" w:fill="CCEEFF"/>
          </w:tcPr>
          <w:p>
            <w:pPr>
              <w:spacing w:after="0"/>
              <w:rPr>
                <w:sz w:val="18"/>
                <w:szCs w:val="18"/>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tcPr>
          <w:p>
            <w:pPr>
              <w:spacing w:after="0"/>
              <w:rPr>
                <w:sz w:val="19"/>
                <w:szCs w:val="19"/>
                <w:color w:val="auto"/>
              </w:rPr>
            </w:pP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24,894</w:t>
            </w: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9"/>
                <w:szCs w:val="19"/>
                <w:color w:val="auto"/>
              </w:rPr>
            </w:pP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6,867</w:t>
            </w:r>
          </w:p>
        </w:tc>
        <w:tc>
          <w:tcPr>
            <w:tcW w:w="60" w:type="dxa"/>
            <w:vAlign w:val="bottom"/>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net operating loss carryforwards attributable to Noa Home of $10,780 resulting in a deferred tax asset of $2,264 upon which we have placed a full valuation allowance. As of November 29, 2025, we have no remaining federal net operating loss carryforwards and we have state net operating loss carryforwards totaling $6,799 expiring in various years through 2044.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paid, net of refunds received, during fiscal 2025 was $379. Income tax refunds received, net of taxes paid, during fiscal 2024 and 2023 were $658 and $263,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evaluate, assess and adjust our accrued liabilities for unrecognized tax benefits in light of changing facts and circumstances, which could cause the effective tax rate to fluctuate from period to period. Our liabilities for uncertain tax positions are not material.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federal and state tax positions and in the determination of its tax provision. Despite our belief that the liability for unrecognized tax benefits is adequate, it is often difficult to predict the final outcome or the timing of the resolution of any particular tax matter. We may adjust these liabilities as relevant circumstances evolve, such as guidance from the relevant tax authority, or resolution of issues in the courts. These adjustments are recognized as a component of income tax expense in the period in which they are identified. The Company also cannot predict when or if any other future tax payments related to these tax positions may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subject to examination for tax years 2022 through 2025 for all of our major tax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14.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2025, we recognized a non-cash charge of $498 for the impairment of a right-of-use asset at one underperforming retail store that is expected to be closed in fiscal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we recognized non-cash charges for asset impairments totaling $5,515 which consisted of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decided to cease operations by selling the remaining inventory in an orderly fashion through the end of fiscal 2024. $1,827 of these charges are for the full impairment of the Noa Home trade name intangible asset, and $74 relates to the full impairment of customized software used in the Noa Home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of the fair value of the impaired right-of-use assets included estimates of discounted cash flows based upon current market rents and other inputs which we consider to be Level 3 inputs as specified in the fair value hierarchy in ASC Topic 820, Fair Value Measurement and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Contract Abandonment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we recognized a charge of $1,240 to accrue the remaining minimum charges payable under a contract for logistical services which our wholesale segment ceased utilizing during the third fiscal quarter of 2024. As of November 29, 2025, this liability has been settled with no remaining charges due.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Upon Realization of Cumulative Translation Adjustment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liquidation of the Noa Home business, we recognized a pre-tax charge of $962 during the fourth quarter of fiscal 2024 for the realization of cumulative translation adjustments previously carried in accumulated other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2024 we recognized a restructuring charge of $440 representing accrued severance pay for certain affected employees Of this charge, $190 was incurred by our retail segment, $83 by our wholesale segment, and $167 was charged to corporate and other. At November 30, 2024, $432 of the accrual remained in other current liabilities, all of which was paid out by the end of the second quarter of fiscal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regarding the $5,409 non-cash charge during fiscal 2023 to impair goodwill associated with Noa Home.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Contingent Consideration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 the terms of the agreement by which we acquired Noa Home during fiscal 2022, the Noa Home co-founders also had the opportunity to receive additional cash payments totaling approximately C$1,330 per year for the three fiscal years following the year of acquisition based on established increases in net revenues and achieving certain internal EBITDA goals. Subsequent to the acquisition date, the parties concluded that the targets originally set forth by which the Noa Home co-founders were to earn the contingent consideration would likely not be met within the initially anticipated time frame. Therefore, during fiscal 2022 we agreed to replace the contingent consideration with two fixed payments of C$200 each, the first of which was paid in June of 2023 with the second paid in December of 2024. As a result of the write-down of the contingent consideration payable that was recognized at the acquisition date, we recorded a gain of $1,013 during fiscal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15. Leases and Lease Guarantees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“Leases” under Note 2 for a discussion of our accounting policies and elections under ASC Topic 842.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as of November 29, 2025 and November 30, 2024 is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assets</w:t>
            </w:r>
          </w:p>
        </w:tc>
        <w:tc>
          <w:tcPr>
            <w:tcW w:w="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76,727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19,299</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5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69,353</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r>
      <w:tr>
        <w:trPr>
          <w:trHeight w:val="216"/>
        </w:trPr>
        <w:tc>
          <w:tcPr>
            <w:tcW w:w="6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 of use assets (1)</w:t>
            </w:r>
          </w:p>
        </w:tc>
        <w:tc>
          <w:tcPr>
            <w:tcW w:w="5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696</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short-term (2)</w:t>
            </w:r>
          </w:p>
        </w:tc>
        <w:tc>
          <w:tcPr>
            <w:tcW w:w="5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long-term (3)</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&amp; equipment, net in our consolidated balance sheet.</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current liabilities and accrued expenses in our consolidated balance sheet.</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and accrued expenses in our consolidated balance sheet.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right-of-use assets under operating leases by segment as of November 29, 2025 and November 30,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200" w:type="dxa"/>
            <w:vAlign w:val="bottom"/>
          </w:tcPr>
          <w:p>
            <w:pPr>
              <w:spacing w:after="0"/>
              <w:rPr>
                <w:sz w:val="20"/>
                <w:szCs w:val="20"/>
                <w:color w:val="auto"/>
              </w:rPr>
            </w:pPr>
          </w:p>
        </w:tc>
        <w:tc>
          <w:tcPr>
            <w:tcW w:w="208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right of use assets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our lease cost for 2025, 2024 and 2023 were as follows:</w:t>
            </w: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23,375</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24,065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24,287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 (net of abatements received)</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(1,011)</w:t>
            </w:r>
          </w:p>
        </w:tc>
        <w:tc>
          <w:tcPr>
            <w:tcW w:w="9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22,798</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23,983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24,155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Supplemental lease disclosures as of November 29, 2025, November 30, 2024 and November 25, 2023 and for the fiscal years then ended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25,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26,854</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21,921</w:t>
            </w: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30, 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26,558</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11,050</w:t>
            </w: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29, 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26,142</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770</w:t>
            </w: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25,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30, 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1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29, 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1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r>
      <w:tr>
        <w:trPr>
          <w:trHeight w:val="432"/>
        </w:trPr>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payments under our leases and the present value of the obligations as of November 29, 2025 are as follows: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c>
          <w:tcPr>
            <w:tcW w:w="2640" w:type="dxa"/>
            <w:vAlign w:val="bottom"/>
            <w:gridSpan w:val="6"/>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w w:val="98"/>
              </w:rPr>
              <w:t>Financing Leases</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4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4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9"/>
                <w:szCs w:val="19"/>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19"/>
                <w:szCs w:val="19"/>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15,567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sublease a small number of our leased locations to certain of our licensees for operation as BHF network stores. The terms of these leases generally match those of the lease we have with the lessor. In addition, we sublease space in certain closed store and warehouse locations that are still under lease. Minimum future lease payments due to us under these subleases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future rental income</w:t>
            </w:r>
          </w:p>
        </w:tc>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At November 29, 2025, we had commitments for three leases of real property which are expected to commence during fiscal 2026. Together, these leases call for total annual rents averaging approximately $1,105 per year for an initial term of ten years. All three leases have two five-year renewal options.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part of the strategy for our store program, we have guaranteed certain lease obligations of licensee operators. The remaining term under these lease guarantees extends for six years. We were contingently liable under licensee lease obligation guarantees in the amount of $4,148 and $5,131 at November 29, 2025 and November 30, 2024, respectively.</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the event of default by an independent dealer under the guaranteed lease, we believe that the risk of loss is mitigated through a combination of options that include, but are not limited to, arranging for a replacement dealer, liquidating the collateral, and pursuing payment under the personal guarantees of the independent dealer. The proceeds of the above options are estimated to cover the maximum amount of our future payments under the guarantee obligations, net of reserves. The fair value of lease guarantees (an estimate of the cost to the Company to perform on these guarantees) at November 29, 2025 and November 30, 2024, were not material.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involved in various claims and actions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Denominator for basic income per share - weighted average shares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8,657,989</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8,733,215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33,553</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660"/>
              <w:spacing w:after="0" w:line="198" w:lineRule="exact"/>
              <w:rPr>
                <w:sz w:val="20"/>
                <w:szCs w:val="20"/>
                <w:color w:val="auto"/>
              </w:rPr>
            </w:pPr>
            <w:r>
              <w:rPr>
                <w:rFonts w:ascii="Times New Roman" w:cs="Times New Roman" w:eastAsia="Times New Roman" w:hAnsi="Times New Roman"/>
                <w:sz w:val="18"/>
                <w:szCs w:val="18"/>
                <w:color w:val="auto"/>
              </w:rPr>
              <w:t>Denominator for diluted income per share — weighted average shares and</w:t>
            </w: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8,691,542</w:t>
            </w:r>
          </w:p>
        </w:tc>
        <w:tc>
          <w:tcPr>
            <w:tcW w:w="320" w:type="dxa"/>
            <w:vAlign w:val="bottom"/>
          </w:tcPr>
          <w:p>
            <w:pPr>
              <w:spacing w:after="0"/>
              <w:rPr>
                <w:sz w:val="15"/>
                <w:szCs w:val="15"/>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8,733,215</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assumed conversions</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*Due to the net loss in 2024 and 2023, the potentially dilutive securities would have been anti-dilutive and are therefore excluded.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2024 and 2023, the following potentially dilutive shares were excluded from the computations as their effect was anti-dilutive: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jc w:val="right"/>
              <w:ind w:right="3690"/>
              <w:spacing w:after="0"/>
              <w:rPr>
                <w:sz w:val="20"/>
                <w:szCs w:val="20"/>
                <w:color w:val="auto"/>
              </w:rPr>
            </w:pPr>
            <w:r>
              <w:rPr>
                <w:rFonts w:ascii="Times New Roman" w:cs="Times New Roman" w:eastAsia="Times New Roman" w:hAnsi="Times New Roman"/>
                <w:sz w:val="18"/>
                <w:szCs w:val="18"/>
                <w:color w:val="auto"/>
                <w:w w:val="98"/>
              </w:rPr>
              <w:t>Unvested restricted shares</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94,409</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5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56</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8" w:right="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report segment information consistent with the way our chief operating decision maker (the “CODM”), a single individual who serves as our Board Chair, President and Chief Executive Officer, evaluates the operating results and performance of the Company. 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72" w:lineRule="exact"/>
        <w:rPr>
          <w:sz w:val="20"/>
          <w:szCs w:val="20"/>
          <w:color w:val="auto"/>
        </w:rPr>
      </w:pPr>
    </w:p>
    <w:p>
      <w:pPr>
        <w:jc w:val="both"/>
        <w:ind w:left="660" w:right="2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29, 2025, November 30, 2024 and November 25, 2023,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ceased operations as of November 30, 2024 after selling the remaining inventory in an orderly fashion over the second half of fiscal 2024.</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Inter-segment net sales and cost of goods sold eliminations represent the elimination of wholesale sales to our Company-owned stores. Inter-segment gross profit elimination represents the change in the embedded wholesale profit in the Company-owned store inventory that has not been realized. These profits are recorded when merchandise is delivered to the retail consumer. The inter-segment SG&amp;A expense elimination includes rent charged to our retail stores occupying Company-owned real estate.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purpose of evaluating segment performance and allocating resources, our CODM uses a measure of income (loss) from operations excluding special items. These excluded items include such things as asset impairment charges, restructuring charges, and other unusual or infrequent gains and losses which management does not expect to recur on a regular routine basis (see Note 14, Other Gains and Losses, for further discussion of these items). The CODM assesses performance by regularly reviewing each segment’s significant expense categories which include total cost of goods sold and total SG&amp;A expenses. If these significant expense categories deviate from expected results, the CODM will delegate to his direct reports the task of investigating the underlying causes and, when necessary, making recommendations for remedial action to the CODM for his consideration and approval.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presents segment results of operations for each of the last three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November 29, 2025</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w w:val="97"/>
              </w:rPr>
              <w:t>Corporate &amp;</w:t>
            </w:r>
          </w:p>
        </w:tc>
        <w:tc>
          <w:tcPr>
            <w:tcW w:w="1400" w:type="dxa"/>
            <w:vAlign w:val="bottom"/>
            <w:gridSpan w:val="3"/>
          </w:tcPr>
          <w:p>
            <w:pPr>
              <w:ind w:left="160"/>
              <w:spacing w:after="0" w:line="205" w:lineRule="exact"/>
              <w:rPr>
                <w:sz w:val="20"/>
                <w:szCs w:val="20"/>
                <w:color w:val="auto"/>
              </w:rPr>
            </w:pPr>
            <w:r>
              <w:rPr>
                <w:rFonts w:ascii="Times New Roman" w:cs="Times New Roman" w:eastAsia="Times New Roman" w:hAnsi="Times New Roman"/>
                <w:sz w:val="18"/>
                <w:szCs w:val="18"/>
                <w:color w:val="auto"/>
              </w:rPr>
              <w:t>Intersegment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118,599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216,681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335,280</w:t>
            </w:r>
          </w:p>
        </w:tc>
        <w:tc>
          <w:tcPr>
            <w:tcW w:w="8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96,015</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214,614</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216,681</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(96,015)</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138,883</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103,205</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146,598</w:t>
            </w:r>
          </w:p>
        </w:tc>
        <w:tc>
          <w:tcPr>
            <w:tcW w:w="8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40,870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113,069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27,652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180,357</w:t>
            </w:r>
          </w:p>
        </w:tc>
        <w:tc>
          <w:tcPr>
            <w:tcW w:w="80" w:type="dxa"/>
            <w:vAlign w:val="bottom"/>
            <w:shd w:val="clear" w:color="auto" w:fill="CCEEFF"/>
          </w:tcPr>
          <w:p>
            <w:pPr>
              <w:spacing w:after="0"/>
              <w:rPr>
                <w:sz w:val="19"/>
                <w:szCs w:val="19"/>
                <w:color w:val="auto"/>
              </w:rPr>
            </w:pPr>
          </w:p>
        </w:tc>
      </w:tr>
      <w:tr>
        <w:trPr>
          <w:trHeight w:val="249"/>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 excluding special items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34,861</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 impairment charges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498</w:t>
            </w:r>
          </w:p>
        </w:tc>
      </w:tr>
      <w:tr>
        <w:trPr>
          <w:trHeight w:val="21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November 30, 2024</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w w:val="97"/>
              </w:rPr>
              <w:t>Corporate &amp;</w:t>
            </w:r>
          </w:p>
        </w:tc>
        <w:tc>
          <w:tcPr>
            <w:tcW w:w="1400" w:type="dxa"/>
            <w:vAlign w:val="bottom"/>
            <w:gridSpan w:val="3"/>
          </w:tcPr>
          <w:p>
            <w:pPr>
              <w:ind w:left="160"/>
              <w:spacing w:after="0" w:line="205" w:lineRule="exact"/>
              <w:rPr>
                <w:sz w:val="20"/>
                <w:szCs w:val="20"/>
                <w:color w:val="auto"/>
              </w:rPr>
            </w:pPr>
            <w:r>
              <w:rPr>
                <w:rFonts w:ascii="Times New Roman" w:cs="Times New Roman" w:eastAsia="Times New Roman" w:hAnsi="Times New Roman"/>
                <w:sz w:val="18"/>
                <w:szCs w:val="18"/>
                <w:color w:val="auto"/>
              </w:rPr>
              <w:t>Intersegment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120,441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204,563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329,923</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87,021</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207,462</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204,563</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(87,021)</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139,393</w:t>
            </w:r>
          </w:p>
        </w:tc>
        <w:tc>
          <w:tcPr>
            <w:tcW w:w="3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95,728</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150,508</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42,712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115,439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30,572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187,527</w:t>
            </w:r>
          </w:p>
        </w:tc>
      </w:tr>
      <w:tr>
        <w:trPr>
          <w:trHeight w:val="250"/>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 excluding special items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25,357</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Borders>
              <w:bottom w:val="single" w:sz="8" w:color="CCEEFF"/>
            </w:tcBorders>
          </w:tcPr>
          <w:p>
            <w:pPr>
              <w:spacing w:after="0"/>
              <w:rPr>
                <w:sz w:val="21"/>
                <w:szCs w:val="2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 impairment charges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1"/>
              <w:spacing w:after="0" w:line="196" w:lineRule="exact"/>
              <w:rPr>
                <w:sz w:val="20"/>
                <w:szCs w:val="20"/>
                <w:color w:val="auto"/>
              </w:rPr>
            </w:pPr>
            <w:r>
              <w:rPr>
                <w:rFonts w:ascii="Times New Roman" w:cs="Times New Roman" w:eastAsia="Times New Roman" w:hAnsi="Times New Roman"/>
                <w:sz w:val="18"/>
                <w:szCs w:val="18"/>
                <w:color w:val="auto"/>
              </w:rPr>
              <w:t>5,515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upon realization of cumulative translation adjustment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r>
      <w:tr>
        <w:trPr>
          <w:trHeight w:val="210"/>
        </w:trPr>
        <w:tc>
          <w:tcPr>
            <w:tcW w:w="4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November 25, 2023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w w:val="97"/>
              </w:rPr>
              <w:t>Corporate &amp;</w:t>
            </w:r>
          </w:p>
        </w:tc>
        <w:tc>
          <w:tcPr>
            <w:tcW w:w="1400" w:type="dxa"/>
            <w:vAlign w:val="bottom"/>
            <w:gridSpan w:val="3"/>
          </w:tcPr>
          <w:p>
            <w:pPr>
              <w:ind w:left="160"/>
              <w:spacing w:after="0" w:line="205" w:lineRule="exact"/>
              <w:rPr>
                <w:sz w:val="20"/>
                <w:szCs w:val="20"/>
                <w:color w:val="auto"/>
              </w:rPr>
            </w:pPr>
            <w:r>
              <w:rPr>
                <w:rFonts w:ascii="Times New Roman" w:cs="Times New Roman" w:eastAsia="Times New Roman" w:hAnsi="Times New Roman"/>
                <w:sz w:val="18"/>
                <w:szCs w:val="18"/>
                <w:color w:val="auto"/>
              </w:rPr>
              <w:t>Intersegment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145,392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390,136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103,519</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248,911</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235,940</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8,804</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(103,519)</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171,394</w:t>
            </w:r>
          </w:p>
        </w:tc>
        <w:tc>
          <w:tcPr>
            <w:tcW w:w="3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111,769</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183,648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46,818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124,707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34,728</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 excluding special items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30,699</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Goodwill impairment charge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1"/>
              <w:spacing w:after="0" w:line="196" w:lineRule="exact"/>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reported by segment is as follows:</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6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4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5,502</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w:t>
            </w: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2,644</w:t>
            </w: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2,184</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4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9,877</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1,344</w:t>
            </w: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5,317</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4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92,805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88,533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99,004</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140,507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158,084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166,604</w:t>
            </w: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90,507</w:t>
            </w: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94,553</w:t>
            </w: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104,816</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323,819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for disaggregated revenue information regarding sales of furniture and accessories by product type for the wholesale and retail segments.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 Recognition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fiscal years 2025, 2024 and 2023, excluding intercompany transactions between our segments,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Corporate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Corporate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Corporate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2"/>
                <w:szCs w:val="12"/>
                <w:color w:val="auto"/>
              </w:rPr>
            </w:pPr>
          </w:p>
        </w:tc>
        <w:tc>
          <w:tcPr>
            <w:tcW w:w="5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&amp;</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vMerge w:val="restart"/>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Retail</w:t>
            </w:r>
          </w:p>
        </w:tc>
        <w:tc>
          <w:tcPr>
            <w:tcW w:w="260" w:type="dxa"/>
            <w:vAlign w:val="bottom"/>
          </w:tcPr>
          <w:p>
            <w:pPr>
              <w:spacing w:after="0"/>
              <w:rPr>
                <w:sz w:val="12"/>
                <w:szCs w:val="12"/>
                <w:color w:val="auto"/>
              </w:rPr>
            </w:pPr>
          </w:p>
        </w:tc>
        <w:tc>
          <w:tcPr>
            <w:tcW w:w="5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&amp;</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Retail</w:t>
            </w:r>
          </w:p>
        </w:tc>
        <w:tc>
          <w:tcPr>
            <w:tcW w:w="260" w:type="dxa"/>
            <w:vAlign w:val="bottom"/>
          </w:tcPr>
          <w:p>
            <w:pPr>
              <w:spacing w:after="0"/>
              <w:rPr>
                <w:sz w:val="12"/>
                <w:szCs w:val="12"/>
                <w:color w:val="auto"/>
              </w:rPr>
            </w:pPr>
          </w:p>
        </w:tc>
        <w:tc>
          <w:tcPr>
            <w:tcW w:w="5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&amp;</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Other (2)</w:t>
            </w: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Other (2)</w:t>
            </w: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Bassett Custom Upholstery</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76,923</w:t>
            </w:r>
          </w:p>
        </w:tc>
        <w:tc>
          <w:tcPr>
            <w:tcW w:w="8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$ 117,231</w:t>
            </w:r>
          </w:p>
        </w:tc>
        <w:tc>
          <w:tcPr>
            <w:tcW w:w="2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$ 194,154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79,281</w:t>
            </w:r>
          </w:p>
        </w:tc>
        <w:tc>
          <w:tcPr>
            <w:tcW w:w="8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$ 111,943</w:t>
            </w:r>
          </w:p>
        </w:tc>
        <w:tc>
          <w:tcPr>
            <w:tcW w:w="2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$ 191,224</w:t>
            </w:r>
          </w:p>
        </w:tc>
        <w:tc>
          <w:tcPr>
            <w:tcW w:w="22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89,005</w:t>
            </w:r>
          </w:p>
        </w:tc>
        <w:tc>
          <w:tcPr>
            <w:tcW w:w="8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$ 134,000</w:t>
            </w:r>
          </w:p>
        </w:tc>
        <w:tc>
          <w:tcPr>
            <w:tcW w:w="2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$ 223,005</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Leather</w:t>
            </w: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16,484</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9,121</w:t>
            </w: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15,705</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4,990</w:t>
            </w:r>
          </w:p>
        </w:tc>
        <w:tc>
          <w:tcPr>
            <w:tcW w:w="2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26,701</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2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28,652</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Bassett Custom Wood</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12,357</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31,885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13,735</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32,201</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17,357</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36,732</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54,089</w:t>
            </w:r>
          </w:p>
        </w:tc>
        <w:tc>
          <w:tcPr>
            <w:tcW w:w="0" w:type="dxa"/>
            <w:vAlign w:val="bottom"/>
          </w:tcPr>
          <w:p>
            <w:pPr>
              <w:spacing w:after="0"/>
              <w:rPr>
                <w:sz w:val="1"/>
                <w:szCs w:val="1"/>
                <w:color w:val="auto"/>
              </w:rPr>
            </w:pPr>
          </w:p>
        </w:tc>
      </w:tr>
      <w:tr>
        <w:trPr>
          <w:trHeight w:val="149"/>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Casegoods</w:t>
            </w: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12,835</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29,218</w:t>
            </w: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11,720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26,179</w:t>
            </w:r>
          </w:p>
        </w:tc>
        <w:tc>
          <w:tcPr>
            <w:tcW w:w="2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37,899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12,329</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32,252</w:t>
            </w:r>
          </w:p>
        </w:tc>
        <w:tc>
          <w:tcPr>
            <w:tcW w:w="2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44,581</w:t>
            </w: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Accessories, mattresses and</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29,226</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29,226</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29,250</w:t>
            </w:r>
          </w:p>
        </w:tc>
        <w:tc>
          <w:tcPr>
            <w:tcW w:w="2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4,919</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34,169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31,005</w:t>
            </w:r>
          </w:p>
        </w:tc>
        <w:tc>
          <w:tcPr>
            <w:tcW w:w="2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8,804</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39,809</w:t>
            </w:r>
          </w:p>
        </w:tc>
        <w:tc>
          <w:tcPr>
            <w:tcW w:w="0" w:type="dxa"/>
            <w:vAlign w:val="bottom"/>
          </w:tcPr>
          <w:p>
            <w:pPr>
              <w:spacing w:after="0"/>
              <w:rPr>
                <w:sz w:val="1"/>
                <w:szCs w:val="1"/>
                <w:color w:val="auto"/>
              </w:rPr>
            </w:pPr>
          </w:p>
        </w:tc>
      </w:tr>
      <w:tr>
        <w:trPr>
          <w:trHeight w:val="158"/>
        </w:trPr>
        <w:tc>
          <w:tcPr>
            <w:tcW w:w="17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other (1)</w:t>
            </w: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40" w:type="dxa"/>
            <w:vAlign w:val="bottom"/>
            <w:tcBorders>
              <w:top w:val="single" w:sz="8" w:color="CCEEFF"/>
            </w:tcBorders>
          </w:tcPr>
          <w:p>
            <w:pPr>
              <w:spacing w:after="0" w:line="119" w:lineRule="exact"/>
              <w:rPr>
                <w:sz w:val="20"/>
                <w:szCs w:val="20"/>
                <w:color w:val="auto"/>
              </w:rPr>
            </w:pPr>
            <w:r>
              <w:rPr>
                <w:rFonts w:ascii="Times New Roman" w:cs="Times New Roman" w:eastAsia="Times New Roman" w:hAnsi="Times New Roman"/>
                <w:sz w:val="13"/>
                <w:szCs w:val="13"/>
                <w:color w:val="auto"/>
              </w:rPr>
              <w:t>Consolidated Furniture and</w:t>
            </w: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118,599</w:t>
            </w: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$ 216,681</w:t>
            </w:r>
          </w:p>
        </w:tc>
        <w:tc>
          <w:tcPr>
            <w:tcW w:w="2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$ 335,280</w:t>
            </w:r>
          </w:p>
        </w:tc>
        <w:tc>
          <w:tcPr>
            <w:tcW w:w="2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120,441</w:t>
            </w: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$ 204,563</w:t>
            </w:r>
          </w:p>
        </w:tc>
        <w:tc>
          <w:tcPr>
            <w:tcW w:w="2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4,919</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$ 329,923</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145,392</w:t>
            </w: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$ 235,940</w:t>
            </w:r>
          </w:p>
        </w:tc>
        <w:tc>
          <w:tcPr>
            <w:tcW w:w="2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8,804</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$ 390,136</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Accessories revenue</w:t>
            </w:r>
          </w:p>
        </w:tc>
        <w:tc>
          <w:tcPr>
            <w:tcW w:w="1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and 2024, Corporate and other reconciling category includes the sales of Noa Home, which was acquired on September 2, 2022 and closed at the end of fiscal 2024 following the decision in the second quarter of fiscal 2024 to cease operations and liquidate the remaining inventory.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color w:val="auto"/>
        </w:rPr>
        <w:t>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color w:val="auto"/>
        </w:rPr>
        <w:t>CONTROLS AND PROCEDURES</w:t>
      </w:r>
    </w:p>
    <w:p>
      <w:pPr>
        <w:spacing w:after="0" w:line="2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principal executive officer and principal financial officer have evaluated the effectiveness of our “disclosure controls and procedures” (“Disclosure Controls”). Disclosure Controls, as defined in Rule 13a-15(e) of the Securities Exchange Act of 1934, as amended (the “Exchange Act”), are procedures that are designed to provide reasonable assurance that information required to be disclosed in our reports filed under the Exchange Act, such as this Annual Report, is recorded, processed, summarized and reported within the time periods specified in the Securities and Exchange Commission’s rules and forms.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their controls evaluation, our CEO and CFO have concluded that our Disclosure Controls are effective at a reasonable assurance level.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in accordance with Exchange Act Rule 13a-</w:t>
      </w:r>
    </w:p>
    <w:p>
      <w:pPr>
        <w:spacing w:after="0" w:line="27" w:lineRule="exact"/>
        <w:rPr>
          <w:sz w:val="20"/>
          <w:szCs w:val="20"/>
          <w:color w:val="auto"/>
        </w:rPr>
      </w:pPr>
    </w:p>
    <w:p>
      <w:pPr>
        <w:jc w:val="both"/>
        <w:ind w:left="660" w:hanging="4"/>
        <w:spacing w:after="0" w:line="25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participation of our CEO and CFO, our management conducted an evaluation of the effectiveness of our internal control over financial reporting as of November 29, 2025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November 29, 2025,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8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during our fourth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Bassett Furniture Industries, Incorporated (a Virginia corporation) and subsidiaries (the “Company”) as of November 29,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November 29, 2025, based on criteria established in the 2013 Internal Control—Integrated Framework issued by COSO.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November 29, 2025, and our report dated February 5,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color w:val="auto"/>
        </w:rPr>
        <w:t>.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color w:val="auto"/>
        </w:rPr>
        <w:t>DIRECTORS AND EXECUTIVE OFFICERS OF THE REGISTRANT</w:t>
      </w:r>
    </w:p>
    <w:p>
      <w:pPr>
        <w:spacing w:after="0" w:line="229"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“Election of Directors” and “Board and Board Committee Information,” is incorporated herein by reference thereto. Please see section entitled “Information about our Executive Officers” in Item 4B of Part I of this report for information concerning executive officers.</w:t>
      </w:r>
    </w:p>
    <w:p>
      <w:pPr>
        <w:spacing w:after="0" w:line="176"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Registrant has a code of ethics that applies to all of its employees, officers and directors. The code of ethics is available on the Registrant’s website at www.bassettfurniture.com and the Registrant will post any amendments to, or waivers, from, the code of ethics relating to directors and officers on that website.</w:t>
      </w:r>
    </w:p>
    <w:p>
      <w:pPr>
        <w:spacing w:after="0" w:line="200" w:lineRule="exact"/>
        <w:rPr>
          <w:sz w:val="20"/>
          <w:szCs w:val="20"/>
          <w:color w:val="auto"/>
        </w:rPr>
      </w:pPr>
    </w:p>
    <w:p>
      <w:pPr>
        <w:spacing w:after="0" w:line="21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the registrant's securities by directors, senior management, and employees. A copy of the insider trading policy is filed as an exhibit to this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color w:val="auto"/>
        </w:rPr>
        <w:t>EXECUTIVE COMPENSATION</w:t>
      </w:r>
    </w:p>
    <w:p>
      <w:pPr>
        <w:spacing w:after="0" w:line="229" w:lineRule="exact"/>
        <w:rPr>
          <w:sz w:val="20"/>
          <w:szCs w:val="20"/>
          <w:color w:val="auto"/>
        </w:rPr>
      </w:pPr>
    </w:p>
    <w:p>
      <w:pPr>
        <w:jc w:val="both"/>
        <w:ind w:left="460" w:right="2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“Compensation Discussion and Analysis,” “Executive Compensation,” “Pay versus Performance” and “Director Compensation” is incorporated herein by reference thereto.</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color w:val="auto"/>
        </w:rPr>
        <w:t>SECURITY OWNERSHIP OF CERTAIN BENEFICIAL OWNERS AND MANAGEMENT AND RELATED STOCKHOLDER MATTERS</w:t>
      </w:r>
    </w:p>
    <w:p>
      <w:pPr>
        <w:spacing w:after="0" w:line="22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headings “Principal Stockholders and Holdings of Management” and “Equity Compensation Plan Information”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color w:val="auto"/>
        </w:rPr>
        <w:t>CERTAIN RELATIONSHIPS AND RELATED TRANSACTIONS</w:t>
      </w:r>
    </w:p>
    <w:p>
      <w:pPr>
        <w:spacing w:after="0" w:line="22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“Board and Board Committee Information” and “Other Transactions”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color w:val="auto"/>
        </w:rPr>
        <w:t>PRINCIPAL ACCOUNTING FEES AND SERVICES</w:t>
      </w:r>
    </w:p>
    <w:p>
      <w:pPr>
        <w:spacing w:after="0" w:line="229"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 “Ratification of Selection of Independent Registered Public Accounting Firm” is incorporated herein by reference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color w:val="auto"/>
        </w:rPr>
        <w:t>EXHIBITS, FINANCIAL STATEMENT SCHEDULES</w:t>
      </w:r>
    </w:p>
    <w:p>
      <w:pPr>
        <w:spacing w:after="0" w:line="229" w:lineRule="exact"/>
        <w:rPr>
          <w:sz w:val="20"/>
          <w:szCs w:val="20"/>
          <w:color w:val="auto"/>
        </w:rPr>
      </w:pPr>
    </w:p>
    <w:p>
      <w:pPr>
        <w:ind w:left="680" w:hanging="672"/>
        <w:spacing w:after="0" w:line="258" w:lineRule="auto"/>
        <w:tabs>
          <w:tab w:leader="none" w:pos="3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Bassett Furniture Industries, Incorporated and Subsidiaries Audited Consolidated Financial Statements for the years ended November 29, 2025, November 30, 2024 and November 25, 2023; Report of Grant Thornton LLP, Independent Registered Public Accounting Firm (PCAOB ID 248) for the year ended November 29, 2025; Report of Ernst &amp; Young LLP, Independent Registered Public Accounting Firm (PCAOB ID 42) for the years ended November 30, 2024 and November 25, 2023; Report of Grant Thornton LLP, Independent Registered Public Accounting Firm, on Internal Control Over Financial Reporting (PCAOB ID 248).</w:t>
      </w:r>
    </w:p>
    <w:p>
      <w:pPr>
        <w:spacing w:after="0" w:line="183"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Schedule II- Analysis of Valuation and Qualifying Accounts for the years ended November 29, 2025, November 30, 2024 and November 25, 2023</w:t>
      </w:r>
    </w:p>
    <w:p>
      <w:pPr>
        <w:spacing w:after="0" w:line="236"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Exhibits</w:t>
      </w:r>
    </w:p>
    <w:p>
      <w:pPr>
        <w:spacing w:after="0" w:line="225" w:lineRule="exact"/>
        <w:rPr>
          <w:sz w:val="20"/>
          <w:szCs w:val="20"/>
          <w:color w:val="auto"/>
        </w:rPr>
      </w:pPr>
    </w:p>
    <w:p>
      <w:pPr>
        <w:ind w:left="1460"/>
        <w:spacing w:after="0"/>
        <w:tabs>
          <w:tab w:leader="none" w:pos="1920" w:val="left"/>
        </w:tabs>
        <w:rPr>
          <w:sz w:val="20"/>
          <w:szCs w:val="20"/>
          <w:color w:val="auto"/>
        </w:rPr>
      </w:pPr>
      <w:r>
        <w:rPr>
          <w:rFonts w:ascii="Times New Roman" w:cs="Times New Roman" w:eastAsia="Times New Roman" w:hAnsi="Times New Roman"/>
          <w:sz w:val="18"/>
          <w:szCs w:val="18"/>
          <w:color w:val="auto"/>
        </w:rPr>
        <w:t>3A.</w:t>
        <w:tab/>
        <w:t>Articles of Incorporation as amended are incorporated herein by reference to Form 10-Q for the fiscal quarter ended February</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28, 1994.</w:t>
      </w:r>
    </w:p>
    <w:p>
      <w:pPr>
        <w:spacing w:after="0" w:line="207" w:lineRule="exact"/>
        <w:rPr>
          <w:sz w:val="20"/>
          <w:szCs w:val="20"/>
          <w:color w:val="auto"/>
        </w:rPr>
      </w:pPr>
    </w:p>
    <w:p>
      <w:pPr>
        <w:ind w:left="1460"/>
        <w:spacing w:after="0"/>
        <w:tabs>
          <w:tab w:leader="none" w:pos="1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74">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w:t>
        </w:r>
      </w:hyperlink>
    </w:p>
    <w:p>
      <w:pPr>
        <w:spacing w:after="0" w:line="27" w:lineRule="exact"/>
        <w:rPr>
          <w:sz w:val="20"/>
          <w:szCs w:val="20"/>
          <w:color w:val="auto"/>
        </w:rPr>
      </w:pPr>
    </w:p>
    <w:p>
      <w:pPr>
        <w:ind w:left="1940"/>
        <w:spacing w:after="0"/>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2024.</w:t>
        </w:r>
      </w:hyperlink>
    </w:p>
    <w:p>
      <w:pPr>
        <w:spacing w:after="0" w:line="207" w:lineRule="exact"/>
        <w:rPr>
          <w:sz w:val="20"/>
          <w:szCs w:val="20"/>
          <w:color w:val="auto"/>
        </w:rPr>
      </w:pPr>
    </w:p>
    <w:p>
      <w:pPr>
        <w:jc w:val="both"/>
        <w:ind w:left="1940" w:hanging="479"/>
        <w:spacing w:after="0" w:line="266" w:lineRule="auto"/>
        <w:tabs>
          <w:tab w:leader="none" w:pos="192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4A.</w:t>
      </w:r>
      <w:r>
        <w:rPr>
          <w:sz w:val="20"/>
          <w:szCs w:val="20"/>
          <w:color w:val="auto"/>
        </w:rPr>
        <w:tab/>
      </w:r>
      <w:hyperlink r:id="rId75">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Exhibit 10 to Form 10-Q filed with the SEC on July 11,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Registrant hereby agrees to furnish the SEC, upon request, 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instruments defining the rights of holders of long-term debt of the Registrant.</w:t>
      </w:r>
    </w:p>
    <w:p>
      <w:pPr>
        <w:spacing w:after="0" w:line="176" w:lineRule="exact"/>
        <w:rPr>
          <w:sz w:val="20"/>
          <w:szCs w:val="20"/>
          <w:color w:val="auto"/>
        </w:rPr>
      </w:pPr>
    </w:p>
    <w:p>
      <w:pPr>
        <w:ind w:left="1460"/>
        <w:spacing w:after="0"/>
        <w:tabs>
          <w:tab w:leader="none" w:pos="1920" w:val="left"/>
        </w:tabs>
        <w:rPr>
          <w:sz w:val="20"/>
          <w:szCs w:val="20"/>
          <w:color w:val="auto"/>
        </w:rPr>
      </w:pPr>
      <w:r>
        <w:rPr>
          <w:rFonts w:ascii="Times New Roman" w:cs="Times New Roman" w:eastAsia="Times New Roman" w:hAnsi="Times New Roman"/>
          <w:sz w:val="18"/>
          <w:szCs w:val="18"/>
          <w:color w:val="auto"/>
        </w:rPr>
        <w:t>4B.</w:t>
      </w:r>
      <w:r>
        <w:rPr>
          <w:sz w:val="20"/>
          <w:szCs w:val="20"/>
          <w:color w:val="auto"/>
        </w:rPr>
        <w:tab/>
      </w:r>
      <w:r>
        <w:rPr>
          <w:rFonts w:ascii="Times New Roman" w:cs="Times New Roman" w:eastAsia="Times New Roman" w:hAnsi="Times New Roman"/>
          <w:sz w:val="18"/>
          <w:szCs w:val="18"/>
          <w:u w:val="single" w:color="auto"/>
          <w:color w:val="0000EE"/>
        </w:rPr>
        <w:t>First Amendment to Eighth Amended and Restated Credit Agreement with Truist Bank dated January 9, 2026.</w:t>
      </w:r>
    </w:p>
    <w:p>
      <w:pPr>
        <w:spacing w:after="0" w:line="225" w:lineRule="exact"/>
        <w:rPr>
          <w:sz w:val="20"/>
          <w:szCs w:val="20"/>
          <w:color w:val="auto"/>
        </w:rPr>
      </w:pPr>
    </w:p>
    <w:p>
      <w:pPr>
        <w:jc w:val="both"/>
        <w:ind w:left="1940" w:hanging="479"/>
        <w:spacing w:after="0" w:line="282" w:lineRule="auto"/>
        <w:tabs>
          <w:tab w:leader="none" w:pos="1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4C.</w:t>
      </w:r>
      <w:r>
        <w:rPr>
          <w:sz w:val="20"/>
          <w:szCs w:val="20"/>
          <w:color w:val="auto"/>
        </w:rPr>
        <w:tab/>
      </w:r>
      <w:hyperlink r:id="rId76">
        <w:r>
          <w:rPr>
            <w:rFonts w:ascii="Times New Roman" w:cs="Times New Roman" w:eastAsia="Times New Roman" w:hAnsi="Times New Roman"/>
            <w:sz w:val="18"/>
            <w:szCs w:val="18"/>
            <w:u w:val="single" w:color="auto"/>
            <w:color w:val="0000EE"/>
          </w:rPr>
          <w:t>Description of Capital Stock is incorporated herein by reference to Form 10-K for the fiscal year ended November 30, 2019,</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filed January 23, 2020.</w:t>
        </w:r>
      </w:hyperlink>
    </w:p>
    <w:p>
      <w:pPr>
        <w:spacing w:after="0" w:line="162" w:lineRule="exact"/>
        <w:rPr>
          <w:sz w:val="20"/>
          <w:szCs w:val="20"/>
          <w:color w:val="auto"/>
        </w:rPr>
      </w:pPr>
    </w:p>
    <w:p>
      <w:pPr>
        <w:jc w:val="both"/>
        <w:ind w:left="1940" w:hanging="479"/>
        <w:spacing w:after="0" w:line="266" w:lineRule="auto"/>
        <w:tabs>
          <w:tab w:leader="none" w:pos="1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10A.</w:t>
      </w:r>
      <w:r>
        <w:rPr>
          <w:sz w:val="20"/>
          <w:szCs w:val="20"/>
          <w:color w:val="auto"/>
        </w:rPr>
        <w:tab/>
      </w:r>
      <w:hyperlink r:id="rId77">
        <w:r>
          <w:rPr>
            <w:rFonts w:ascii="Times New Roman" w:cs="Times New Roman" w:eastAsia="Times New Roman" w:hAnsi="Times New Roman"/>
            <w:sz w:val="18"/>
            <w:szCs w:val="18"/>
            <w:u w:val="single" w:color="auto"/>
            <w:color w:val="0000EE"/>
          </w:rPr>
          <w:t>Asset Purchase Agreement dated January 31, 2022 by and among Bassett Furniture Industries, Incorporated, Zenith Freight</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Lines, LLC and J.B. Hunt Transport, Inc. is incorporated herein by reference to Exhibit 2.1 to Form 8-K filed with the SEC on</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February 1,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94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*10B. </w:t>
      </w:r>
      <w:hyperlink r:id="rId78">
        <w:r>
          <w:rPr>
            <w:rFonts w:ascii="Times New Roman" w:cs="Times New Roman" w:eastAsia="Times New Roman" w:hAnsi="Times New Roman"/>
            <w:sz w:val="18"/>
            <w:szCs w:val="18"/>
            <w:u w:val="single" w:color="auto"/>
            <w:color w:val="0000EE"/>
          </w:rPr>
          <w:t>Bassett Executive Deferred Compensation Plan is incorporated herein by reference to Form 10-K for the fiscal year ended</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November 30, 1997.</w:t>
        </w:r>
      </w:hyperlink>
    </w:p>
    <w:p>
      <w:pPr>
        <w:spacing w:after="0" w:line="162" w:lineRule="exact"/>
        <w:rPr>
          <w:sz w:val="20"/>
          <w:szCs w:val="20"/>
          <w:color w:val="auto"/>
        </w:rPr>
      </w:pPr>
    </w:p>
    <w:p>
      <w:pPr>
        <w:jc w:val="both"/>
        <w:ind w:left="194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*10C. </w:t>
      </w:r>
      <w:hyperlink r:id="rId78">
        <w:r>
          <w:rPr>
            <w:rFonts w:ascii="Times New Roman" w:cs="Times New Roman" w:eastAsia="Times New Roman" w:hAnsi="Times New Roman"/>
            <w:sz w:val="18"/>
            <w:szCs w:val="18"/>
            <w:u w:val="single" w:color="auto"/>
            <w:color w:val="0000EE"/>
          </w:rPr>
          <w:t>Bassett Supplemental Retirement Income Plan is incorporated herein by reference to Form 10-K for the fiscal year ended</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November 30, 1997.</w:t>
        </w:r>
      </w:hyperlink>
    </w:p>
    <w:p>
      <w:pPr>
        <w:spacing w:after="0" w:line="162" w:lineRule="exact"/>
        <w:rPr>
          <w:sz w:val="20"/>
          <w:szCs w:val="20"/>
          <w:color w:val="auto"/>
        </w:rPr>
      </w:pPr>
    </w:p>
    <w:p>
      <w:pPr>
        <w:jc w:val="both"/>
        <w:ind w:left="194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*10K. </w:t>
      </w:r>
      <w:hyperlink r:id="rId79">
        <w:r>
          <w:rPr>
            <w:rFonts w:ascii="Times New Roman" w:cs="Times New Roman" w:eastAsia="Times New Roman" w:hAnsi="Times New Roman"/>
            <w:sz w:val="18"/>
            <w:szCs w:val="18"/>
            <w:u w:val="single" w:color="auto"/>
            <w:color w:val="0000EE"/>
          </w:rPr>
          <w:t>Bassett Furniture Industries, Incorporated 2021 Stock Incentive Plan incorporated by reference to Schedule 14A filed on</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February 8, 2021</w:t>
        </w:r>
      </w:hyperlink>
    </w:p>
    <w:p>
      <w:pPr>
        <w:spacing w:after="0" w:line="162" w:lineRule="exact"/>
        <w:rPr>
          <w:sz w:val="20"/>
          <w:szCs w:val="20"/>
          <w:color w:val="auto"/>
        </w:rPr>
      </w:pPr>
    </w:p>
    <w:p>
      <w:pPr>
        <w:jc w:val="both"/>
        <w:ind w:left="1940" w:hanging="485"/>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*10L. </w:t>
      </w:r>
      <w:hyperlink r:id="rId80">
        <w:r>
          <w:rPr>
            <w:rFonts w:ascii="Times New Roman" w:cs="Times New Roman" w:eastAsia="Times New Roman" w:hAnsi="Times New Roman"/>
            <w:sz w:val="18"/>
            <w:szCs w:val="18"/>
            <w:u w:val="single" w:color="auto"/>
            <w:color w:val="0000EE"/>
          </w:rPr>
          <w:t>Form of Performance Share Award Agreement, Restricted Stock Award Agreement and Stock Option Award Agreement under</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the Bassett Furniture Industries, Incorporated 2021 Stock Incentive Plan is incorporated herein by reference to Exhibit 10.L to</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Form 10-K filed with the SEC on January 31, 2022.</w:t>
        </w:r>
      </w:hyperlink>
    </w:p>
    <w:p>
      <w:pPr>
        <w:spacing w:after="0" w:line="176" w:lineRule="exact"/>
        <w:rPr>
          <w:rFonts w:ascii="Times New Roman" w:cs="Times New Roman" w:eastAsia="Times New Roman" w:hAnsi="Times New Roman"/>
          <w:sz w:val="18"/>
          <w:szCs w:val="18"/>
          <w:color w:val="auto"/>
        </w:rPr>
      </w:pPr>
    </w:p>
    <w:p>
      <w:pPr>
        <w:jc w:val="both"/>
        <w:ind w:left="194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*10M.</w:t>
      </w:r>
      <w:hyperlink r:id="rId81">
        <w:r>
          <w:rPr>
            <w:rFonts w:ascii="Times New Roman" w:cs="Times New Roman" w:eastAsia="Times New Roman" w:hAnsi="Times New Roman"/>
            <w:sz w:val="18"/>
            <w:szCs w:val="18"/>
            <w:u w:val="single" w:color="auto"/>
            <w:color w:val="0000EE"/>
          </w:rPr>
          <w:t>Schedule of Terms for Employment Continuity Agreements with Certain Executive Officers is incorporated herein by reference</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to Exhibit 10M to Form 10-K filed with the SEC on January 31, 2022.</w:t>
        </w:r>
      </w:hyperlink>
    </w:p>
    <w:p>
      <w:pPr>
        <w:spacing w:after="0" w:line="162" w:lineRule="exact"/>
        <w:rPr>
          <w:sz w:val="20"/>
          <w:szCs w:val="20"/>
          <w:color w:val="auto"/>
        </w:rPr>
      </w:pPr>
    </w:p>
    <w:p>
      <w:pPr>
        <w:jc w:val="both"/>
        <w:ind w:left="1940" w:right="2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*10N. </w:t>
      </w:r>
      <w:hyperlink r:id="rId82">
        <w:r>
          <w:rPr>
            <w:rFonts w:ascii="Times New Roman" w:cs="Times New Roman" w:eastAsia="Times New Roman" w:hAnsi="Times New Roman"/>
            <w:sz w:val="18"/>
            <w:szCs w:val="18"/>
            <w:u w:val="single" w:color="auto"/>
            <w:color w:val="0000EE"/>
          </w:rPr>
          <w:t>Restated Supplemental Retirement Income Plan, effective May 1, 2014, is incorporated herein by reference to Form 10-Q for the</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quarterly period ended May 31, 2014.</w:t>
        </w:r>
      </w:hyperlink>
    </w:p>
    <w:p>
      <w:pPr>
        <w:spacing w:after="0" w:line="162" w:lineRule="exact"/>
        <w:rPr>
          <w:sz w:val="20"/>
          <w:szCs w:val="20"/>
          <w:color w:val="auto"/>
        </w:rPr>
      </w:pPr>
    </w:p>
    <w:p>
      <w:pPr>
        <w:jc w:val="both"/>
        <w:ind w:left="1940" w:hanging="48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*10O. </w:t>
      </w:r>
      <w:hyperlink r:id="rId83">
        <w:r>
          <w:rPr>
            <w:rFonts w:ascii="Times New Roman" w:cs="Times New Roman" w:eastAsia="Times New Roman" w:hAnsi="Times New Roman"/>
            <w:sz w:val="18"/>
            <w:szCs w:val="18"/>
            <w:u w:val="single" w:color="auto"/>
            <w:color w:val="0000EE"/>
          </w:rPr>
          <w:t>Bassett Furniture Industries, Incorporated Management Savings Plan incorporated by reference to Exhibit 10.1 to Form 8-K filed</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with the SEC on May 5, 2017.</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ind w:left="1920" w:hanging="44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*10P. </w:t>
      </w:r>
      <w:hyperlink r:id="rId85">
        <w:r>
          <w:rPr>
            <w:rFonts w:ascii="Times New Roman" w:cs="Times New Roman" w:eastAsia="Times New Roman" w:hAnsi="Times New Roman"/>
            <w:sz w:val="18"/>
            <w:szCs w:val="18"/>
            <w:u w:val="single" w:color="auto"/>
            <w:color w:val="0000EE"/>
          </w:rPr>
          <w:t>Form of Long Term Cash Award under Bassett Furniture Industries, Incorporated Management Savings Plan incorporated by</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reference to Exhibit 10.2 to Form 8-K filed with the SEC on May 5, 2017.</w:t>
        </w:r>
      </w:hyperlink>
    </w:p>
    <w:p>
      <w:pPr>
        <w:spacing w:after="0" w:line="162" w:lineRule="exact"/>
        <w:rPr>
          <w:sz w:val="20"/>
          <w:szCs w:val="20"/>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*10Q.</w:t>
      </w:r>
      <w:hyperlink r:id="rId86">
        <w:r>
          <w:rPr>
            <w:rFonts w:ascii="Times New Roman" w:cs="Times New Roman" w:eastAsia="Times New Roman" w:hAnsi="Times New Roman"/>
            <w:sz w:val="18"/>
            <w:szCs w:val="18"/>
            <w:u w:val="single" w:color="auto"/>
            <w:color w:val="0000EE"/>
          </w:rPr>
          <w:t>Form of Indemnity Agreement incorporated by reference to Exhibit 10.1 to Form 8-K filed with the SEC on October 18, 2022.</w:t>
        </w:r>
      </w:hyperlink>
    </w:p>
    <w:p>
      <w:pPr>
        <w:spacing w:after="0" w:line="225" w:lineRule="exact"/>
        <w:rPr>
          <w:sz w:val="20"/>
          <w:szCs w:val="20"/>
          <w:color w:val="auto"/>
        </w:rPr>
      </w:pPr>
    </w:p>
    <w:p>
      <w:pPr>
        <w:ind w:left="1920" w:hanging="441"/>
        <w:spacing w:after="0"/>
        <w:tabs>
          <w:tab w:leader="none" w:pos="1920" w:val="left"/>
        </w:tabs>
        <w:numPr>
          <w:ilvl w:val="0"/>
          <w:numId w:val="35"/>
        </w:numPr>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Insider Trading Policy, incorporated by reference to Exhibit 19 to Form 10-K filed with the SEC on February 10, 2025.</w:t>
        </w:r>
      </w:hyperlink>
    </w:p>
    <w:p>
      <w:pPr>
        <w:spacing w:after="0" w:line="225" w:lineRule="exact"/>
        <w:rPr>
          <w:sz w:val="20"/>
          <w:szCs w:val="20"/>
          <w:color w:val="auto"/>
        </w:rPr>
      </w:pPr>
    </w:p>
    <w:p>
      <w:pPr>
        <w:ind w:left="1920" w:hanging="441"/>
        <w:spacing w:after="0"/>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23A. </w:t>
      </w:r>
      <w:r>
        <w:rPr>
          <w:rFonts w:ascii="Times New Roman" w:cs="Times New Roman" w:eastAsia="Times New Roman" w:hAnsi="Times New Roman"/>
          <w:sz w:val="18"/>
          <w:szCs w:val="18"/>
          <w:u w:val="single" w:color="auto"/>
          <w:color w:val="0000EE"/>
        </w:rPr>
        <w:t>Consent of Independent Registered Public Accounting Firm (Grant Thornton LLP)</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23B. </w:t>
      </w:r>
      <w:r>
        <w:rPr>
          <w:rFonts w:ascii="Times New Roman" w:cs="Times New Roman" w:eastAsia="Times New Roman" w:hAnsi="Times New Roman"/>
          <w:sz w:val="18"/>
          <w:szCs w:val="18"/>
          <w:u w:val="single" w:color="auto"/>
          <w:color w:val="0000EE"/>
        </w:rPr>
        <w:t>Consent of Independent Registered Public Accounting Firm, (Ernst &amp; Young LLP)</w:t>
      </w:r>
    </w:p>
    <w:p>
      <w:pPr>
        <w:spacing w:after="0" w:line="225" w:lineRule="exact"/>
        <w:rPr>
          <w:sz w:val="20"/>
          <w:szCs w:val="20"/>
          <w:color w:val="auto"/>
        </w:rPr>
      </w:pPr>
    </w:p>
    <w:p>
      <w:pPr>
        <w:ind w:left="1920" w:right="20" w:hanging="445"/>
        <w:spacing w:after="0" w:line="282" w:lineRule="auto"/>
        <w:rPr>
          <w:sz w:val="20"/>
          <w:szCs w:val="20"/>
          <w:color w:val="auto"/>
        </w:rPr>
      </w:pPr>
      <w:r>
        <w:rPr>
          <w:rFonts w:ascii="Times New Roman" w:cs="Times New Roman" w:eastAsia="Times New Roman" w:hAnsi="Times New Roman"/>
          <w:sz w:val="18"/>
          <w:szCs w:val="18"/>
          <w:color w:val="auto"/>
        </w:rPr>
        <w:t xml:space="preserve">31A. </w:t>
      </w:r>
      <w:r>
        <w:rPr>
          <w:rFonts w:ascii="Times New Roman" w:cs="Times New Roman" w:eastAsia="Times New Roman" w:hAnsi="Times New Roman"/>
          <w:sz w:val="18"/>
          <w:szCs w:val="18"/>
          <w:u w:val="single" w:color="auto"/>
          <w:color w:val="0000EE"/>
        </w:rPr>
        <w:t>Certification of Robert H. Spilman, Jr., President and Chief Executive Officer, pursuant to Section 302 of the 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Act of 2002.</w:t>
      </w:r>
    </w:p>
    <w:p>
      <w:pPr>
        <w:spacing w:after="0" w:line="162" w:lineRule="exact"/>
        <w:rPr>
          <w:sz w:val="20"/>
          <w:szCs w:val="20"/>
          <w:color w:val="auto"/>
        </w:rPr>
      </w:pPr>
    </w:p>
    <w:p>
      <w:pPr>
        <w:ind w:left="1920" w:hanging="439"/>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Section 302 of the Sarbanes-Oxley Act of 2002.</w:t>
      </w:r>
    </w:p>
    <w:p>
      <w:pPr>
        <w:spacing w:after="0" w:line="162" w:lineRule="exact"/>
        <w:rPr>
          <w:sz w:val="20"/>
          <w:szCs w:val="20"/>
          <w:color w:val="auto"/>
        </w:rPr>
      </w:pPr>
    </w:p>
    <w:p>
      <w:pPr>
        <w:ind w:left="1920" w:hanging="445"/>
        <w:spacing w:after="0" w:line="282" w:lineRule="auto"/>
        <w:rPr>
          <w:sz w:val="20"/>
          <w:szCs w:val="20"/>
          <w:color w:val="auto"/>
        </w:rPr>
      </w:pPr>
      <w:r>
        <w:rPr>
          <w:rFonts w:ascii="Times New Roman" w:cs="Times New Roman" w:eastAsia="Times New Roman" w:hAnsi="Times New Roman"/>
          <w:sz w:val="18"/>
          <w:szCs w:val="18"/>
          <w:color w:val="auto"/>
        </w:rPr>
        <w:t xml:space="preserve">32A. </w:t>
      </w:r>
      <w:r>
        <w:rPr>
          <w:rFonts w:ascii="Times New Roman" w:cs="Times New Roman" w:eastAsia="Times New Roman" w:hAnsi="Times New Roman"/>
          <w:sz w:val="18"/>
          <w:szCs w:val="18"/>
          <w:u w:val="single" w:color="auto"/>
          <w:color w:val="0000EE"/>
        </w:rPr>
        <w:t>Certification of Robert H. Spilman, Jr., President and Chief Executive Officer pursuant to 18 U.S.C. 1350,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906 of the Sarbanes-Oxley Act of 2002.</w:t>
      </w:r>
    </w:p>
    <w:p>
      <w:pPr>
        <w:spacing w:after="0" w:line="162" w:lineRule="exact"/>
        <w:rPr>
          <w:sz w:val="20"/>
          <w:szCs w:val="20"/>
          <w:color w:val="auto"/>
        </w:rPr>
      </w:pPr>
    </w:p>
    <w:p>
      <w:pPr>
        <w:ind w:left="1920" w:hanging="439"/>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32B.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18 U.S.C. 1350, as adopted pursuant to Section 906 of the Sarbanes-Oxley Act of 2002.</w:t>
      </w:r>
    </w:p>
    <w:p>
      <w:pPr>
        <w:spacing w:after="0" w:line="162" w:lineRule="exact"/>
        <w:rPr>
          <w:sz w:val="20"/>
          <w:szCs w:val="20"/>
          <w:color w:val="auto"/>
        </w:rPr>
      </w:pPr>
    </w:p>
    <w:p>
      <w:pPr>
        <w:ind w:left="1920" w:right="20" w:hanging="441"/>
        <w:spacing w:after="0" w:line="282" w:lineRule="auto"/>
        <w:tabs>
          <w:tab w:leader="none" w:pos="1920" w:val="left"/>
        </w:tabs>
        <w:numPr>
          <w:ilvl w:val="0"/>
          <w:numId w:val="37"/>
        </w:numPr>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Bassett Furniture Industries, Incorporated, Clawback Policy, incorporated by reference to Exhibit 97 to Form 10-K filed with the</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SEC on February 10, 2025.</w:t>
        </w:r>
      </w:hyperlink>
    </w:p>
    <w:p>
      <w:pPr>
        <w:spacing w:after="0" w:line="162"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101.INS XBRL Instance</w:t>
      </w:r>
    </w:p>
    <w:p>
      <w:pPr>
        <w:spacing w:after="0" w:line="225"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101.SCHXBRL Taxonomy Extension Schema</w:t>
      </w:r>
    </w:p>
    <w:p>
      <w:pPr>
        <w:spacing w:after="0" w:line="225"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101.CALXBRL Taxonomy Extension Calculation</w:t>
      </w:r>
    </w:p>
    <w:p>
      <w:pPr>
        <w:spacing w:after="0" w:line="225"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101.DEFXBRL Taxonomy Extension Definition</w:t>
      </w:r>
    </w:p>
    <w:p>
      <w:pPr>
        <w:spacing w:after="0" w:line="225"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101.LABXBRL Taxonomy Extension Labels</w:t>
      </w:r>
    </w:p>
    <w:p>
      <w:pPr>
        <w:spacing w:after="0" w:line="225"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101.PRE XBRL Taxonomy Extension Presentation</w:t>
      </w:r>
    </w:p>
    <w:p>
      <w:pPr>
        <w:spacing w:after="0" w:line="225" w:lineRule="exact"/>
        <w:rPr>
          <w:rFonts w:ascii="Times New Roman" w:cs="Times New Roman" w:eastAsia="Times New Roman" w:hAnsi="Times New Roman"/>
          <w:sz w:val="18"/>
          <w:szCs w:val="18"/>
          <w:color w:val="auto"/>
        </w:rPr>
      </w:pPr>
    </w:p>
    <w:p>
      <w:pPr>
        <w:ind w:left="1920" w:hanging="670"/>
        <w:spacing w:after="0"/>
        <w:tabs>
          <w:tab w:leader="none" w:pos="1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 of the Company.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12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color w:val="auto"/>
        </w:rPr>
        <w:t>FORM 10-K SUMMARY</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 (Registrant)</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Robert H. Spilman, Jr.</w:t>
            </w:r>
          </w:p>
        </w:tc>
        <w:tc>
          <w:tcPr>
            <w:tcW w:w="34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98"/>
              </w:rPr>
              <w:t>Date: February 5, 2026</w:t>
            </w:r>
          </w:p>
        </w:tc>
      </w:tr>
      <w:tr>
        <w:trPr>
          <w:trHeight w:val="191"/>
        </w:trPr>
        <w:tc>
          <w:tcPr>
            <w:tcW w:w="34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H. Spilman, Jr.</w:t>
            </w:r>
          </w:p>
        </w:tc>
        <w:tc>
          <w:tcPr>
            <w:tcW w:w="1800" w:type="dxa"/>
            <w:vAlign w:val="bottom"/>
            <w:tcBorders>
              <w:top w:val="single" w:sz="8" w:color="auto"/>
            </w:tcBorders>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Emma S. Battle</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Emma S. Battle</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John R. Belk</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R. Belk</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Kristina K. Cashman</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Kristina K. Cashman</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James E. Goergen</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E. Goergen</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Virginia W. Hamlet</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Virginia W. Hamlet</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 Walter McDowell</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Walter McDowell</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William C. Wampler, Jr.</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Wampler, Jr.</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William C. Warden, Jr.</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Warden, Jr.</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 Lead Independent Director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6460" w:type="dxa"/>
            <w:vAlign w:val="bottom"/>
            <w:gridSpan w:val="2"/>
          </w:tcPr>
          <w:p>
            <w:pPr>
              <w:ind w:left="4340"/>
              <w:spacing w:after="0"/>
              <w:rPr>
                <w:sz w:val="20"/>
                <w:szCs w:val="20"/>
                <w:color w:val="auto"/>
              </w:rPr>
            </w:pPr>
            <w:r>
              <w:rPr>
                <w:rFonts w:ascii="Times New Roman" w:cs="Times New Roman" w:eastAsia="Times New Roman" w:hAnsi="Times New Roman"/>
                <w:sz w:val="18"/>
                <w:szCs w:val="18"/>
                <w:color w:val="auto"/>
              </w:rPr>
              <w:t>Date: February 5, 2026</w:t>
            </w:r>
          </w:p>
        </w:tc>
      </w:tr>
      <w:tr>
        <w:trPr>
          <w:trHeight w:val="191"/>
        </w:trPr>
        <w:tc>
          <w:tcPr>
            <w:tcW w:w="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434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4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65</w:t>
            </w:r>
          </w:p>
        </w:tc>
        <w:tc>
          <w:tcPr>
            <w:tcW w:w="212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jc w:val="center"/>
        <w:ind w:left="340" w:right="2480"/>
        <w:spacing w:after="0" w:line="275" w:lineRule="auto"/>
        <w:rPr>
          <w:sz w:val="20"/>
          <w:szCs w:val="20"/>
          <w:color w:val="auto"/>
        </w:rPr>
      </w:pPr>
      <w:r>
        <w:rPr>
          <w:rFonts w:ascii="Times New Roman" w:cs="Times New Roman" w:eastAsia="Times New Roman" w:hAnsi="Times New Roman"/>
          <w:sz w:val="18"/>
          <w:szCs w:val="18"/>
          <w:color w:val="auto"/>
        </w:rPr>
        <w:t xml:space="preserve">Analysis of Valuation and Qualifying Accounts For the Years Ended November 29, 2025, November 30, 2024 and November 25, 2023 </w:t>
      </w: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Additions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Charged to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Beginning of</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Cost and</w:t>
            </w:r>
          </w:p>
        </w:tc>
        <w:tc>
          <w:tcPr>
            <w:tcW w:w="2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Deductions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Balance End</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Period</w:t>
            </w:r>
          </w:p>
        </w:tc>
        <w:tc>
          <w:tcPr>
            <w:tcW w:w="26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Expenses</w:t>
            </w:r>
          </w:p>
        </w:tc>
        <w:tc>
          <w:tcPr>
            <w:tcW w:w="22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Period</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25, 2023:</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r>
      <w:tr>
        <w:trPr>
          <w:trHeight w:val="196"/>
        </w:trPr>
        <w:tc>
          <w:tcPr>
            <w:tcW w:w="4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30, 2024: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197"/>
        </w:trPr>
        <w:tc>
          <w:tcPr>
            <w:tcW w:w="4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29, 2025: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196"/>
        </w:trPr>
        <w:tc>
          <w:tcPr>
            <w:tcW w:w="4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Deductions are for the purpose for which the reserve was created.</w:t>
      </w:r>
    </w:p>
    <w:p>
      <w:pPr>
        <w:sectPr>
          <w:pgSz w:w="11900" w:h="16838" w:orient="portrait"/>
          <w:cols w:equalWidth="0" w:num="1">
            <w:col w:w="11240"/>
          </w:cols>
          <w:pgMar w:left="320" w:top="81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4B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EIGHTH AMENDED AND RESTATED CREDIT AGREEMENT</w:t>
      </w:r>
    </w:p>
    <w:p>
      <w:pPr>
        <w:spacing w:after="0" w:line="225" w:lineRule="exact"/>
        <w:rPr>
          <w:sz w:val="20"/>
          <w:szCs w:val="20"/>
          <w:color w:val="auto"/>
        </w:rPr>
      </w:pPr>
    </w:p>
    <w:p>
      <w:pPr>
        <w:jc w:val="both"/>
        <w:ind w:firstLine="1296"/>
        <w:spacing w:after="0" w:line="202"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EIGHTH AMENDED AND RESTATED CREDIT AGREEMENT </w:t>
      </w:r>
      <w:r>
        <w:rPr>
          <w:rFonts w:ascii="Times New Roman" w:cs="Times New Roman" w:eastAsia="Times New Roman" w:hAnsi="Times New Roman"/>
          <w:sz w:val="18"/>
          <w:szCs w:val="18"/>
          <w:color w:val="auto"/>
        </w:rPr>
        <w:t>(this “Amendment”) is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this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2026, by and among </w:t>
      </w:r>
      <w:r>
        <w:rPr>
          <w:rFonts w:ascii="Times New Roman" w:cs="Times New Roman" w:eastAsia="Times New Roman" w:hAnsi="Times New Roman"/>
          <w:sz w:val="18"/>
          <w:szCs w:val="18"/>
          <w:b w:val="1"/>
          <w:bCs w:val="1"/>
          <w:color w:val="auto"/>
        </w:rPr>
        <w:t>BASSETT FURNITURE INDUSTRIES, INCORPORATED</w:t>
      </w:r>
      <w:r>
        <w:rPr>
          <w:rFonts w:ascii="Times New Roman" w:cs="Times New Roman" w:eastAsia="Times New Roman" w:hAnsi="Times New Roman"/>
          <w:sz w:val="18"/>
          <w:szCs w:val="18"/>
          <w:color w:val="auto"/>
        </w:rPr>
        <w:t xml:space="preserve"> (“Borrower”), </w:t>
      </w:r>
      <w:r>
        <w:rPr>
          <w:rFonts w:ascii="Times New Roman" w:cs="Times New Roman" w:eastAsia="Times New Roman" w:hAnsi="Times New Roman"/>
          <w:sz w:val="18"/>
          <w:szCs w:val="18"/>
          <w:b w:val="1"/>
          <w:bCs w:val="1"/>
          <w:color w:val="auto"/>
        </w:rPr>
        <w:t>BASSETT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FURNITURE INDUSTRIES OF NORTH CAROLINA, LLC, BASSETT DIRECT STORES, LLC, BASSETT DIRECT NC, LLC, BASSETT DIRECT SC, LLC </w:t>
      </w:r>
      <w:r>
        <w:rPr>
          <w:rFonts w:ascii="Times New Roman" w:cs="Times New Roman" w:eastAsia="Times New Roman" w:hAnsi="Times New Roman"/>
          <w:sz w:val="18"/>
          <w:szCs w:val="18"/>
          <w:color w:val="auto"/>
        </w:rPr>
        <w:t>(collectively, the “Guarantors”) and</w:t>
      </w:r>
      <w:r>
        <w:rPr>
          <w:rFonts w:ascii="Times New Roman" w:cs="Times New Roman" w:eastAsia="Times New Roman" w:hAnsi="Times New Roman"/>
          <w:sz w:val="18"/>
          <w:szCs w:val="18"/>
          <w:b w:val="1"/>
          <w:bCs w:val="1"/>
          <w:color w:val="auto"/>
        </w:rPr>
        <w:t xml:space="preserve"> TRUIST BANK </w:t>
      </w:r>
      <w:r>
        <w:rPr>
          <w:rFonts w:ascii="Times New Roman" w:cs="Times New Roman" w:eastAsia="Times New Roman" w:hAnsi="Times New Roman"/>
          <w:sz w:val="18"/>
          <w:szCs w:val="18"/>
          <w:color w:val="auto"/>
        </w:rPr>
        <w:t>(the “Bank”).</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Borrower, the Guarantors and the Bank are parties to that certain Eighth Amended and Restated Credit Agreement dated as of May 15, 2024 (as it may hereafter be amended, restated, supplemented or otherwise modified, the “Agreement”). Subject to the terms and conditions contained in the Agreement, the Bank agreed to make Advances (as defined in the Agreement) to the Borrower before the Termination Date (as defined in the Agreement) in an aggregate principal amount at any one time outstanding not to exceed $25,000,000.00. The Borrower and the Guarantors have requested that the Bank amend certain of the covenants in the Agreement, and to make certain other modifications to the Agreement, and the Bank is willing to do so upon the terms and conditions contained herein.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Accordingly, the Borrower, the Guarantors and the Bank hereby agree as follows:</w:t>
      </w:r>
    </w:p>
    <w:p>
      <w:pPr>
        <w:spacing w:after="0" w:line="225" w:lineRule="exact"/>
        <w:rPr>
          <w:sz w:val="20"/>
          <w:szCs w:val="20"/>
          <w:color w:val="auto"/>
        </w:rPr>
      </w:pPr>
    </w:p>
    <w:p>
      <w:pPr>
        <w:ind w:left="2020" w:hanging="716"/>
        <w:spacing w:after="0"/>
        <w:tabs>
          <w:tab w:leader="none" w:pos="2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Amendment and not otherwise defined herein shall have the meanings assigned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firstLine="1304"/>
        <w:spacing w:after="0" w:line="282" w:lineRule="auto"/>
        <w:tabs>
          <w:tab w:leader="none" w:pos="20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“Termination Date” contained in Section 1.01 of the Agreement is hereby deleted in its entirety, and the following new definition is inserted in its place:</w:t>
      </w:r>
    </w:p>
    <w:p>
      <w:pPr>
        <w:spacing w:after="0" w:line="16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“Termination Date” means January 31, 2029.</w:t>
      </w:r>
    </w:p>
    <w:p>
      <w:pPr>
        <w:spacing w:after="0" w:line="225" w:lineRule="exact"/>
        <w:rPr>
          <w:sz w:val="20"/>
          <w:szCs w:val="20"/>
          <w:color w:val="auto"/>
        </w:rPr>
      </w:pPr>
    </w:p>
    <w:p>
      <w:pPr>
        <w:ind w:right="20" w:firstLine="1304"/>
        <w:spacing w:after="0" w:line="282" w:lineRule="auto"/>
        <w:tabs>
          <w:tab w:leader="none" w:pos="18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hereby represent and warrant to the Bank (which representations and warranties shall survive the execution and delivery of this Amendment) that: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9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 in compliance with all of the terms, covenants and conditions of the Agreement, as amended by this Amendment, and each of the other Loan Documents.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Default or Event of Default under the Agreement, as amended by this Amendment, and no event has occurred or condition exists which, with the giving of notice or lapse of time, or both, would constitute a Default or an Event of Default or a default or an event of default under any of the Loan Documents.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Article IV of the Agreement are, except to the extent that they relate solely to an earlier date, true with the same effect as though such representations and warranties had been made on the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both"/>
        <w:ind w:firstLine="1952"/>
        <w:spacing w:after="0" w:line="254" w:lineRule="auto"/>
        <w:tabs>
          <w:tab w:leader="none" w:pos="2627"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each Loan Party of this Amendment (A) (i) are within each Loan Party’s organizational powers, (ii) have been duly authorized by all necessary organizational action, (iii) require no action by or in respect of, or filing with, any governmental body, agency or official, (iv) do not contravene, or constitute a default under, any provision of applicable law or regulation or of the certificate of incorporation, articles of organization, operating agreement or by-laws of any Loan Party or of any agreement, judgment, injunction, order, decree or other instrument binding upon any Loan Party or any of its Subsidiaries, (v) do not result in the creation or imposition of any Lien on any asset of any of the Loan Parties or any of their respective Subsidiaries and (B) are the legal, binding, valid and enforceable obligations of each Loan Party enforceable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hereof is subject to general principles of equity and to bankruptcy, insolvency and similar laws affecting the enforcement of creditors’ rights generally.</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5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pending, or to the knowledge of any of the Loan Parties threatened, against or affecting any of the Loan Parties or any of their respective Subsidiaries before any court or arbitrator or any governmental body, agency or official which could have a Material Adverse Effect or which in any manner draws into question the validity or enforceability of, or could impair the ability of any of the Loan Parties to perform their respective obligations under, this Amendment or any of the other Loan Documents.</w:t>
      </w:r>
    </w:p>
    <w:p>
      <w:pPr>
        <w:spacing w:after="0" w:line="179"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agreement to enter into this Amendment is subject to the following conditions precedent: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shall have executed and delivered to the Bank this Amendment.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1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have received searches of the Uniform Commercial Code filings in the jurisdiction of incorporation or formation of each Loan Party and each jurisdiction where any Collateral is located or where a filing would need to be made in order to perfect the Bank’s security interest in the Collateral, copies of the financing statements on file in such jurisdictions and evidence that no Liens exist other than Liens permitted by Section 5.14 of the Agreement.</w:t>
      </w:r>
    </w:p>
    <w:p>
      <w:pPr>
        <w:spacing w:after="0" w:line="179"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executed and delivered to the Bank a wire terms and conditions in form and substance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satisfactory to the Bank.</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1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Bank a certificate of the Secretary of State of each Loan Party’s state of organization as to the good standing of such Loan Party.</w:t>
      </w:r>
    </w:p>
    <w:p>
      <w:pPr>
        <w:spacing w:after="0" w:line="161"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have paid to the Bank the legal fees and expenses described in Section 11 hereof.</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5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have executed and delivered, or caused to be executed and delivered, to the Bank such other and further documents, certificates, opinions and other papers as the Bank shall request, all in form and substance reasonably satisfactory to the Bank.</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8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the terms of the Agreement shall remain in full force and effect in all respects, and each of the Loan Parties hereby affirms, confirms and reaffirms its respective obligations under the Agreement, as amended by this Amendment, and each of the other Loan Documents to the extent it is a party thereto. Each of the Loan Parties hereby acknowledges and agrees that nothing contained in this Amendment shall be deemed to constitute a waiver or release by the Bank of (i) any Default or Event of Default that may now or hereafter exist under the Agreement, as amended by this Amendment, or any default or event of default that may now or hereafter exist under any of the other Loan Documents or</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Bank’s right to exercise any and all rights and remedies under the Agreement and/or any of the other Loan Documents, all of which rights and remedies are hereby expressly reserved. Each of the Loan Parties, for itself and its successors and assigns, hereby waives and releases the Bank and each of the Bank’s successors and assigns, from any claim, cause of action, defense, counterclaim, setoff or recoupment of any kind or nature that it may assert against the Bank arising from or in connection with the Agreement, as amended by this Amendment, or any of the other Loan Documents or the transactions contemplated thereby or hereby that exists on the date hereof or arises from facts or actions occurring prior hereto or on the date hereof. Nothing contained in this Amendment or any of the other Loan Documents shall be construed to constitute a novation with respect to any of the obligations described in the Agreement or any of the other Loan Documents.</w:t>
      </w:r>
    </w:p>
    <w:p>
      <w:pPr>
        <w:spacing w:after="0" w:line="179" w:lineRule="exact"/>
        <w:rPr>
          <w:rFonts w:ascii="Times New Roman" w:cs="Times New Roman" w:eastAsia="Times New Roman" w:hAnsi="Times New Roman"/>
          <w:sz w:val="18"/>
          <w:szCs w:val="18"/>
          <w:color w:val="auto"/>
        </w:rPr>
      </w:pPr>
    </w:p>
    <w:p>
      <w:pPr>
        <w:ind w:left="5580" w:hanging="136"/>
        <w:spacing w:after="0"/>
        <w:tabs>
          <w:tab w:leader="none" w:pos="5580"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304"/>
        <w:spacing w:after="0" w:line="255" w:lineRule="auto"/>
        <w:tabs>
          <w:tab w:leader="none" w:pos="2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acknowledges that it has unconditionally guaranteed the full and prompt payment of all indebtedness, obligations and liabilities of the Borrower to the Bank pursuant to the terms of Article IX of the Agreement. Each of the Guarantors hereby agrees that (i) the execution and delivery of this Amendment and the documents executed in connection herewith do not and shall not in any respect affect or impair any of its obligations, covenants or agreements under Article IX of the Agreement, (ii) each reference in Article IX of the Agreement to the term, “Agreement,” shall be deemed to be a reference to the Agreement, as amended by this Amendment or as hereafter amended, restated, supplemented or otherwise modified from time to time and (iii) all of its obligations, covenants and agreements under Article IX of the Agreement are hereby expressly affirmed, confirmed and reaffirmed.</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Agreement in any of the Loan Documents, or any other documents or instruments that refer to the Agreement, shall be deemed to be references to the Agreement as amended by this Amendment.</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construed in accordance with and governed by the laws of the Commonwealth of Virginia.</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an original, but all of which taken together shall constitute one and the same instrument. Delivery of an executed counterpart of this Amendment or any other Loan Document by facsimile transmission or by electronic mail in pdf form shall be as effective as a manually executed counterpart hereof or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inure to the benefit of the parties hereto and their respective successors and assigns. None of the Loan Parties shall have the right to assign any of its rights or obligations under or delegate any of its duties under the Agreement, as amended by this Amendment, or any of the other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hereby agree, jointly and severally, that they will pay on demand all out-of-pocket expenses incurred by the Bank in connection with the preparation of this Amendment and any other related documents, including but not limited to the fees and disbursements of counsel for the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represents the final agreement between the Loan Parties and the Bank with respect to the subject matter hereof, and may not be contradicted by evidence of prior, contemporaneous or subsequent oral agreements of the parties. There are no unwritten oral agreements between or among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under seal, by their respective duly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officers, managers or members, as applicable, as of the day and year first above written.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260" w:type="dxa"/>
            <w:vAlign w:val="bottom"/>
          </w:tcPr>
          <w:p>
            <w:pPr>
              <w:spacing w:after="0"/>
              <w:rPr>
                <w:sz w:val="24"/>
                <w:szCs w:val="24"/>
                <w:color w:val="auto"/>
              </w:rPr>
            </w:pPr>
          </w:p>
        </w:tc>
        <w:tc>
          <w:tcPr>
            <w:tcW w:w="6660" w:type="dxa"/>
            <w:vAlign w:val="bottom"/>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w w:val="99"/>
              </w:rPr>
              <w:t>BASSETT FURNITURE INDUSTRIES, INCORPORATED</w:t>
            </w: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57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60" w:type="dxa"/>
            <w:vAlign w:val="bottom"/>
          </w:tcPr>
          <w:p>
            <w:pPr>
              <w:spacing w:after="0"/>
              <w:rPr>
                <w:sz w:val="16"/>
                <w:szCs w:val="16"/>
                <w:color w:val="auto"/>
              </w:rPr>
            </w:pPr>
          </w:p>
        </w:tc>
        <w:tc>
          <w:tcPr>
            <w:tcW w:w="2680" w:type="dxa"/>
            <w:vAlign w:val="bottom"/>
            <w:gridSpan w:val="2"/>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0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Chief Financial</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and</w:t>
            </w:r>
          </w:p>
        </w:tc>
        <w:tc>
          <w:tcPr>
            <w:tcW w:w="3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Administrative Officer</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57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60" w:type="dxa"/>
            <w:vAlign w:val="bottom"/>
          </w:tcPr>
          <w:p>
            <w:pPr>
              <w:spacing w:after="0"/>
              <w:rPr>
                <w:sz w:val="16"/>
                <w:szCs w:val="16"/>
                <w:color w:val="auto"/>
              </w:rPr>
            </w:pPr>
          </w:p>
        </w:tc>
        <w:tc>
          <w:tcPr>
            <w:tcW w:w="2680" w:type="dxa"/>
            <w:vAlign w:val="bottom"/>
            <w:gridSpan w:val="2"/>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0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BASSETT FURNITURE INDUSTRIES OF NORTH</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CAROLINA, LLC</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8" w:lineRule="exact"/>
        <w:rPr>
          <w:sz w:val="20"/>
          <w:szCs w:val="20"/>
          <w:color w:val="auto"/>
        </w:rPr>
      </w:pPr>
    </w:p>
    <w:p>
      <w:pPr>
        <w:sectPr>
          <w:pgSz w:w="11900" w:h="16838" w:orient="portrait"/>
          <w:cols w:equalWidth="0" w:num="3">
            <w:col w:w="4540" w:space="720"/>
            <w:col w:w="260" w:space="180"/>
            <w:col w:w="554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5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60" w:type="dxa"/>
            <w:vAlign w:val="bottom"/>
          </w:tcPr>
          <w:p>
            <w:pPr>
              <w:spacing w:after="0"/>
              <w:rPr>
                <w:sz w:val="24"/>
                <w:szCs w:val="24"/>
                <w:color w:val="auto"/>
              </w:rPr>
            </w:pPr>
          </w:p>
        </w:tc>
        <w:tc>
          <w:tcPr>
            <w:tcW w:w="55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60" w:type="dxa"/>
            <w:vAlign w:val="bottom"/>
          </w:tcPr>
          <w:p>
            <w:pPr>
              <w:spacing w:after="0"/>
              <w:rPr>
                <w:sz w:val="16"/>
                <w:szCs w:val="16"/>
                <w:color w:val="auto"/>
              </w:rPr>
            </w:pPr>
          </w:p>
        </w:tc>
        <w:tc>
          <w:tcPr>
            <w:tcW w:w="2960" w:type="dxa"/>
            <w:vAlign w:val="bottom"/>
            <w:gridSpan w:val="2"/>
          </w:tcPr>
          <w:p>
            <w:pPr>
              <w:ind w:left="2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9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9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Financial</w:t>
            </w:r>
          </w:p>
        </w:tc>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55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60" w:type="dxa"/>
            <w:vAlign w:val="bottom"/>
          </w:tcPr>
          <w:p>
            <w:pPr>
              <w:spacing w:after="0"/>
              <w:rPr>
                <w:sz w:val="16"/>
                <w:szCs w:val="16"/>
                <w:color w:val="auto"/>
              </w:rPr>
            </w:pPr>
          </w:p>
        </w:tc>
        <w:tc>
          <w:tcPr>
            <w:tcW w:w="2960" w:type="dxa"/>
            <w:vAlign w:val="bottom"/>
            <w:gridSpan w:val="2"/>
          </w:tcPr>
          <w:p>
            <w:pPr>
              <w:ind w:left="2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9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[Executions Continue on Following Pages]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760" w:type="dxa"/>
            <w:vAlign w:val="bottom"/>
            <w:gridSpan w:val="4"/>
          </w:tcPr>
          <w:p>
            <w:pPr>
              <w:ind w:left="2020"/>
              <w:spacing w:after="0"/>
              <w:rPr>
                <w:sz w:val="20"/>
                <w:szCs w:val="20"/>
                <w:color w:val="auto"/>
              </w:rPr>
            </w:pPr>
            <w:r>
              <w:rPr>
                <w:rFonts w:ascii="Times New Roman" w:cs="Times New Roman" w:eastAsia="Times New Roman" w:hAnsi="Times New Roman"/>
                <w:sz w:val="18"/>
                <w:szCs w:val="18"/>
                <w:b w:val="1"/>
                <w:bCs w:val="1"/>
                <w:color w:val="auto"/>
              </w:rPr>
              <w:t>BASSETT DIRECT STORES, LLC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3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Financial</w:t>
            </w:r>
          </w:p>
        </w:tc>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Vice President, General Counsel and Secretary</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5760" w:type="dxa"/>
            <w:vAlign w:val="bottom"/>
            <w:gridSpan w:val="4"/>
          </w:tcPr>
          <w:p>
            <w:pPr>
              <w:ind w:left="2020"/>
              <w:spacing w:after="0"/>
              <w:rPr>
                <w:sz w:val="20"/>
                <w:szCs w:val="20"/>
                <w:color w:val="auto"/>
              </w:rPr>
            </w:pPr>
            <w:r>
              <w:rPr>
                <w:rFonts w:ascii="Times New Roman" w:cs="Times New Roman" w:eastAsia="Times New Roman" w:hAnsi="Times New Roman"/>
                <w:sz w:val="18"/>
                <w:szCs w:val="18"/>
                <w:b w:val="1"/>
                <w:bCs w:val="1"/>
                <w:color w:val="auto"/>
              </w:rPr>
              <w:t>BASSETT DIRECT NC, LLC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3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Bassett Direct Stores, LLC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576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Financial</w:t>
            </w:r>
          </w:p>
        </w:tc>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[Executions Continue on Following Pages]</w:t>
      </w:r>
    </w:p>
    <w:p>
      <w:pPr>
        <w:spacing w:after="0" w:line="2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76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BASSETT DIRECT SC, LLC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57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Bassett Direct Stores, LLC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57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57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57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57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By:/s/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3180" w:type="dxa"/>
            <w:vAlign w:val="bottom"/>
            <w:gridSpan w:val="2"/>
          </w:tcPr>
          <w:p>
            <w:pPr>
              <w:ind w:left="2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1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31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Financial</w:t>
            </w:r>
          </w:p>
        </w:tc>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57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By:/s/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spacing w:after="0"/>
              <w:rPr>
                <w:sz w:val="16"/>
                <w:szCs w:val="16"/>
                <w:color w:val="auto"/>
              </w:rPr>
            </w:pPr>
          </w:p>
        </w:tc>
        <w:tc>
          <w:tcPr>
            <w:tcW w:w="3180" w:type="dxa"/>
            <w:vAlign w:val="bottom"/>
            <w:gridSpan w:val="2"/>
          </w:tcPr>
          <w:p>
            <w:pPr>
              <w:ind w:left="2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31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[Executions Continue on Following Page]</w:t>
      </w:r>
    </w:p>
    <w:p>
      <w:pPr>
        <w:spacing w:after="0" w:line="2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76" w:name="page77"/>
    <w:bookmarkEnd w:id="76"/>
    <w:tbl>
      <w:tblPr>
        <w:tblLayout w:type="fixed"/>
        <w:tblInd w:w="4140" w:type="dxa"/>
        <w:tblCellMar>
          <w:top w:w="0" w:type="dxa"/>
          <w:left w:w="0" w:type="dxa"/>
          <w:bottom w:w="0" w:type="dxa"/>
          <w:right w:w="0" w:type="dxa"/>
        </w:tblCellMar>
      </w:tblPr>
      <w:tr>
        <w:trPr>
          <w:trHeight w:val="238"/>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TRUIST BANK</w:t>
            </w:r>
          </w:p>
        </w:tc>
        <w:tc>
          <w:tcPr>
            <w:tcW w:w="560" w:type="dxa"/>
            <w:vAlign w:val="bottom"/>
          </w:tcPr>
          <w:p>
            <w:pPr>
              <w:spacing w:after="0"/>
              <w:rPr>
                <w:sz w:val="20"/>
                <w:szCs w:val="20"/>
                <w:color w:val="auto"/>
              </w:rPr>
            </w:pPr>
          </w:p>
        </w:tc>
      </w:tr>
      <w:tr>
        <w:trPr>
          <w:trHeight w:val="648"/>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offord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4"/>
              </w:rPr>
              <w:t>(SEAL)</w:t>
            </w: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1"/>
        </w:trPr>
        <w:tc>
          <w:tcPr>
            <w:tcW w:w="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0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John Wofford</w:t>
            </w:r>
          </w:p>
        </w:tc>
        <w:tc>
          <w:tcPr>
            <w:tcW w:w="560" w:type="dxa"/>
            <w:vAlign w:val="bottom"/>
          </w:tcPr>
          <w:p>
            <w:pPr>
              <w:spacing w:after="0"/>
              <w:rPr>
                <w:sz w:val="16"/>
                <w:szCs w:val="16"/>
                <w:color w:val="auto"/>
              </w:rPr>
            </w:pP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Officer</w:t>
            </w:r>
          </w:p>
        </w:tc>
        <w:tc>
          <w:tcPr>
            <w:tcW w:w="560" w:type="dxa"/>
            <w:vAlign w:val="bottom"/>
          </w:tcPr>
          <w:p>
            <w:pPr>
              <w:spacing w:after="0"/>
              <w:rPr>
                <w:sz w:val="20"/>
                <w:szCs w:val="20"/>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9019"/>
          </w:cols>
          <w:pgMar w:left="1440" w:top="576" w:right="1440" w:bottom="1440" w:gutter="0" w:footer="0" w:header="0"/>
        </w:sectPr>
      </w:pPr>
    </w:p>
    <w:bookmarkStart w:id="77" w:name="page78"/>
    <w:bookmarkEnd w:id="77"/>
    <w:p>
      <w:pPr>
        <w:ind w:left="4072"/>
        <w:spacing w:after="0"/>
        <w:rPr>
          <w:sz w:val="20"/>
          <w:szCs w:val="20"/>
          <w:color w:val="auto"/>
        </w:rPr>
      </w:pPr>
      <w:r>
        <w:rPr>
          <w:rFonts w:ascii="Times New Roman" w:cs="Times New Roman" w:eastAsia="Times New Roman" w:hAnsi="Times New Roman"/>
          <w:sz w:val="17"/>
          <w:szCs w:val="17"/>
          <w:u w:val="single" w:color="auto"/>
          <w:color w:val="auto"/>
        </w:rPr>
        <w:t>EXHIBIT 21 - LIST OF SUBSIDIARIES*</w:t>
      </w:r>
    </w:p>
    <w:p>
      <w:pPr>
        <w:spacing w:after="0" w:line="200" w:lineRule="exact"/>
        <w:rPr>
          <w:sz w:val="20"/>
          <w:szCs w:val="20"/>
          <w:color w:val="auto"/>
        </w:rPr>
      </w:pPr>
    </w:p>
    <w:p>
      <w:pPr>
        <w:spacing w:after="0" w:line="253" w:lineRule="exact"/>
        <w:rPr>
          <w:sz w:val="20"/>
          <w:szCs w:val="20"/>
          <w:color w:val="auto"/>
        </w:rPr>
      </w:pPr>
    </w:p>
    <w:p>
      <w:pPr>
        <w:ind w:left="332" w:hanging="332"/>
        <w:spacing w:after="0"/>
        <w:tabs>
          <w:tab w:leader="none" w:pos="33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Bassett Furniture Industries of North Carolina, LLC (North Carolina limited liability company)</w:t>
      </w:r>
    </w:p>
    <w:p>
      <w:pPr>
        <w:spacing w:after="0" w:line="236" w:lineRule="exact"/>
        <w:rPr>
          <w:rFonts w:ascii="Times New Roman" w:cs="Times New Roman" w:eastAsia="Times New Roman" w:hAnsi="Times New Roman"/>
          <w:sz w:val="17"/>
          <w:szCs w:val="17"/>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 Malone Corporation (Delaware corporation)</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Stores,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NC,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SC,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LRG Furniture,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BFD-Atlanta,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 Boston,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BDU NY,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9473-8408 Quebec Inc.</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Inc.</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Australia Pty Ltd.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Singapore Pte Ltd.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UK Limited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JMD Tampa, LLC</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subsidiaries are wholly-owned unless otherwise noted.</w:t>
      </w:r>
    </w:p>
    <w:p>
      <w:pPr>
        <w:sectPr>
          <w:pgSz w:w="11900" w:h="16838" w:orient="portrait"/>
          <w:cols w:equalWidth="0" w:num="1">
            <w:col w:w="10131"/>
          </w:cols>
          <w:pgMar w:left="328" w:top="337"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23A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5, 2026, with respect to the consolidated financial statements and schedule and internal control over financial reporting included in the Annual Report of Bassett Furniture Industries, Incorporated and Subsidiaries on Form 10-K for the year ended November 29, 2025. We consent to the incorporation by reference of said reports in the Registration Statements of Bassett Furniture Industries, Incorporated and Subsidiaries on Forms S-8 (File Nos. 333-217072 and 333-254104).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23B</w:t>
      </w:r>
    </w:p>
    <w:p>
      <w:pPr>
        <w:spacing w:after="0" w:line="2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80" w:right="20" w:hanging="648"/>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333-217072) pertaining to the Bassett Furniture Industries, Incorporated 2017 Employee Stock Purchase Plan ,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333-254104) pertaining to the Bassett Furniture Industries, Incorporated 2021 Stock Incentive Plan</w:t>
      </w:r>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 our report dated February 10, 2025 with respect to the consolidated financial statements and schedule of Bassett Furniture Industries, Incorporated and Subsidiaries included in this Annual Report (Form 10-K) of Bassett Furniture Industries, Incorporated and Subsidiaries for the year ended November 30,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November 29, 2025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86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November 29, 2025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73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29, 2025,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/s/</w:t>
        <w:tab/>
        <w:t>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-7620</wp:posOffset>
            </wp:positionV>
            <wp:extent cx="14503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4503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29, 2025, as filed with the Securities and Exchange Commission on the date hereof (the “Report”), I, J. Michael Daniel, Senior Vice President and Chief Financial Officer of the Company, certify, pursuant to 18 U.S.C. ss.1350, as adopted pursuant to ss.906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-7620</wp:posOffset>
            </wp:positionV>
            <wp:extent cx="1151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2"/>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1."/>
      <w:numFmt w:val="decimal"/>
      <w:start w:val="7"/>
    </w:lvl>
  </w:abstractNum>
  <w:abstractNum w:abstractNumId="21">
    <w:nsid w:val="3804823E"/>
    <w:multiLevelType w:val="hybridMultilevel"/>
    <w:lvl w:ilvl="0">
      <w:lvlJc w:val="left"/>
      <w:lvlText w:val="%1."/>
      <w:numFmt w:val="decimal"/>
      <w:start w:val="8"/>
    </w:lvl>
  </w:abstractNum>
  <w:abstractNum w:abstractNumId="22">
    <w:nsid w:val="77465F01"/>
    <w:multiLevelType w:val="hybridMultilevel"/>
    <w:lvl w:ilvl="0">
      <w:lvlJc w:val="left"/>
      <w:lvlText w:val="%1."/>
      <w:numFmt w:val="decimal"/>
      <w:start w:val="9"/>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5"/>
    </w:lvl>
  </w:abstractNum>
  <w:abstractNum w:abstractNumId="33">
    <w:nsid w:val="6A2342EC"/>
    <w:multiLevelType w:val="hybridMultilevel"/>
    <w:lvl w:ilvl="0">
      <w:lvlJc w:val="left"/>
      <w:lvlText w:val="(%1)"/>
      <w:numFmt w:val="lowerLetter"/>
      <w:start w:val="1"/>
    </w:lvl>
    <w:lvl w:ilvl="1">
      <w:lvlJc w:val="left"/>
      <w:lvlText w:val="(%2)"/>
      <w:numFmt w:val="decimal"/>
      <w:start w:val="2"/>
    </w:lvl>
  </w:abstractNum>
  <w:abstractNum w:abstractNumId="34">
    <w:nsid w:val="2A487CB0"/>
    <w:multiLevelType w:val="hybridMultilevel"/>
    <w:lvl w:ilvl="0">
      <w:lvlJc w:val="left"/>
      <w:lvlText w:val="%1."/>
      <w:numFmt w:val="decimal"/>
      <w:start w:val="19"/>
    </w:lvl>
  </w:abstractNum>
  <w:abstractNum w:abstractNumId="35">
    <w:nsid w:val="1D4ED43B"/>
    <w:multiLevelType w:val="hybridMultilevel"/>
    <w:lvl w:ilvl="0">
      <w:lvlJc w:val="left"/>
      <w:lvlText w:val="%1."/>
      <w:numFmt w:val="decimal"/>
      <w:start w:val="21"/>
    </w:lvl>
  </w:abstractNum>
  <w:abstractNum w:abstractNumId="36">
    <w:nsid w:val="725A06FB"/>
    <w:multiLevelType w:val="hybridMultilevel"/>
    <w:lvl w:ilvl="0">
      <w:lvlJc w:val="left"/>
      <w:lvlText w:val="%1."/>
      <w:numFmt w:val="decimal"/>
      <w:start w:val="97"/>
    </w:lvl>
  </w:abstractNum>
  <w:abstractNum w:abstractNumId="37">
    <w:nsid w:val="2CD89A32"/>
    <w:multiLevelType w:val="hybridMultilevel"/>
    <w:lvl w:ilvl="0">
      <w:lvlJc w:val="left"/>
      <w:lvlText w:val="*"/>
      <w:numFmt w:val="bullet"/>
      <w:start w:val="1"/>
    </w:lvl>
    <w:lvl w:ilvl="1">
      <w:lvlJc w:val="left"/>
      <w:lvlText w:val="%2"/>
      <w:numFmt w:val="decimal"/>
      <w:start w:val="104"/>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decimal"/>
      <w:start w:val="3"/>
    </w:lvl>
    <w:lvl w:ilvl="1">
      <w:lvlJc w:val="left"/>
      <w:lvlText w:val="(%2)"/>
      <w:numFmt w:val="lowerLetter"/>
      <w:start w:val="1"/>
    </w:lvl>
  </w:abstractNum>
  <w:abstractNum w:abstractNumId="41">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
      <w:numFmt w:val="bullet"/>
      <w:start w:val="1"/>
    </w:lvl>
  </w:abstractNum>
  <w:abstractNum w:abstractNumId="42">
    <w:nsid w:val="6DE91B1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43">
    <w:nsid w:val="38437FD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4">
    <w:nsid w:val="7644A45C"/>
    <w:multiLevelType w:val="hybridMultilevel"/>
    <w:lvl w:ilvl="0">
      <w:lvlJc w:val="left"/>
      <w:lvlText w:val="%1."/>
      <w:numFmt w:val="decimal"/>
      <w:start w:val="6"/>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74" Type="http://schemas.openxmlformats.org/officeDocument/2006/relationships/hyperlink" Target="http://www.sec.gov/Archives/edgar/data/10329/000143774924001417/ex_615556.htm" TargetMode="External"/><Relationship Id="rId75" Type="http://schemas.openxmlformats.org/officeDocument/2006/relationships/hyperlink" Target="http://www.sec.gov/Archives/edgar/data/10329/000143774924022523/ex_695614.htm" TargetMode="External"/><Relationship Id="rId76" Type="http://schemas.openxmlformats.org/officeDocument/2006/relationships/hyperlink" Target="http://www.sec.gov/Archives/edgar/data/10329/000143774920001052/ex_169936.htm" TargetMode="External"/><Relationship Id="rId77" Type="http://schemas.openxmlformats.org/officeDocument/2006/relationships/hyperlink" Target="http://www.sec.gov/Archives/edgar/data/10329/000143774922002046/ex_330316.htm" TargetMode="External"/><Relationship Id="rId78" Type="http://schemas.openxmlformats.org/officeDocument/2006/relationships/hyperlink" Target="http://www.sec.gov/Archives/edgar/data/10329/0000950133-98-000652.txt" TargetMode="External"/><Relationship Id="rId79" Type="http://schemas.openxmlformats.org/officeDocument/2006/relationships/hyperlink" Target="http://www.sec.gov/Archives/edgar/data/10329/000143774921002240/bset20210204_def14a.htm" TargetMode="External"/><Relationship Id="rId80" Type="http://schemas.openxmlformats.org/officeDocument/2006/relationships/hyperlink" Target="http://www.sec.gov/Archives/edgar/data/10329/000143774922001938/ex_328353.htm" TargetMode="External"/><Relationship Id="rId81" Type="http://schemas.openxmlformats.org/officeDocument/2006/relationships/hyperlink" Target="http://www.sec.gov/Archives/edgar/data/10329/000143774922001938/ex_329216.htm" TargetMode="External"/><Relationship Id="rId82" Type="http://schemas.openxmlformats.org/officeDocument/2006/relationships/hyperlink" Target="http://www.sec.gov/Archives/edgar/data/10329/000143774914012291/ex10.htm" TargetMode="External"/><Relationship Id="rId83" Type="http://schemas.openxmlformats.org/officeDocument/2006/relationships/hyperlink" Target="http://www.sec.gov/Archives/edgar/data/10329/000143774917008160/ex10-1.htm" TargetMode="External"/><Relationship Id="rId85" Type="http://schemas.openxmlformats.org/officeDocument/2006/relationships/hyperlink" Target="http://www.sec.gov/Archives/edgar/data/10329/000143774917008160/ex10-2.htm" TargetMode="External"/><Relationship Id="rId86" Type="http://schemas.openxmlformats.org/officeDocument/2006/relationships/hyperlink" Target="http://www.sec.gov/Archives/edgar/data/10329/000143774922024299/ex_432882.htm" TargetMode="External"/><Relationship Id="rId87" Type="http://schemas.openxmlformats.org/officeDocument/2006/relationships/hyperlink" Target="http://www.sec.gov/Archives/edgar/data/10329/000143774925003216/ex_773286.htm" TargetMode="External"/><Relationship Id="rId88" Type="http://schemas.openxmlformats.org/officeDocument/2006/relationships/hyperlink" Target="http://www.sec.gov/Archives/edgar/data/10329/000143774924002203/ex_6186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2026-02-05T15:12:54Z</dcterms:created>
  <dcterms:modified xsi:type="dcterms:W3CDTF">2026-02-05T15:12:54Z</dcterms:modified>
</cp:coreProperties>
</file>