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0058400" cy="7772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960"/>
        <w:spacing w:after="0"/>
        <w:rPr>
          <w:sz w:val="20"/>
          <w:szCs w:val="20"/>
          <w:color w:val="auto"/>
        </w:rPr>
      </w:pPr>
      <w:r>
        <w:rPr>
          <w:rFonts w:ascii="Arial" w:cs="Arial" w:eastAsia="Arial" w:hAnsi="Arial"/>
          <w:sz w:val="21"/>
          <w:szCs w:val="21"/>
          <w:b w:val="1"/>
          <w:bCs w:val="1"/>
          <w:color w:val="auto"/>
        </w:rPr>
        <w:t xml:space="preserve">FINANCIAL </w:t>
      </w:r>
      <w:r>
        <w:rPr>
          <w:rFonts w:ascii="Times New Roman" w:cs="Times New Roman" w:eastAsia="Times New Roman" w:hAnsi="Times New Roman"/>
          <w:sz w:val="22"/>
          <w:szCs w:val="22"/>
          <w:color w:val="auto"/>
        </w:rPr>
        <w:t>SUMMARY</w:t>
      </w:r>
    </w:p>
    <w:p>
      <w:pPr>
        <w:sectPr>
          <w:pgSz w:w="15840" w:h="12240" w:orient="landscape"/>
          <w:cols w:equalWidth="0" w:num="1">
            <w:col w:w="13940"/>
          </w:cols>
          <w:pgMar w:left="1440" w:top="1440" w:right="4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960"/>
        <w:spacing w:after="0"/>
        <w:rPr>
          <w:sz w:val="20"/>
          <w:szCs w:val="20"/>
          <w:color w:val="auto"/>
        </w:rPr>
      </w:pPr>
      <w:r>
        <w:rPr>
          <w:rFonts w:ascii="Arial" w:cs="Arial" w:eastAsia="Arial" w:hAnsi="Arial"/>
          <w:sz w:val="12"/>
          <w:szCs w:val="12"/>
          <w:color w:val="auto"/>
        </w:rPr>
        <w:t>Income (Loss) from Operations</w:t>
      </w:r>
    </w:p>
    <w:p>
      <w:pPr>
        <w:spacing w:after="0" w:line="97" w:lineRule="exact"/>
        <w:rPr>
          <w:sz w:val="20"/>
          <w:szCs w:val="20"/>
          <w:color w:val="auto"/>
        </w:rPr>
      </w:pPr>
    </w:p>
    <w:p>
      <w:pPr>
        <w:ind w:left="6960"/>
        <w:spacing w:after="0"/>
        <w:rPr>
          <w:sz w:val="20"/>
          <w:szCs w:val="20"/>
          <w:color w:val="auto"/>
        </w:rPr>
      </w:pPr>
      <w:r>
        <w:rPr>
          <w:rFonts w:ascii="Arial" w:cs="Arial" w:eastAsia="Arial" w:hAnsi="Arial"/>
          <w:sz w:val="12"/>
          <w:szCs w:val="12"/>
          <w:color w:val="auto"/>
        </w:rPr>
        <w:t>Adjustec Income From Operations</w:t>
      </w:r>
    </w:p>
    <w:p>
      <w:pPr>
        <w:spacing w:after="0" w:line="92" w:lineRule="exact"/>
        <w:rPr>
          <w:sz w:val="20"/>
          <w:szCs w:val="20"/>
          <w:color w:val="auto"/>
        </w:rPr>
      </w:pPr>
    </w:p>
    <w:p>
      <w:pPr>
        <w:ind w:left="6960"/>
        <w:spacing w:after="0"/>
        <w:rPr>
          <w:sz w:val="20"/>
          <w:szCs w:val="20"/>
          <w:color w:val="auto"/>
        </w:rPr>
      </w:pPr>
      <w:r>
        <w:rPr>
          <w:rFonts w:ascii="Arial" w:cs="Arial" w:eastAsia="Arial" w:hAnsi="Arial"/>
          <w:sz w:val="12"/>
          <w:szCs w:val="12"/>
          <w:color w:val="auto"/>
        </w:rPr>
        <w:t>Net Income (Loss)</w:t>
      </w:r>
    </w:p>
    <w:p>
      <w:pPr>
        <w:spacing w:after="0" w:line="97" w:lineRule="exact"/>
        <w:rPr>
          <w:sz w:val="20"/>
          <w:szCs w:val="20"/>
          <w:color w:val="auto"/>
        </w:rPr>
      </w:pPr>
    </w:p>
    <w:p>
      <w:pPr>
        <w:ind w:left="6960"/>
        <w:spacing w:after="0"/>
        <w:rPr>
          <w:sz w:val="20"/>
          <w:szCs w:val="20"/>
          <w:color w:val="auto"/>
        </w:rPr>
      </w:pPr>
      <w:r>
        <w:rPr>
          <w:rFonts w:ascii="Arial" w:cs="Arial" w:eastAsia="Arial" w:hAnsi="Arial"/>
          <w:sz w:val="12"/>
          <w:szCs w:val="12"/>
          <w:color w:val="auto"/>
        </w:rPr>
        <w:t>Adjustec Net Income</w:t>
      </w:r>
    </w:p>
    <w:p>
      <w:pPr>
        <w:spacing w:after="0" w:line="265" w:lineRule="exact"/>
        <w:rPr>
          <w:sz w:val="20"/>
          <w:szCs w:val="20"/>
          <w:color w:val="auto"/>
        </w:rPr>
      </w:pPr>
    </w:p>
    <w:p>
      <w:pPr>
        <w:ind w:left="6960"/>
        <w:spacing w:after="0"/>
        <w:rPr>
          <w:sz w:val="20"/>
          <w:szCs w:val="20"/>
          <w:color w:val="auto"/>
        </w:rPr>
      </w:pPr>
      <w:r>
        <w:rPr>
          <w:rFonts w:ascii="Arial" w:cs="Arial" w:eastAsia="Arial" w:hAnsi="Arial"/>
          <w:sz w:val="12"/>
          <w:szCs w:val="12"/>
          <w:color w:val="auto"/>
        </w:rPr>
        <w:t>PER SHARE DATA</w:t>
      </w:r>
    </w:p>
    <w:p>
      <w:pPr>
        <w:spacing w:after="0" w:line="241" w:lineRule="exact"/>
        <w:rPr>
          <w:sz w:val="20"/>
          <w:szCs w:val="20"/>
          <w:color w:val="auto"/>
        </w:rPr>
      </w:pPr>
    </w:p>
    <w:p>
      <w:pPr>
        <w:ind w:left="6960"/>
        <w:spacing w:after="0"/>
        <w:rPr>
          <w:sz w:val="20"/>
          <w:szCs w:val="20"/>
          <w:color w:val="auto"/>
        </w:rPr>
      </w:pPr>
      <w:r>
        <w:rPr>
          <w:rFonts w:ascii="Arial" w:cs="Arial" w:eastAsia="Arial" w:hAnsi="Arial"/>
          <w:sz w:val="12"/>
          <w:szCs w:val="12"/>
          <w:color w:val="auto"/>
        </w:rPr>
        <w:t>Diluted Income (Loss)</w:t>
      </w:r>
    </w:p>
    <w:p>
      <w:pPr>
        <w:spacing w:after="0" w:line="97" w:lineRule="exact"/>
        <w:rPr>
          <w:sz w:val="20"/>
          <w:szCs w:val="20"/>
          <w:color w:val="auto"/>
        </w:rPr>
      </w:pPr>
    </w:p>
    <w:p>
      <w:pPr>
        <w:ind w:left="6960"/>
        <w:spacing w:after="0"/>
        <w:rPr>
          <w:sz w:val="20"/>
          <w:szCs w:val="20"/>
          <w:color w:val="auto"/>
        </w:rPr>
      </w:pPr>
      <w:r>
        <w:rPr>
          <w:rFonts w:ascii="Arial" w:cs="Arial" w:eastAsia="Arial" w:hAnsi="Arial"/>
          <w:sz w:val="12"/>
          <w:szCs w:val="12"/>
          <w:color w:val="auto"/>
        </w:rPr>
        <w:t>Adjustec Diluted Income</w:t>
      </w:r>
    </w:p>
    <w:p>
      <w:pPr>
        <w:spacing w:after="0" w:line="92" w:lineRule="exact"/>
        <w:rPr>
          <w:sz w:val="20"/>
          <w:szCs w:val="20"/>
          <w:color w:val="auto"/>
        </w:rPr>
      </w:pPr>
    </w:p>
    <w:p>
      <w:pPr>
        <w:ind w:left="6940"/>
        <w:spacing w:after="0"/>
        <w:rPr>
          <w:sz w:val="20"/>
          <w:szCs w:val="20"/>
          <w:color w:val="auto"/>
        </w:rPr>
      </w:pPr>
      <w:r>
        <w:rPr>
          <w:rFonts w:ascii="Arial" w:cs="Arial" w:eastAsia="Arial" w:hAnsi="Arial"/>
          <w:sz w:val="12"/>
          <w:szCs w:val="12"/>
          <w:color w:val="auto"/>
        </w:rPr>
        <w:t>Cash Dividends</w:t>
      </w:r>
    </w:p>
    <w:p>
      <w:pPr>
        <w:spacing w:after="0" w:line="97" w:lineRule="exact"/>
        <w:rPr>
          <w:sz w:val="20"/>
          <w:szCs w:val="20"/>
          <w:color w:val="auto"/>
        </w:rPr>
      </w:pPr>
    </w:p>
    <w:p>
      <w:pPr>
        <w:ind w:left="6960"/>
        <w:spacing w:after="0"/>
        <w:rPr>
          <w:sz w:val="20"/>
          <w:szCs w:val="20"/>
          <w:color w:val="auto"/>
        </w:rPr>
      </w:pPr>
      <w:r>
        <w:rPr>
          <w:rFonts w:ascii="Arial" w:cs="Arial" w:eastAsia="Arial" w:hAnsi="Arial"/>
          <w:sz w:val="12"/>
          <w:szCs w:val="12"/>
          <w:color w:val="auto"/>
        </w:rPr>
        <w:t>Book Value</w:t>
      </w:r>
    </w:p>
    <w:p>
      <w:pPr>
        <w:spacing w:after="0" w:line="328" w:lineRule="exact"/>
        <w:rPr>
          <w:sz w:val="20"/>
          <w:szCs w:val="20"/>
          <w:color w:val="auto"/>
        </w:rPr>
      </w:pPr>
    </w:p>
    <w:p>
      <w:pPr>
        <w:ind w:left="6960"/>
        <w:spacing w:after="0"/>
        <w:rPr>
          <w:sz w:val="20"/>
          <w:szCs w:val="20"/>
          <w:color w:val="auto"/>
        </w:rPr>
      </w:pPr>
      <w:r>
        <w:rPr>
          <w:rFonts w:ascii="Arial" w:cs="Arial" w:eastAsia="Arial" w:hAnsi="Arial"/>
          <w:sz w:val="12"/>
          <w:szCs w:val="12"/>
          <w:color w:val="auto"/>
        </w:rPr>
        <w:t>BALANCE SHEET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000" w:type="dxa"/>
            <w:vAlign w:val="bottom"/>
            <w:gridSpan w:val="4"/>
          </w:tcPr>
          <w:p>
            <w:pPr>
              <w:jc w:val="right"/>
              <w:ind w:right="470"/>
              <w:spacing w:after="0"/>
              <w:rPr>
                <w:sz w:val="20"/>
                <w:szCs w:val="20"/>
                <w:color w:val="auto"/>
              </w:rPr>
            </w:pPr>
            <w:r>
              <w:rPr>
                <w:rFonts w:ascii="Arial" w:cs="Arial" w:eastAsia="Arial" w:hAnsi="Arial"/>
                <w:sz w:val="11"/>
                <w:szCs w:val="11"/>
                <w:b w:val="1"/>
                <w:bCs w:val="1"/>
                <w:color w:val="auto"/>
                <w:w w:val="92"/>
              </w:rPr>
              <w:t>Fiscal years ended November</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2"/>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9"/>
              </w:rPr>
              <w:t>2023</w:t>
            </w:r>
          </w:p>
        </w:tc>
        <w:tc>
          <w:tcPr>
            <w:tcW w:w="260" w:type="dxa"/>
            <w:vAlign w:val="bottom"/>
          </w:tcPr>
          <w:p>
            <w:pPr>
              <w:spacing w:after="0"/>
              <w:rPr>
                <w:sz w:val="24"/>
                <w:szCs w:val="24"/>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9"/>
              </w:rPr>
              <w:t>2022</w:t>
            </w:r>
          </w:p>
        </w:tc>
        <w:tc>
          <w:tcPr>
            <w:tcW w:w="280" w:type="dxa"/>
            <w:vAlign w:val="bottom"/>
          </w:tcPr>
          <w:p>
            <w:pPr>
              <w:spacing w:after="0"/>
              <w:rPr>
                <w:sz w:val="24"/>
                <w:szCs w:val="24"/>
                <w:color w:val="auto"/>
              </w:rPr>
            </w:pPr>
          </w:p>
        </w:tc>
        <w:tc>
          <w:tcPr>
            <w:tcW w:w="6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24"/>
                <w:szCs w:val="24"/>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58"/>
        </w:trPr>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Borders>
              <w:bottom w:val="single" w:sz="8" w:color="747070"/>
            </w:tcBorders>
          </w:tcPr>
          <w:p>
            <w:pPr>
              <w:spacing w:after="0"/>
              <w:rPr>
                <w:sz w:val="5"/>
                <w:szCs w:val="5"/>
                <w:color w:val="auto"/>
              </w:rPr>
            </w:pPr>
          </w:p>
        </w:tc>
        <w:tc>
          <w:tcPr>
            <w:tcW w:w="700" w:type="dxa"/>
            <w:vAlign w:val="bottom"/>
            <w:tcBorders>
              <w:bottom w:val="single" w:sz="8" w:color="747070"/>
            </w:tcBorders>
          </w:tcPr>
          <w:p>
            <w:pPr>
              <w:spacing w:after="0"/>
              <w:rPr>
                <w:sz w:val="5"/>
                <w:szCs w:val="5"/>
                <w:color w:val="auto"/>
              </w:rPr>
            </w:pPr>
          </w:p>
        </w:tc>
        <w:tc>
          <w:tcPr>
            <w:tcW w:w="260" w:type="dxa"/>
            <w:vAlign w:val="bottom"/>
            <w:tcBorders>
              <w:bottom w:val="single" w:sz="8" w:color="747070"/>
            </w:tcBorders>
          </w:tcPr>
          <w:p>
            <w:pPr>
              <w:spacing w:after="0"/>
              <w:rPr>
                <w:sz w:val="5"/>
                <w:szCs w:val="5"/>
                <w:color w:val="auto"/>
              </w:rPr>
            </w:pPr>
          </w:p>
        </w:tc>
        <w:tc>
          <w:tcPr>
            <w:tcW w:w="680" w:type="dxa"/>
            <w:vAlign w:val="bottom"/>
            <w:tcBorders>
              <w:bottom w:val="single" w:sz="8" w:color="747070"/>
            </w:tcBorders>
          </w:tcPr>
          <w:p>
            <w:pPr>
              <w:spacing w:after="0"/>
              <w:rPr>
                <w:sz w:val="5"/>
                <w:szCs w:val="5"/>
                <w:color w:val="auto"/>
              </w:rPr>
            </w:pPr>
          </w:p>
        </w:tc>
        <w:tc>
          <w:tcPr>
            <w:tcW w:w="280" w:type="dxa"/>
            <w:vAlign w:val="bottom"/>
            <w:tcBorders>
              <w:bottom w:val="single" w:sz="8" w:color="747070"/>
            </w:tcBorders>
          </w:tcPr>
          <w:p>
            <w:pPr>
              <w:spacing w:after="0"/>
              <w:rPr>
                <w:sz w:val="5"/>
                <w:szCs w:val="5"/>
                <w:color w:val="auto"/>
              </w:rPr>
            </w:pPr>
          </w:p>
        </w:tc>
        <w:tc>
          <w:tcPr>
            <w:tcW w:w="680" w:type="dxa"/>
            <w:vAlign w:val="bottom"/>
            <w:tcBorders>
              <w:bottom w:val="single" w:sz="8" w:color="747070"/>
            </w:tcBorders>
          </w:tcPr>
          <w:p>
            <w:pPr>
              <w:spacing w:after="0"/>
              <w:rPr>
                <w:sz w:val="5"/>
                <w:szCs w:val="5"/>
                <w:color w:val="auto"/>
              </w:rPr>
            </w:pPr>
          </w:p>
        </w:tc>
        <w:tc>
          <w:tcPr>
            <w:tcW w:w="260" w:type="dxa"/>
            <w:vAlign w:val="bottom"/>
            <w:tcBorders>
              <w:bottom w:val="single" w:sz="8" w:color="747070"/>
            </w:tcBorders>
          </w:tcPr>
          <w:p>
            <w:pPr>
              <w:spacing w:after="0"/>
              <w:rPr>
                <w:sz w:val="5"/>
                <w:szCs w:val="5"/>
                <w:color w:val="auto"/>
              </w:rPr>
            </w:pPr>
          </w:p>
        </w:tc>
        <w:tc>
          <w:tcPr>
            <w:tcW w:w="720" w:type="dxa"/>
            <w:vAlign w:val="bottom"/>
            <w:tcBorders>
              <w:bottom w:val="single" w:sz="8" w:color="747070"/>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Borders>
              <w:bottom w:val="single" w:sz="8" w:color="747070"/>
            </w:tcBorders>
          </w:tcPr>
          <w:p>
            <w:pPr>
              <w:spacing w:after="0"/>
              <w:rPr>
                <w:sz w:val="23"/>
                <w:szCs w:val="23"/>
                <w:color w:val="auto"/>
              </w:rPr>
            </w:pPr>
          </w:p>
        </w:tc>
        <w:tc>
          <w:tcPr>
            <w:tcW w:w="700" w:type="dxa"/>
            <w:vAlign w:val="bottom"/>
            <w:tcBorders>
              <w:bottom w:val="single" w:sz="8" w:color="747070"/>
            </w:tcBorders>
          </w:tcPr>
          <w:p>
            <w:pPr>
              <w:spacing w:after="0"/>
              <w:rPr>
                <w:sz w:val="23"/>
                <w:szCs w:val="23"/>
                <w:color w:val="auto"/>
              </w:rPr>
            </w:pPr>
          </w:p>
        </w:tc>
        <w:tc>
          <w:tcPr>
            <w:tcW w:w="260" w:type="dxa"/>
            <w:vAlign w:val="bottom"/>
            <w:tcBorders>
              <w:bottom w:val="single" w:sz="8" w:color="747070"/>
            </w:tcBorders>
          </w:tcPr>
          <w:p>
            <w:pPr>
              <w:spacing w:after="0"/>
              <w:rPr>
                <w:sz w:val="23"/>
                <w:szCs w:val="23"/>
                <w:color w:val="auto"/>
              </w:rPr>
            </w:pPr>
          </w:p>
        </w:tc>
        <w:tc>
          <w:tcPr>
            <w:tcW w:w="680" w:type="dxa"/>
            <w:vAlign w:val="bottom"/>
            <w:tcBorders>
              <w:bottom w:val="single" w:sz="8" w:color="747070"/>
            </w:tcBorders>
          </w:tcPr>
          <w:p>
            <w:pPr>
              <w:spacing w:after="0"/>
              <w:rPr>
                <w:sz w:val="23"/>
                <w:szCs w:val="23"/>
                <w:color w:val="auto"/>
              </w:rPr>
            </w:pPr>
          </w:p>
        </w:tc>
        <w:tc>
          <w:tcPr>
            <w:tcW w:w="280" w:type="dxa"/>
            <w:vAlign w:val="bottom"/>
            <w:tcBorders>
              <w:bottom w:val="single" w:sz="8" w:color="747070"/>
            </w:tcBorders>
          </w:tcPr>
          <w:p>
            <w:pPr>
              <w:spacing w:after="0"/>
              <w:rPr>
                <w:sz w:val="23"/>
                <w:szCs w:val="23"/>
                <w:color w:val="auto"/>
              </w:rPr>
            </w:pPr>
          </w:p>
        </w:tc>
        <w:tc>
          <w:tcPr>
            <w:tcW w:w="680" w:type="dxa"/>
            <w:vAlign w:val="bottom"/>
            <w:tcBorders>
              <w:bottom w:val="single" w:sz="8" w:color="747070"/>
            </w:tcBorders>
          </w:tcPr>
          <w:p>
            <w:pPr>
              <w:spacing w:after="0"/>
              <w:rPr>
                <w:sz w:val="23"/>
                <w:szCs w:val="23"/>
                <w:color w:val="auto"/>
              </w:rPr>
            </w:pPr>
          </w:p>
        </w:tc>
        <w:tc>
          <w:tcPr>
            <w:tcW w:w="260" w:type="dxa"/>
            <w:vAlign w:val="bottom"/>
            <w:tcBorders>
              <w:bottom w:val="single" w:sz="8" w:color="747070"/>
            </w:tcBorders>
          </w:tcPr>
          <w:p>
            <w:pPr>
              <w:spacing w:after="0"/>
              <w:rPr>
                <w:sz w:val="23"/>
                <w:szCs w:val="23"/>
                <w:color w:val="auto"/>
              </w:rPr>
            </w:pPr>
          </w:p>
        </w:tc>
        <w:tc>
          <w:tcPr>
            <w:tcW w:w="720" w:type="dxa"/>
            <w:vAlign w:val="bottom"/>
            <w:tcBorders>
              <w:bottom w:val="single" w:sz="8" w:color="747070"/>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540" w:type="dxa"/>
            <w:vAlign w:val="bottom"/>
            <w:vMerge w:val="restart"/>
          </w:tcPr>
          <w:p>
            <w:pPr>
              <w:spacing w:after="0"/>
              <w:rPr>
                <w:sz w:val="20"/>
                <w:szCs w:val="20"/>
                <w:color w:val="auto"/>
              </w:rPr>
            </w:pPr>
            <w:r>
              <w:rPr>
                <w:rFonts w:ascii="Arial" w:cs="Arial" w:eastAsia="Arial" w:hAnsi="Arial"/>
                <w:sz w:val="144"/>
                <w:szCs w:val="144"/>
                <w:color w:val="auto"/>
                <w:highlight w:val="black"/>
              </w:rPr>
              <w:t>•</w:t>
            </w:r>
          </w:p>
        </w:tc>
        <w:tc>
          <w:tcPr>
            <w:tcW w:w="520" w:type="dxa"/>
            <w:vAlign w:val="bottom"/>
          </w:tcPr>
          <w:p>
            <w:pPr>
              <w:spacing w:after="0"/>
              <w:rPr>
                <w:sz w:val="24"/>
                <w:szCs w:val="24"/>
                <w:color w:val="auto"/>
              </w:rPr>
            </w:pPr>
          </w:p>
        </w:tc>
        <w:tc>
          <w:tcPr>
            <w:tcW w:w="240" w:type="dxa"/>
            <w:vAlign w:val="bottom"/>
          </w:tcPr>
          <w:p>
            <w:pPr>
              <w:ind w:left="80"/>
              <w:spacing w:after="0" w:line="288" w:lineRule="exact"/>
              <w:rPr>
                <w:sz w:val="20"/>
                <w:szCs w:val="20"/>
                <w:color w:val="auto"/>
              </w:rPr>
            </w:pPr>
            <w:r>
              <w:rPr>
                <w:rFonts w:ascii="Times New Roman" w:cs="Times New Roman" w:eastAsia="Times New Roman" w:hAnsi="Times New Roman"/>
                <w:sz w:val="26"/>
                <w:szCs w:val="26"/>
                <w:color w:val="auto"/>
              </w:rPr>
              <w:t>s</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390,136</w:t>
            </w:r>
          </w:p>
        </w:tc>
        <w:tc>
          <w:tcPr>
            <w:tcW w:w="260" w:type="dxa"/>
            <w:vAlign w:val="bottom"/>
          </w:tcPr>
          <w:p>
            <w:pPr>
              <w:ind w:left="100"/>
              <w:spacing w:after="0" w:line="288" w:lineRule="exact"/>
              <w:rPr>
                <w:sz w:val="20"/>
                <w:szCs w:val="20"/>
                <w:color w:val="auto"/>
              </w:rPr>
            </w:pPr>
            <w:r>
              <w:rPr>
                <w:rFonts w:ascii="Times New Roman" w:cs="Times New Roman" w:eastAsia="Times New Roman" w:hAnsi="Times New Roman"/>
                <w:sz w:val="26"/>
                <w:szCs w:val="26"/>
                <w:color w:val="auto"/>
              </w:rPr>
              <w:t>s</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485,601</w:t>
            </w:r>
          </w:p>
        </w:tc>
        <w:tc>
          <w:tcPr>
            <w:tcW w:w="280" w:type="dxa"/>
            <w:vAlign w:val="bottom"/>
          </w:tcPr>
          <w:p>
            <w:pPr>
              <w:ind w:left="100"/>
              <w:spacing w:after="0" w:line="288" w:lineRule="exact"/>
              <w:rPr>
                <w:sz w:val="20"/>
                <w:szCs w:val="20"/>
                <w:color w:val="auto"/>
              </w:rPr>
            </w:pPr>
            <w:r>
              <w:rPr>
                <w:rFonts w:ascii="Times New Roman" w:cs="Times New Roman" w:eastAsia="Times New Roman" w:hAnsi="Times New Roman"/>
                <w:sz w:val="26"/>
                <w:szCs w:val="26"/>
                <w:color w:val="auto"/>
              </w:rPr>
              <w:t>s</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430,886</w:t>
            </w:r>
          </w:p>
        </w:tc>
        <w:tc>
          <w:tcPr>
            <w:tcW w:w="260" w:type="dxa"/>
            <w:vAlign w:val="bottom"/>
          </w:tcPr>
          <w:p>
            <w:pPr>
              <w:ind w:left="100"/>
              <w:spacing w:after="0" w:line="288" w:lineRule="exact"/>
              <w:rPr>
                <w:sz w:val="20"/>
                <w:szCs w:val="20"/>
                <w:color w:val="auto"/>
              </w:rPr>
            </w:pPr>
            <w:r>
              <w:rPr>
                <w:rFonts w:ascii="Times New Roman" w:cs="Times New Roman" w:eastAsia="Times New Roman" w:hAnsi="Times New Roman"/>
                <w:sz w:val="26"/>
                <w:szCs w:val="26"/>
                <w:color w:val="auto"/>
              </w:rPr>
              <w:t>s</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337,672</w:t>
            </w:r>
          </w:p>
        </w:tc>
        <w:tc>
          <w:tcPr>
            <w:tcW w:w="0" w:type="dxa"/>
            <w:vAlign w:val="bottom"/>
          </w:tcPr>
          <w:p>
            <w:pPr>
              <w:spacing w:after="0"/>
              <w:rPr>
                <w:sz w:val="1"/>
                <w:szCs w:val="1"/>
                <w:color w:val="auto"/>
              </w:rPr>
            </w:pPr>
          </w:p>
        </w:tc>
      </w:tr>
      <w:tr>
        <w:trPr>
          <w:trHeight w:val="192"/>
        </w:trPr>
        <w:tc>
          <w:tcPr>
            <w:tcW w:w="5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(3,135)</w:t>
            </w:r>
          </w:p>
        </w:tc>
        <w:tc>
          <w:tcPr>
            <w:tcW w:w="260" w:type="dxa"/>
            <w:vAlign w:val="bottom"/>
          </w:tcPr>
          <w:p>
            <w:pPr>
              <w:spacing w:after="0"/>
              <w:rPr>
                <w:sz w:val="16"/>
                <w:szCs w:val="16"/>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34,865</w:t>
            </w:r>
          </w:p>
        </w:tc>
        <w:tc>
          <w:tcPr>
            <w:tcW w:w="280" w:type="dxa"/>
            <w:vAlign w:val="bottom"/>
          </w:tcPr>
          <w:p>
            <w:pPr>
              <w:spacing w:after="0"/>
              <w:rPr>
                <w:sz w:val="16"/>
                <w:szCs w:val="16"/>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24,257</w:t>
            </w:r>
          </w:p>
        </w:tc>
        <w:tc>
          <w:tcPr>
            <w:tcW w:w="260" w:type="dxa"/>
            <w:vAlign w:val="bottom"/>
          </w:tcPr>
          <w:p>
            <w:pPr>
              <w:spacing w:after="0"/>
              <w:rPr>
                <w:sz w:val="16"/>
                <w:szCs w:val="16"/>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117,505)</w:t>
            </w:r>
          </w:p>
        </w:tc>
        <w:tc>
          <w:tcPr>
            <w:tcW w:w="0" w:type="dxa"/>
            <w:vAlign w:val="bottom"/>
          </w:tcPr>
          <w:p>
            <w:pPr>
              <w:spacing w:after="0"/>
              <w:rPr>
                <w:sz w:val="1"/>
                <w:szCs w:val="1"/>
                <w:color w:val="auto"/>
              </w:rPr>
            </w:pPr>
          </w:p>
        </w:tc>
      </w:tr>
      <w:tr>
        <w:trPr>
          <w:trHeight w:val="235"/>
        </w:trPr>
        <w:tc>
          <w:tcPr>
            <w:tcW w:w="540" w:type="dxa"/>
            <w:vAlign w:val="bottom"/>
            <w:vMerge w:val="continue"/>
          </w:tcPr>
          <w:p>
            <w:pPr>
              <w:spacing w:after="0"/>
              <w:rPr>
                <w:sz w:val="20"/>
                <w:szCs w:val="20"/>
                <w:color w:val="auto"/>
              </w:rPr>
            </w:pPr>
          </w:p>
        </w:tc>
        <w:tc>
          <w:tcPr>
            <w:tcW w:w="520" w:type="dxa"/>
            <w:vAlign w:val="bottom"/>
            <w:vMerge w:val="restart"/>
          </w:tcPr>
          <w:p>
            <w:pPr>
              <w:jc w:val="right"/>
              <w:spacing w:after="0" w:line="435" w:lineRule="exact"/>
              <w:rPr>
                <w:sz w:val="20"/>
                <w:szCs w:val="20"/>
                <w:color w:val="auto"/>
              </w:rPr>
            </w:pPr>
            <w:r>
              <w:rPr>
                <w:rFonts w:ascii="Arial" w:cs="Arial" w:eastAsia="Arial" w:hAnsi="Arial"/>
                <w:sz w:val="41"/>
                <w:szCs w:val="41"/>
                <w:color w:val="auto"/>
                <w:highlight w:val="black"/>
              </w:rPr>
              <w:t>.</w:t>
            </w:r>
          </w:p>
        </w:tc>
        <w:tc>
          <w:tcPr>
            <w:tcW w:w="24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1,261</w:t>
            </w:r>
          </w:p>
        </w:tc>
        <w:tc>
          <w:tcPr>
            <w:tcW w:w="2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30,270</w:t>
            </w:r>
          </w:p>
        </w:tc>
        <w:tc>
          <w:tcPr>
            <w:tcW w:w="2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24,257</w:t>
            </w:r>
          </w:p>
        </w:tc>
        <w:tc>
          <w:tcPr>
            <w:tcW w:w="26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12,300)</w:t>
            </w:r>
          </w:p>
        </w:tc>
        <w:tc>
          <w:tcPr>
            <w:tcW w:w="0" w:type="dxa"/>
            <w:vAlign w:val="bottom"/>
          </w:tcPr>
          <w:p>
            <w:pPr>
              <w:spacing w:after="0"/>
              <w:rPr>
                <w:sz w:val="1"/>
                <w:szCs w:val="1"/>
                <w:color w:val="auto"/>
              </w:rPr>
            </w:pPr>
          </w:p>
        </w:tc>
      </w:tr>
      <w:tr>
        <w:trPr>
          <w:trHeight w:val="200"/>
        </w:trPr>
        <w:tc>
          <w:tcPr>
            <w:tcW w:w="54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(3,171)</w:t>
            </w:r>
          </w:p>
        </w:tc>
        <w:tc>
          <w:tcPr>
            <w:tcW w:w="260" w:type="dxa"/>
            <w:vAlign w:val="bottom"/>
          </w:tcPr>
          <w:p>
            <w:pPr>
              <w:spacing w:after="0"/>
              <w:rPr>
                <w:sz w:val="17"/>
                <w:szCs w:val="17"/>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65,345</w:t>
            </w:r>
          </w:p>
        </w:tc>
        <w:tc>
          <w:tcPr>
            <w:tcW w:w="280" w:type="dxa"/>
            <w:vAlign w:val="bottom"/>
          </w:tcPr>
          <w:p>
            <w:pPr>
              <w:spacing w:after="0"/>
              <w:rPr>
                <w:sz w:val="17"/>
                <w:szCs w:val="17"/>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18,042</w:t>
            </w:r>
          </w:p>
        </w:tc>
        <w:tc>
          <w:tcPr>
            <w:tcW w:w="260" w:type="dxa"/>
            <w:vAlign w:val="bottom"/>
          </w:tcPr>
          <w:p>
            <w:pPr>
              <w:spacing w:after="0"/>
              <w:rPr>
                <w:sz w:val="17"/>
                <w:szCs w:val="17"/>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110,421)</w:t>
            </w:r>
          </w:p>
        </w:tc>
        <w:tc>
          <w:tcPr>
            <w:tcW w:w="0" w:type="dxa"/>
            <w:vAlign w:val="bottom"/>
          </w:tcPr>
          <w:p>
            <w:pPr>
              <w:spacing w:after="0"/>
              <w:rPr>
                <w:sz w:val="1"/>
                <w:szCs w:val="1"/>
                <w:color w:val="auto"/>
              </w:rPr>
            </w:pPr>
          </w:p>
        </w:tc>
      </w:tr>
      <w:tr>
        <w:trPr>
          <w:trHeight w:val="739"/>
        </w:trPr>
        <w:tc>
          <w:tcPr>
            <w:tcW w:w="540" w:type="dxa"/>
            <w:vAlign w:val="bottom"/>
            <w:vMerge w:val="continue"/>
          </w:tcPr>
          <w:p>
            <w:pPr>
              <w:spacing w:after="0"/>
              <w:rPr>
                <w:sz w:val="24"/>
                <w:szCs w:val="24"/>
                <w:color w:val="auto"/>
              </w:rPr>
            </w:pPr>
          </w:p>
        </w:tc>
        <w:tc>
          <w:tcPr>
            <w:tcW w:w="520" w:type="dxa"/>
            <w:vAlign w:val="bottom"/>
          </w:tcPr>
          <w:p>
            <w:pPr>
              <w:jc w:val="right"/>
              <w:ind w:right="85"/>
              <w:spacing w:after="0" w:line="424" w:lineRule="exact"/>
              <w:rPr>
                <w:sz w:val="20"/>
                <w:szCs w:val="20"/>
                <w:color w:val="auto"/>
              </w:rPr>
            </w:pPr>
            <w:r>
              <w:rPr>
                <w:rFonts w:ascii="Arial" w:cs="Arial" w:eastAsia="Arial" w:hAnsi="Arial"/>
                <w:sz w:val="37"/>
                <w:szCs w:val="37"/>
                <w:color w:val="auto"/>
              </w:rPr>
              <w:t>.</w:t>
            </w:r>
          </w:p>
        </w:tc>
        <w:tc>
          <w:tcPr>
            <w:tcW w:w="240" w:type="dxa"/>
            <w:vAlign w:val="bottom"/>
            <w:tcBorders>
              <w:bottom w:val="single" w:sz="8" w:color="201C20"/>
            </w:tcBorders>
          </w:tcPr>
          <w:p>
            <w:pPr>
              <w:spacing w:after="0"/>
              <w:rPr>
                <w:sz w:val="24"/>
                <w:szCs w:val="24"/>
                <w:color w:val="auto"/>
              </w:rPr>
            </w:pPr>
          </w:p>
        </w:tc>
        <w:tc>
          <w:tcPr>
            <w:tcW w:w="700" w:type="dxa"/>
            <w:vAlign w:val="bottom"/>
            <w:tcBorders>
              <w:bottom w:val="single" w:sz="8" w:color="201C20"/>
            </w:tcBorders>
          </w:tcPr>
          <w:p>
            <w:pPr>
              <w:jc w:val="right"/>
              <w:ind w:right="50"/>
              <w:spacing w:after="0"/>
              <w:rPr>
                <w:sz w:val="20"/>
                <w:szCs w:val="20"/>
                <w:color w:val="auto"/>
              </w:rPr>
            </w:pPr>
            <w:r>
              <w:rPr>
                <w:rFonts w:ascii="Arial" w:cs="Arial" w:eastAsia="Arial" w:hAnsi="Arial"/>
                <w:sz w:val="14"/>
                <w:szCs w:val="14"/>
                <w:color w:val="auto"/>
              </w:rPr>
              <w:t>1,225</w:t>
            </w:r>
          </w:p>
        </w:tc>
        <w:tc>
          <w:tcPr>
            <w:tcW w:w="260" w:type="dxa"/>
            <w:vAlign w:val="bottom"/>
            <w:tcBorders>
              <w:bottom w:val="single" w:sz="8" w:color="201C20"/>
            </w:tcBorders>
          </w:tcPr>
          <w:p>
            <w:pPr>
              <w:spacing w:after="0"/>
              <w:rPr>
                <w:sz w:val="24"/>
                <w:szCs w:val="24"/>
                <w:color w:val="auto"/>
              </w:rPr>
            </w:pPr>
          </w:p>
        </w:tc>
        <w:tc>
          <w:tcPr>
            <w:tcW w:w="680" w:type="dxa"/>
            <w:vAlign w:val="bottom"/>
            <w:tcBorders>
              <w:bottom w:val="single" w:sz="8" w:color="201C20"/>
            </w:tcBorders>
          </w:tcPr>
          <w:p>
            <w:pPr>
              <w:jc w:val="right"/>
              <w:ind w:right="30"/>
              <w:spacing w:after="0"/>
              <w:rPr>
                <w:sz w:val="20"/>
                <w:szCs w:val="20"/>
                <w:color w:val="auto"/>
              </w:rPr>
            </w:pPr>
            <w:r>
              <w:rPr>
                <w:rFonts w:ascii="Arial" w:cs="Arial" w:eastAsia="Arial" w:hAnsi="Arial"/>
                <w:sz w:val="14"/>
                <w:szCs w:val="14"/>
                <w:color w:val="auto"/>
              </w:rPr>
              <w:t>61,945</w:t>
            </w:r>
          </w:p>
        </w:tc>
        <w:tc>
          <w:tcPr>
            <w:tcW w:w="280" w:type="dxa"/>
            <w:vAlign w:val="bottom"/>
            <w:tcBorders>
              <w:bottom w:val="single" w:sz="8" w:color="201C20"/>
            </w:tcBorders>
          </w:tcPr>
          <w:p>
            <w:pPr>
              <w:spacing w:after="0"/>
              <w:rPr>
                <w:sz w:val="24"/>
                <w:szCs w:val="24"/>
                <w:color w:val="auto"/>
              </w:rPr>
            </w:pPr>
          </w:p>
        </w:tc>
        <w:tc>
          <w:tcPr>
            <w:tcW w:w="680" w:type="dxa"/>
            <w:vAlign w:val="bottom"/>
            <w:tcBorders>
              <w:bottom w:val="single" w:sz="8" w:color="201C20"/>
            </w:tcBorders>
          </w:tcPr>
          <w:p>
            <w:pPr>
              <w:jc w:val="right"/>
              <w:ind w:right="30"/>
              <w:spacing w:after="0"/>
              <w:rPr>
                <w:sz w:val="20"/>
                <w:szCs w:val="20"/>
                <w:color w:val="auto"/>
              </w:rPr>
            </w:pPr>
            <w:r>
              <w:rPr>
                <w:rFonts w:ascii="Arial" w:cs="Arial" w:eastAsia="Arial" w:hAnsi="Arial"/>
                <w:sz w:val="14"/>
                <w:szCs w:val="14"/>
                <w:color w:val="auto"/>
              </w:rPr>
              <w:t>18,042</w:t>
            </w:r>
          </w:p>
        </w:tc>
        <w:tc>
          <w:tcPr>
            <w:tcW w:w="260" w:type="dxa"/>
            <w:vAlign w:val="bottom"/>
            <w:tcBorders>
              <w:bottom w:val="single" w:sz="8" w:color="201C20"/>
            </w:tcBorders>
          </w:tcPr>
          <w:p>
            <w:pPr>
              <w:spacing w:after="0"/>
              <w:rPr>
                <w:sz w:val="24"/>
                <w:szCs w:val="24"/>
                <w:color w:val="auto"/>
              </w:rPr>
            </w:pPr>
          </w:p>
        </w:tc>
        <w:tc>
          <w:tcPr>
            <w:tcW w:w="720" w:type="dxa"/>
            <w:vAlign w:val="bottom"/>
            <w:tcBorders>
              <w:bottom w:val="single" w:sz="8" w:color="201C20"/>
            </w:tcBorders>
          </w:tcPr>
          <w:p>
            <w:pPr>
              <w:jc w:val="right"/>
              <w:ind w:right="50"/>
              <w:spacing w:after="0"/>
              <w:rPr>
                <w:sz w:val="20"/>
                <w:szCs w:val="20"/>
                <w:color w:val="auto"/>
              </w:rPr>
            </w:pPr>
            <w:r>
              <w:rPr>
                <w:rFonts w:ascii="Arial" w:cs="Arial" w:eastAsia="Arial" w:hAnsi="Arial"/>
                <w:sz w:val="14"/>
                <w:szCs w:val="14"/>
                <w:color w:val="auto"/>
              </w:rPr>
              <w:t>831</w:t>
            </w:r>
          </w:p>
        </w:tc>
        <w:tc>
          <w:tcPr>
            <w:tcW w:w="0" w:type="dxa"/>
            <w:vAlign w:val="bottom"/>
          </w:tcPr>
          <w:p>
            <w:pPr>
              <w:spacing w:after="0"/>
              <w:rPr>
                <w:sz w:val="1"/>
                <w:szCs w:val="1"/>
                <w:color w:val="auto"/>
              </w:rPr>
            </w:pPr>
          </w:p>
        </w:tc>
      </w:tr>
      <w:tr>
        <w:trPr>
          <w:trHeight w:val="327"/>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26"/>
                <w:szCs w:val="26"/>
                <w:color w:val="auto"/>
              </w:rPr>
              <w:t>s</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10.36)</w:t>
            </w:r>
          </w:p>
        </w:tc>
        <w:tc>
          <w:tcPr>
            <w:tcW w:w="260" w:type="dxa"/>
            <w:vAlign w:val="bottom"/>
          </w:tcPr>
          <w:p>
            <w:pPr>
              <w:ind w:left="100"/>
              <w:spacing w:after="0"/>
              <w:rPr>
                <w:sz w:val="20"/>
                <w:szCs w:val="20"/>
                <w:color w:val="auto"/>
              </w:rPr>
            </w:pPr>
            <w:r>
              <w:rPr>
                <w:rFonts w:ascii="Times New Roman" w:cs="Times New Roman" w:eastAsia="Times New Roman" w:hAnsi="Times New Roman"/>
                <w:sz w:val="26"/>
                <w:szCs w:val="26"/>
                <w:color w:val="auto"/>
              </w:rPr>
              <w:t>s</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6.95</w:t>
            </w:r>
          </w:p>
        </w:tc>
        <w:tc>
          <w:tcPr>
            <w:tcW w:w="280" w:type="dxa"/>
            <w:vAlign w:val="bottom"/>
          </w:tcPr>
          <w:p>
            <w:pPr>
              <w:ind w:left="100"/>
              <w:spacing w:after="0"/>
              <w:rPr>
                <w:sz w:val="20"/>
                <w:szCs w:val="20"/>
                <w:color w:val="auto"/>
              </w:rPr>
            </w:pPr>
            <w:r>
              <w:rPr>
                <w:rFonts w:ascii="Times New Roman" w:cs="Times New Roman" w:eastAsia="Times New Roman" w:hAnsi="Times New Roman"/>
                <w:sz w:val="26"/>
                <w:szCs w:val="26"/>
                <w:color w:val="auto"/>
              </w:rPr>
              <w:t>s</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1.83</w:t>
            </w:r>
          </w:p>
        </w:tc>
        <w:tc>
          <w:tcPr>
            <w:tcW w:w="260" w:type="dxa"/>
            <w:vAlign w:val="bottom"/>
          </w:tcPr>
          <w:p>
            <w:pPr>
              <w:ind w:left="100"/>
              <w:spacing w:after="0"/>
              <w:rPr>
                <w:sz w:val="20"/>
                <w:szCs w:val="20"/>
                <w:color w:val="auto"/>
              </w:rPr>
            </w:pPr>
            <w:r>
              <w:rPr>
                <w:rFonts w:ascii="Times New Roman" w:cs="Times New Roman" w:eastAsia="Times New Roman" w:hAnsi="Times New Roman"/>
                <w:sz w:val="26"/>
                <w:szCs w:val="26"/>
                <w:color w:val="auto"/>
              </w:rPr>
              <w:t>s</w:t>
            </w:r>
          </w:p>
        </w:tc>
        <w:tc>
          <w:tcPr>
            <w:tcW w:w="720" w:type="dxa"/>
            <w:vAlign w:val="bottom"/>
          </w:tcPr>
          <w:p>
            <w:pPr>
              <w:ind w:left="300"/>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0.14</w:t>
            </w:r>
          </w:p>
        </w:tc>
        <w:tc>
          <w:tcPr>
            <w:tcW w:w="260" w:type="dxa"/>
            <w:vAlign w:val="bottom"/>
          </w:tcPr>
          <w:p>
            <w:pPr>
              <w:spacing w:after="0"/>
              <w:rPr>
                <w:sz w:val="17"/>
                <w:szCs w:val="17"/>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6.59</w:t>
            </w:r>
          </w:p>
        </w:tc>
        <w:tc>
          <w:tcPr>
            <w:tcW w:w="280" w:type="dxa"/>
            <w:vAlign w:val="bottom"/>
          </w:tcPr>
          <w:p>
            <w:pPr>
              <w:spacing w:after="0"/>
              <w:rPr>
                <w:sz w:val="17"/>
                <w:szCs w:val="17"/>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1.83</w:t>
            </w:r>
          </w:p>
        </w:tc>
        <w:tc>
          <w:tcPr>
            <w:tcW w:w="260" w:type="dxa"/>
            <w:vAlign w:val="bottom"/>
          </w:tcPr>
          <w:p>
            <w:pPr>
              <w:spacing w:after="0"/>
              <w:rPr>
                <w:sz w:val="17"/>
                <w:szCs w:val="17"/>
                <w:color w:val="auto"/>
              </w:rPr>
            </w:pPr>
          </w:p>
        </w:tc>
        <w:tc>
          <w:tcPr>
            <w:tcW w:w="720" w:type="dxa"/>
            <w:vAlign w:val="bottom"/>
          </w:tcPr>
          <w:p>
            <w:pPr>
              <w:ind w:left="300"/>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0.68</w:t>
            </w:r>
          </w:p>
        </w:tc>
        <w:tc>
          <w:tcPr>
            <w:tcW w:w="2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2.10</w:t>
            </w:r>
          </w:p>
        </w:tc>
        <w:tc>
          <w:tcPr>
            <w:tcW w:w="2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0.78</w:t>
            </w:r>
          </w:p>
        </w:tc>
        <w:tc>
          <w:tcPr>
            <w:tcW w:w="26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0.455</w:t>
            </w:r>
          </w:p>
        </w:tc>
        <w:tc>
          <w:tcPr>
            <w:tcW w:w="0" w:type="dxa"/>
            <w:vAlign w:val="bottom"/>
          </w:tcPr>
          <w:p>
            <w:pPr>
              <w:spacing w:after="0"/>
              <w:rPr>
                <w:sz w:val="1"/>
                <w:szCs w:val="1"/>
                <w:color w:val="auto"/>
              </w:rPr>
            </w:pPr>
          </w:p>
        </w:tc>
      </w:tr>
      <w:tr>
        <w:trPr>
          <w:trHeight w:val="235"/>
        </w:trPr>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20.92</w:t>
            </w:r>
          </w:p>
        </w:tc>
        <w:tc>
          <w:tcPr>
            <w:tcW w:w="2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21.85</w:t>
            </w:r>
          </w:p>
        </w:tc>
        <w:tc>
          <w:tcPr>
            <w:tcW w:w="28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16.67</w:t>
            </w:r>
          </w:p>
        </w:tc>
        <w:tc>
          <w:tcPr>
            <w:tcW w:w="26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15.89</w:t>
            </w:r>
          </w:p>
        </w:tc>
        <w:tc>
          <w:tcPr>
            <w:tcW w:w="0" w:type="dxa"/>
            <w:vAlign w:val="bottom"/>
          </w:tcPr>
          <w:p>
            <w:pPr>
              <w:spacing w:after="0"/>
              <w:rPr>
                <w:sz w:val="1"/>
                <w:szCs w:val="1"/>
                <w:color w:val="auto"/>
              </w:rPr>
            </w:pPr>
          </w:p>
        </w:tc>
      </w:tr>
      <w:tr>
        <w:trPr>
          <w:trHeight w:val="244"/>
        </w:trPr>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Borders>
              <w:bottom w:val="single" w:sz="8" w:color="747070"/>
            </w:tcBorders>
          </w:tcPr>
          <w:p>
            <w:pPr>
              <w:spacing w:after="0"/>
              <w:rPr>
                <w:sz w:val="21"/>
                <w:szCs w:val="21"/>
                <w:color w:val="auto"/>
              </w:rPr>
            </w:pPr>
          </w:p>
        </w:tc>
        <w:tc>
          <w:tcPr>
            <w:tcW w:w="700" w:type="dxa"/>
            <w:vAlign w:val="bottom"/>
            <w:tcBorders>
              <w:bottom w:val="single" w:sz="8" w:color="747070"/>
            </w:tcBorders>
          </w:tcPr>
          <w:p>
            <w:pPr>
              <w:spacing w:after="0"/>
              <w:rPr>
                <w:sz w:val="21"/>
                <w:szCs w:val="21"/>
                <w:color w:val="auto"/>
              </w:rPr>
            </w:pPr>
          </w:p>
        </w:tc>
        <w:tc>
          <w:tcPr>
            <w:tcW w:w="260" w:type="dxa"/>
            <w:vAlign w:val="bottom"/>
            <w:tcBorders>
              <w:bottom w:val="single" w:sz="8" w:color="747070"/>
            </w:tcBorders>
          </w:tcPr>
          <w:p>
            <w:pPr>
              <w:spacing w:after="0"/>
              <w:rPr>
                <w:sz w:val="21"/>
                <w:szCs w:val="21"/>
                <w:color w:val="auto"/>
              </w:rPr>
            </w:pPr>
          </w:p>
        </w:tc>
        <w:tc>
          <w:tcPr>
            <w:tcW w:w="680" w:type="dxa"/>
            <w:vAlign w:val="bottom"/>
            <w:tcBorders>
              <w:bottom w:val="single" w:sz="8" w:color="747070"/>
            </w:tcBorders>
          </w:tcPr>
          <w:p>
            <w:pPr>
              <w:spacing w:after="0"/>
              <w:rPr>
                <w:sz w:val="21"/>
                <w:szCs w:val="21"/>
                <w:color w:val="auto"/>
              </w:rPr>
            </w:pPr>
          </w:p>
        </w:tc>
        <w:tc>
          <w:tcPr>
            <w:tcW w:w="280" w:type="dxa"/>
            <w:vAlign w:val="bottom"/>
            <w:tcBorders>
              <w:bottom w:val="single" w:sz="8" w:color="747070"/>
            </w:tcBorders>
          </w:tcPr>
          <w:p>
            <w:pPr>
              <w:spacing w:after="0"/>
              <w:rPr>
                <w:sz w:val="21"/>
                <w:szCs w:val="21"/>
                <w:color w:val="auto"/>
              </w:rPr>
            </w:pPr>
          </w:p>
        </w:tc>
        <w:tc>
          <w:tcPr>
            <w:tcW w:w="680" w:type="dxa"/>
            <w:vAlign w:val="bottom"/>
            <w:tcBorders>
              <w:bottom w:val="single" w:sz="8" w:color="747070"/>
            </w:tcBorders>
          </w:tcPr>
          <w:p>
            <w:pPr>
              <w:spacing w:after="0"/>
              <w:rPr>
                <w:sz w:val="21"/>
                <w:szCs w:val="21"/>
                <w:color w:val="auto"/>
              </w:rPr>
            </w:pPr>
          </w:p>
        </w:tc>
        <w:tc>
          <w:tcPr>
            <w:tcW w:w="260" w:type="dxa"/>
            <w:vAlign w:val="bottom"/>
            <w:tcBorders>
              <w:bottom w:val="single" w:sz="8" w:color="747070"/>
            </w:tcBorders>
          </w:tcPr>
          <w:p>
            <w:pPr>
              <w:spacing w:after="0"/>
              <w:rPr>
                <w:sz w:val="21"/>
                <w:szCs w:val="21"/>
                <w:color w:val="auto"/>
              </w:rPr>
            </w:pPr>
          </w:p>
        </w:tc>
        <w:tc>
          <w:tcPr>
            <w:tcW w:w="720" w:type="dxa"/>
            <w:vAlign w:val="bottom"/>
            <w:tcBorders>
              <w:bottom w:val="single" w:sz="8" w:color="747070"/>
            </w:tcBorders>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Borders>
              <w:bottom w:val="single" w:sz="8" w:color="201C20"/>
            </w:tcBorders>
          </w:tcPr>
          <w:p>
            <w:pPr>
              <w:spacing w:after="0"/>
              <w:rPr>
                <w:sz w:val="23"/>
                <w:szCs w:val="23"/>
                <w:color w:val="auto"/>
              </w:rPr>
            </w:pPr>
          </w:p>
        </w:tc>
        <w:tc>
          <w:tcPr>
            <w:tcW w:w="700" w:type="dxa"/>
            <w:vAlign w:val="bottom"/>
            <w:tcBorders>
              <w:bottom w:val="single" w:sz="8" w:color="201C20"/>
            </w:tcBorders>
          </w:tcPr>
          <w:p>
            <w:pPr>
              <w:spacing w:after="0"/>
              <w:rPr>
                <w:sz w:val="23"/>
                <w:szCs w:val="23"/>
                <w:color w:val="auto"/>
              </w:rPr>
            </w:pPr>
          </w:p>
        </w:tc>
        <w:tc>
          <w:tcPr>
            <w:tcW w:w="260" w:type="dxa"/>
            <w:vAlign w:val="bottom"/>
            <w:tcBorders>
              <w:bottom w:val="single" w:sz="8" w:color="201C20"/>
            </w:tcBorders>
          </w:tcPr>
          <w:p>
            <w:pPr>
              <w:spacing w:after="0"/>
              <w:rPr>
                <w:sz w:val="23"/>
                <w:szCs w:val="23"/>
                <w:color w:val="auto"/>
              </w:rPr>
            </w:pPr>
          </w:p>
        </w:tc>
        <w:tc>
          <w:tcPr>
            <w:tcW w:w="680" w:type="dxa"/>
            <w:vAlign w:val="bottom"/>
            <w:tcBorders>
              <w:bottom w:val="single" w:sz="8" w:color="201C20"/>
            </w:tcBorders>
          </w:tcPr>
          <w:p>
            <w:pPr>
              <w:spacing w:after="0"/>
              <w:rPr>
                <w:sz w:val="23"/>
                <w:szCs w:val="23"/>
                <w:color w:val="auto"/>
              </w:rPr>
            </w:pPr>
          </w:p>
        </w:tc>
        <w:tc>
          <w:tcPr>
            <w:tcW w:w="280" w:type="dxa"/>
            <w:vAlign w:val="bottom"/>
            <w:tcBorders>
              <w:bottom w:val="single" w:sz="8" w:color="201C20"/>
            </w:tcBorders>
          </w:tcPr>
          <w:p>
            <w:pPr>
              <w:spacing w:after="0"/>
              <w:rPr>
                <w:sz w:val="23"/>
                <w:szCs w:val="23"/>
                <w:color w:val="auto"/>
              </w:rPr>
            </w:pPr>
          </w:p>
        </w:tc>
        <w:tc>
          <w:tcPr>
            <w:tcW w:w="680" w:type="dxa"/>
            <w:vAlign w:val="bottom"/>
            <w:tcBorders>
              <w:bottom w:val="single" w:sz="8" w:color="201C20"/>
            </w:tcBorders>
          </w:tcPr>
          <w:p>
            <w:pPr>
              <w:spacing w:after="0"/>
              <w:rPr>
                <w:sz w:val="23"/>
                <w:szCs w:val="23"/>
                <w:color w:val="auto"/>
              </w:rPr>
            </w:pPr>
          </w:p>
        </w:tc>
        <w:tc>
          <w:tcPr>
            <w:tcW w:w="260" w:type="dxa"/>
            <w:vAlign w:val="bottom"/>
            <w:tcBorders>
              <w:bottom w:val="single" w:sz="8" w:color="201C20"/>
            </w:tcBorders>
          </w:tcPr>
          <w:p>
            <w:pPr>
              <w:spacing w:after="0"/>
              <w:rPr>
                <w:sz w:val="23"/>
                <w:szCs w:val="23"/>
                <w:color w:val="auto"/>
              </w:rPr>
            </w:pPr>
          </w:p>
        </w:tc>
        <w:tc>
          <w:tcPr>
            <w:tcW w:w="720" w:type="dxa"/>
            <w:vAlign w:val="bottom"/>
            <w:tcBorders>
              <w:bottom w:val="single" w:sz="8" w:color="201C2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ectPr>
          <w:pgSz w:w="15840" w:h="12240" w:orient="landscape"/>
          <w:cols w:equalWidth="0" w:num="2">
            <w:col w:w="8900" w:space="160"/>
            <w:col w:w="4880"/>
          </w:cols>
          <w:pgMar w:left="1440" w:top="1440" w:right="460" w:bottom="1440" w:gutter="0" w:footer="0" w:header="0"/>
          <w:type w:val="continuous"/>
        </w:sectPr>
      </w:pPr>
    </w:p>
    <w:tbl>
      <w:tblPr>
        <w:tblLayout w:type="fixed"/>
        <w:tblInd w:w="6940" w:type="dxa"/>
        <w:tblCellMar>
          <w:top w:w="0" w:type="dxa"/>
          <w:left w:w="0" w:type="dxa"/>
          <w:bottom w:w="0" w:type="dxa"/>
          <w:right w:w="0" w:type="dxa"/>
        </w:tblCellMar>
      </w:tblPr>
      <w:tr>
        <w:trPr>
          <w:trHeight w:val="299"/>
        </w:trPr>
        <w:tc>
          <w:tcPr>
            <w:tcW w:w="214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104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26"/>
                <w:szCs w:val="26"/>
                <w:color w:val="auto"/>
              </w:rPr>
              <w:t>s</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 xml:space="preserve">52,407   </w:t>
            </w:r>
            <w:r>
              <w:rPr>
                <w:rFonts w:ascii="Times New Roman" w:cs="Times New Roman" w:eastAsia="Times New Roman" w:hAnsi="Times New Roman"/>
                <w:sz w:val="25"/>
                <w:szCs w:val="25"/>
                <w:color w:val="auto"/>
              </w:rPr>
              <w:t>s</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61,625</w:t>
            </w:r>
          </w:p>
        </w:tc>
        <w:tc>
          <w:tcPr>
            <w:tcW w:w="320" w:type="dxa"/>
            <w:vAlign w:val="bottom"/>
          </w:tcPr>
          <w:p>
            <w:pPr>
              <w:ind w:left="100"/>
              <w:spacing w:after="0"/>
              <w:rPr>
                <w:sz w:val="20"/>
                <w:szCs w:val="20"/>
                <w:color w:val="auto"/>
              </w:rPr>
            </w:pPr>
            <w:r>
              <w:rPr>
                <w:rFonts w:ascii="Times New Roman" w:cs="Times New Roman" w:eastAsia="Times New Roman" w:hAnsi="Times New Roman"/>
                <w:sz w:val="26"/>
                <w:szCs w:val="26"/>
                <w:color w:val="auto"/>
              </w:rPr>
              <w:t>s</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34,374</w:t>
            </w:r>
          </w:p>
        </w:tc>
        <w:tc>
          <w:tcPr>
            <w:tcW w:w="320" w:type="dxa"/>
            <w:vAlign w:val="bottom"/>
          </w:tcPr>
          <w:p>
            <w:pPr>
              <w:ind w:left="100"/>
              <w:spacing w:after="0"/>
              <w:rPr>
                <w:sz w:val="20"/>
                <w:szCs w:val="20"/>
                <w:color w:val="auto"/>
              </w:rPr>
            </w:pPr>
            <w:r>
              <w:rPr>
                <w:rFonts w:ascii="Times New Roman" w:cs="Times New Roman" w:eastAsia="Times New Roman" w:hAnsi="Times New Roman"/>
                <w:sz w:val="26"/>
                <w:szCs w:val="26"/>
                <w:color w:val="auto"/>
              </w:rPr>
              <w:t>s</w:t>
            </w:r>
          </w:p>
        </w:tc>
        <w:tc>
          <w:tcPr>
            <w:tcW w:w="540" w:type="dxa"/>
            <w:vAlign w:val="bottom"/>
          </w:tcPr>
          <w:p>
            <w:pPr>
              <w:jc w:val="right"/>
              <w:spacing w:after="0"/>
              <w:rPr>
                <w:sz w:val="20"/>
                <w:szCs w:val="20"/>
                <w:color w:val="auto"/>
              </w:rPr>
            </w:pPr>
            <w:r>
              <w:rPr>
                <w:rFonts w:ascii="Arial" w:cs="Arial" w:eastAsia="Arial" w:hAnsi="Arial"/>
                <w:sz w:val="14"/>
                <w:szCs w:val="14"/>
                <w:color w:val="auto"/>
              </w:rPr>
              <w:t>45,799</w:t>
            </w:r>
          </w:p>
        </w:tc>
      </w:tr>
      <w:tr>
        <w:trPr>
          <w:trHeight w:val="192"/>
        </w:trPr>
        <w:tc>
          <w:tcPr>
            <w:tcW w:w="2140" w:type="dxa"/>
            <w:vAlign w:val="bottom"/>
          </w:tcPr>
          <w:p>
            <w:pPr>
              <w:ind w:left="20"/>
              <w:spacing w:after="0"/>
              <w:rPr>
                <w:sz w:val="20"/>
                <w:szCs w:val="20"/>
                <w:color w:val="auto"/>
              </w:rPr>
            </w:pPr>
            <w:r>
              <w:rPr>
                <w:rFonts w:ascii="Arial" w:cs="Arial" w:eastAsia="Arial" w:hAnsi="Arial"/>
                <w:sz w:val="12"/>
                <w:szCs w:val="12"/>
                <w:color w:val="auto"/>
              </w:rPr>
              <w:t>Investments</w:t>
            </w: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52"/>
              <w:spacing w:after="0"/>
              <w:rPr>
                <w:sz w:val="20"/>
                <w:szCs w:val="20"/>
                <w:color w:val="auto"/>
              </w:rPr>
            </w:pPr>
            <w:r>
              <w:rPr>
                <w:rFonts w:ascii="Arial" w:cs="Arial" w:eastAsia="Arial" w:hAnsi="Arial"/>
                <w:sz w:val="14"/>
                <w:szCs w:val="14"/>
                <w:color w:val="auto"/>
              </w:rPr>
              <w:t>17,775</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17,715</w:t>
            </w:r>
          </w:p>
        </w:tc>
        <w:tc>
          <w:tcPr>
            <w:tcW w:w="320" w:type="dxa"/>
            <w:vAlign w:val="bottom"/>
          </w:tcPr>
          <w:p>
            <w:pPr>
              <w:spacing w:after="0"/>
              <w:rPr>
                <w:sz w:val="16"/>
                <w:szCs w:val="16"/>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17,715</w:t>
            </w:r>
          </w:p>
        </w:tc>
        <w:tc>
          <w:tcPr>
            <w:tcW w:w="3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17,715</w:t>
            </w:r>
          </w:p>
        </w:tc>
      </w:tr>
      <w:tr>
        <w:trPr>
          <w:trHeight w:val="230"/>
        </w:trPr>
        <w:tc>
          <w:tcPr>
            <w:tcW w:w="2140" w:type="dxa"/>
            <w:vAlign w:val="bottom"/>
          </w:tcPr>
          <w:p>
            <w:pPr>
              <w:spacing w:after="0"/>
              <w:rPr>
                <w:sz w:val="20"/>
                <w:szCs w:val="20"/>
                <w:color w:val="auto"/>
              </w:rPr>
            </w:pPr>
            <w:r>
              <w:rPr>
                <w:rFonts w:ascii="Arial" w:cs="Arial" w:eastAsia="Arial" w:hAnsi="Arial"/>
                <w:sz w:val="12"/>
                <w:szCs w:val="12"/>
                <w:color w:val="auto"/>
              </w:rPr>
              <w:t>Total Assets</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Arial" w:cs="Arial" w:eastAsia="Arial" w:hAnsi="Arial"/>
                <w:sz w:val="14"/>
                <w:szCs w:val="14"/>
                <w:color w:val="auto"/>
              </w:rPr>
              <w:t>370,424</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406,273</w:t>
            </w:r>
          </w:p>
        </w:tc>
        <w:tc>
          <w:tcPr>
            <w:tcW w:w="32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421,660</w:t>
            </w:r>
          </w:p>
        </w:tc>
        <w:tc>
          <w:tcPr>
            <w:tcW w:w="3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402,548</w:t>
            </w:r>
          </w:p>
        </w:tc>
      </w:tr>
      <w:tr>
        <w:trPr>
          <w:trHeight w:val="231"/>
        </w:trPr>
        <w:tc>
          <w:tcPr>
            <w:tcW w:w="2140" w:type="dxa"/>
            <w:vAlign w:val="bottom"/>
          </w:tcPr>
          <w:p>
            <w:pPr>
              <w:ind w:left="20"/>
              <w:spacing w:after="0"/>
              <w:rPr>
                <w:sz w:val="20"/>
                <w:szCs w:val="20"/>
                <w:color w:val="auto"/>
              </w:rPr>
            </w:pPr>
            <w:r>
              <w:rPr>
                <w:rFonts w:ascii="Arial" w:cs="Arial" w:eastAsia="Arial" w:hAnsi="Arial"/>
                <w:sz w:val="12"/>
                <w:szCs w:val="12"/>
                <w:color w:val="auto"/>
              </w:rPr>
              <w:t>Long-Term Debt</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28"/>
        </w:trPr>
        <w:tc>
          <w:tcPr>
            <w:tcW w:w="2140" w:type="dxa"/>
            <w:vAlign w:val="bottom"/>
          </w:tcPr>
          <w:p>
            <w:pPr>
              <w:ind w:left="20"/>
              <w:spacing w:after="0"/>
              <w:rPr>
                <w:sz w:val="20"/>
                <w:szCs w:val="20"/>
                <w:color w:val="auto"/>
              </w:rPr>
            </w:pPr>
            <w:r>
              <w:rPr>
                <w:rFonts w:ascii="Arial" w:cs="Arial" w:eastAsia="Arial" w:hAnsi="Arial"/>
                <w:sz w:val="12"/>
                <w:szCs w:val="12"/>
                <w:color w:val="auto"/>
              </w:rPr>
              <w:t>Stockholders'Equity</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2"/>
              <w:spacing w:after="0"/>
              <w:rPr>
                <w:sz w:val="20"/>
                <w:szCs w:val="20"/>
                <w:color w:val="auto"/>
              </w:rPr>
            </w:pPr>
            <w:r>
              <w:rPr>
                <w:rFonts w:ascii="Arial" w:cs="Arial" w:eastAsia="Arial" w:hAnsi="Arial"/>
                <w:sz w:val="14"/>
                <w:szCs w:val="14"/>
                <w:color w:val="auto"/>
              </w:rPr>
              <w:t>183,441</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195,609</w:t>
            </w:r>
          </w:p>
        </w:tc>
        <w:tc>
          <w:tcPr>
            <w:tcW w:w="320" w:type="dxa"/>
            <w:vAlign w:val="bottom"/>
          </w:tcPr>
          <w:p>
            <w:pPr>
              <w:spacing w:after="0"/>
              <w:rPr>
                <w:sz w:val="19"/>
                <w:szCs w:val="19"/>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162,732</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158,030</w:t>
            </w:r>
          </w:p>
        </w:tc>
      </w:tr>
      <w:tr>
        <w:trPr>
          <w:trHeight w:val="96"/>
        </w:trPr>
        <w:tc>
          <w:tcPr>
            <w:tcW w:w="2140" w:type="dxa"/>
            <w:vAlign w:val="bottom"/>
          </w:tcPr>
          <w:p>
            <w:pPr>
              <w:spacing w:after="0"/>
              <w:rPr>
                <w:sz w:val="8"/>
                <w:szCs w:val="8"/>
                <w:color w:val="auto"/>
              </w:rPr>
            </w:pPr>
          </w:p>
        </w:tc>
        <w:tc>
          <w:tcPr>
            <w:tcW w:w="1040" w:type="dxa"/>
            <w:vAlign w:val="bottom"/>
            <w:shd w:val="clear" w:color="auto" w:fill="000000"/>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r>
    </w:tbl>
    <w:p>
      <w:pPr>
        <w:sectPr>
          <w:pgSz w:w="15840" w:h="12240" w:orient="landscape"/>
          <w:cols w:equalWidth="0" w:num="1">
            <w:col w:w="13940"/>
          </w:cols>
          <w:pgMar w:left="1440" w:top="1440" w:right="460"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0058400" cy="7772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 Our S h are ho l ders</w:t>
      </w:r>
    </w:p>
    <w:p>
      <w:pPr>
        <w:spacing w:after="0" w:line="230" w:lineRule="exact"/>
        <w:rPr>
          <w:sz w:val="20"/>
          <w:szCs w:val="20"/>
          <w:color w:val="auto"/>
        </w:rPr>
      </w:pPr>
    </w:p>
    <w:p>
      <w:pPr>
        <w:jc w:val="both"/>
        <w:ind w:left="300" w:right="2780"/>
        <w:spacing w:after="0" w:line="408" w:lineRule="auto"/>
        <w:rPr>
          <w:sz w:val="20"/>
          <w:szCs w:val="20"/>
          <w:color w:val="auto"/>
        </w:rPr>
      </w:pPr>
      <w:r>
        <w:rPr>
          <w:rFonts w:ascii="Arial" w:cs="Arial" w:eastAsia="Arial" w:hAnsi="Arial"/>
          <w:sz w:val="12"/>
          <w:szCs w:val="12"/>
          <w:color w:val="auto"/>
        </w:rPr>
        <w:t>The downturn following the Covid boom has persisted longer than most of us in the furniture business imagined, resulting in a second consecutive year of weak demand in 2024. In addition to consumer spending moving away from investments in the home, U.S. existing home sales fell to a 30-year low in 2024.</w:t>
      </w:r>
    </w:p>
    <w:p>
      <w:pPr>
        <w:spacing w:after="0" w:line="228" w:lineRule="exact"/>
        <w:rPr>
          <w:sz w:val="20"/>
          <w:szCs w:val="20"/>
          <w:color w:val="auto"/>
        </w:rPr>
      </w:pPr>
    </w:p>
    <w:p>
      <w:pPr>
        <w:jc w:val="both"/>
        <w:ind w:left="320" w:right="2760" w:hanging="2"/>
        <w:spacing w:after="0" w:line="468" w:lineRule="auto"/>
        <w:rPr>
          <w:sz w:val="20"/>
          <w:szCs w:val="20"/>
          <w:color w:val="auto"/>
        </w:rPr>
      </w:pPr>
      <w:r>
        <w:rPr>
          <w:rFonts w:ascii="Arial" w:cs="Arial" w:eastAsia="Arial" w:hAnsi="Arial"/>
          <w:sz w:val="12"/>
          <w:szCs w:val="12"/>
          <w:color w:val="auto"/>
        </w:rPr>
        <w:t>As a result, most of 2024 at Bassett was an exercise in cost reduction . T he major components of our restructuring plan originally announced in July are as follows:</w:t>
      </w:r>
    </w:p>
    <w:p>
      <w:pPr>
        <w:spacing w:after="0" w:line="393" w:lineRule="exact"/>
        <w:rPr>
          <w:sz w:val="20"/>
          <w:szCs w:val="20"/>
          <w:color w:val="auto"/>
        </w:rPr>
      </w:pPr>
    </w:p>
    <w:p>
      <w:pPr>
        <w:ind w:left="620" w:hanging="75"/>
        <w:spacing w:after="0"/>
        <w:tabs>
          <w:tab w:leader="none" w:pos="620" w:val="left"/>
        </w:tabs>
        <w:numPr>
          <w:ilvl w:val="0"/>
          <w:numId w:val="1"/>
        </w:numPr>
        <w:rPr>
          <w:rFonts w:ascii="Arial" w:cs="Arial" w:eastAsia="Arial" w:hAnsi="Arial"/>
          <w:sz w:val="12"/>
          <w:szCs w:val="12"/>
          <w:color w:val="auto"/>
        </w:rPr>
      </w:pPr>
      <w:r>
        <w:rPr>
          <w:rFonts w:ascii="Arial" w:cs="Arial" w:eastAsia="Arial" w:hAnsi="Arial"/>
          <w:sz w:val="12"/>
          <w:szCs w:val="12"/>
          <w:color w:val="auto"/>
        </w:rPr>
        <w:t>Rationalization of U.S. wood manufacturing- two locations into one</w:t>
      </w:r>
    </w:p>
    <w:p>
      <w:pPr>
        <w:spacing w:after="0" w:line="97" w:lineRule="exact"/>
        <w:rPr>
          <w:rFonts w:ascii="Arial" w:cs="Arial" w:eastAsia="Arial" w:hAnsi="Arial"/>
          <w:sz w:val="12"/>
          <w:szCs w:val="12"/>
          <w:color w:val="auto"/>
        </w:rPr>
      </w:pPr>
    </w:p>
    <w:p>
      <w:pPr>
        <w:ind w:left="620" w:hanging="75"/>
        <w:spacing w:after="0"/>
        <w:tabs>
          <w:tab w:leader="none" w:pos="620" w:val="left"/>
        </w:tabs>
        <w:numPr>
          <w:ilvl w:val="0"/>
          <w:numId w:val="1"/>
        </w:numPr>
        <w:rPr>
          <w:rFonts w:ascii="Arial" w:cs="Arial" w:eastAsia="Arial" w:hAnsi="Arial"/>
          <w:sz w:val="12"/>
          <w:szCs w:val="12"/>
          <w:color w:val="auto"/>
        </w:rPr>
      </w:pPr>
      <w:r>
        <w:rPr>
          <w:rFonts w:ascii="Arial" w:cs="Arial" w:eastAsia="Arial" w:hAnsi="Arial"/>
          <w:sz w:val="12"/>
          <w:szCs w:val="12"/>
          <w:color w:val="auto"/>
        </w:rPr>
        <w:t>Optimization of inventory by dropping unproductive lines</w:t>
      </w:r>
    </w:p>
    <w:p>
      <w:pPr>
        <w:spacing w:after="0" w:line="97" w:lineRule="exact"/>
        <w:rPr>
          <w:rFonts w:ascii="Arial" w:cs="Arial" w:eastAsia="Arial" w:hAnsi="Arial"/>
          <w:sz w:val="12"/>
          <w:szCs w:val="12"/>
          <w:color w:val="auto"/>
        </w:rPr>
      </w:pPr>
    </w:p>
    <w:p>
      <w:pPr>
        <w:ind w:left="620" w:hanging="70"/>
        <w:spacing w:after="0"/>
        <w:tabs>
          <w:tab w:leader="none" w:pos="62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Reduction in overall cost structure</w:t>
      </w:r>
    </w:p>
    <w:p>
      <w:pPr>
        <w:spacing w:after="0" w:line="92" w:lineRule="exact"/>
        <w:rPr>
          <w:rFonts w:ascii="Arial" w:cs="Arial" w:eastAsia="Arial" w:hAnsi="Arial"/>
          <w:sz w:val="12"/>
          <w:szCs w:val="12"/>
          <w:color w:val="auto"/>
        </w:rPr>
      </w:pPr>
    </w:p>
    <w:p>
      <w:pPr>
        <w:ind w:left="620" w:hanging="70"/>
        <w:spacing w:after="0"/>
        <w:tabs>
          <w:tab w:leader="none" w:pos="620" w:val="left"/>
        </w:tabs>
        <w:numPr>
          <w:ilvl w:val="0"/>
          <w:numId w:val="1"/>
        </w:numPr>
        <w:rPr>
          <w:rFonts w:ascii="Arial" w:cs="Arial" w:eastAsia="Arial" w:hAnsi="Arial"/>
          <w:sz w:val="12"/>
          <w:szCs w:val="12"/>
          <w:color w:val="auto"/>
        </w:rPr>
      </w:pPr>
      <w:r>
        <w:rPr>
          <w:rFonts w:ascii="Arial" w:cs="Arial" w:eastAsia="Arial" w:hAnsi="Arial"/>
          <w:sz w:val="12"/>
          <w:szCs w:val="12"/>
          <w:color w:val="auto"/>
        </w:rPr>
        <w:t>Closure of the Noa Home e-commerce business</w:t>
      </w:r>
    </w:p>
    <w:p>
      <w:pPr>
        <w:spacing w:after="0" w:line="92" w:lineRule="exact"/>
        <w:rPr>
          <w:rFonts w:ascii="Arial" w:cs="Arial" w:eastAsia="Arial" w:hAnsi="Arial"/>
          <w:sz w:val="12"/>
          <w:szCs w:val="12"/>
          <w:color w:val="auto"/>
        </w:rPr>
      </w:pPr>
    </w:p>
    <w:p>
      <w:pPr>
        <w:ind w:left="620" w:hanging="70"/>
        <w:spacing w:after="0"/>
        <w:tabs>
          <w:tab w:leader="none" w:pos="62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Reduction in the number of retail home delivery warehouses</w:t>
      </w:r>
    </w:p>
    <w:p>
      <w:pPr>
        <w:spacing w:after="0" w:line="328" w:lineRule="exact"/>
        <w:rPr>
          <w:sz w:val="20"/>
          <w:szCs w:val="20"/>
          <w:color w:val="auto"/>
        </w:rPr>
      </w:pPr>
    </w:p>
    <w:p>
      <w:pPr>
        <w:jc w:val="both"/>
        <w:ind w:left="320" w:right="2760" w:hanging="2"/>
        <w:spacing w:after="0" w:line="405" w:lineRule="auto"/>
        <w:rPr>
          <w:sz w:val="20"/>
          <w:szCs w:val="20"/>
          <w:color w:val="auto"/>
        </w:rPr>
      </w:pPr>
      <w:r>
        <w:rPr>
          <w:rFonts w:ascii="Arial" w:cs="Arial" w:eastAsia="Arial" w:hAnsi="Arial"/>
          <w:sz w:val="12"/>
          <w:szCs w:val="12"/>
          <w:color w:val="auto"/>
        </w:rPr>
        <w:t>The implementation of these measures has put us on course to return to consistent profitability, as evidenced by our fourth quarter results announced on January 30, 2025. We head into 2025 with an organizat ion consisting of 11% fewer associates than last year. Our remaining domestic wood facility is operating more profitably than we did with two facilities. Th e Noa Home e-commerce business was losing money and has been closed. From a total of 27 retail home delivery warehouses in mid 2024, we now operate 22 facilities with plans to eliminate three more in the near future. We will continue to challenge the organization to "think small" by operating with a lean mindsetthat challenges expenses without sacrificing our core growth-driving initiatives.</w:t>
      </w:r>
    </w:p>
    <w:p>
      <w:pPr>
        <w:spacing w:after="0" w:line="235" w:lineRule="exact"/>
        <w:rPr>
          <w:sz w:val="20"/>
          <w:szCs w:val="20"/>
          <w:color w:val="auto"/>
        </w:rPr>
      </w:pPr>
    </w:p>
    <w:p>
      <w:pPr>
        <w:jc w:val="both"/>
        <w:ind w:left="320" w:right="2760" w:hanging="2"/>
        <w:spacing w:after="0" w:line="407" w:lineRule="auto"/>
        <w:rPr>
          <w:sz w:val="20"/>
          <w:szCs w:val="20"/>
          <w:color w:val="auto"/>
        </w:rPr>
      </w:pPr>
      <w:r>
        <w:rPr>
          <w:rFonts w:ascii="Arial" w:cs="Arial" w:eastAsia="Arial" w:hAnsi="Arial"/>
          <w:sz w:val="12"/>
          <w:szCs w:val="12"/>
          <w:color w:val="auto"/>
        </w:rPr>
        <w:t>And that brings us to growth, the elusive element of our story since the glow of the stay-at-home mindset of 2020-2022. Our growth plan is integrated and well defined, centering around the initiatives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Digital Transformation</w:t>
      </w:r>
    </w:p>
    <w:p>
      <w:pPr>
        <w:spacing w:after="0" w:line="85" w:lineRule="exact"/>
        <w:rPr>
          <w:sz w:val="20"/>
          <w:szCs w:val="20"/>
          <w:color w:val="auto"/>
        </w:rPr>
      </w:pPr>
    </w:p>
    <w:p>
      <w:pPr>
        <w:jc w:val="both"/>
        <w:ind w:right="300" w:hanging="7"/>
        <w:spacing w:after="0" w:line="405" w:lineRule="auto"/>
        <w:rPr>
          <w:sz w:val="20"/>
          <w:szCs w:val="20"/>
          <w:color w:val="auto"/>
        </w:rPr>
      </w:pPr>
      <w:r>
        <w:rPr>
          <w:rFonts w:ascii="Arial" w:cs="Arial" w:eastAsia="Arial" w:hAnsi="Arial"/>
          <w:sz w:val="12"/>
          <w:szCs w:val="12"/>
          <w:color w:val="auto"/>
        </w:rPr>
        <w:t>The multi-year investments that we made in our website and e-commerce platform culminated with the launch of the new bassettfurniture.com site back in August of 2023. There have been and will continue to be ongoing improvements to the aesthetics and user experience that we provide on the site. We know from both our Bassett stores and open market customers that we are driving a significant percentage of retail foot traffic to the stores resulting f rom consumer engagement with bassettfurniture.com. We have enjoyed increased e-commerce sales for seven consecutive mont hs but the opportu nity to fully realize t he potential of our invest ment lies ahead.</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Aggressive Marketing</w:t>
      </w:r>
    </w:p>
    <w:p>
      <w:pPr>
        <w:spacing w:after="0" w:line="85" w:lineRule="exact"/>
        <w:rPr>
          <w:sz w:val="20"/>
          <w:szCs w:val="20"/>
          <w:color w:val="auto"/>
        </w:rPr>
      </w:pPr>
    </w:p>
    <w:p>
      <w:pPr>
        <w:jc w:val="both"/>
        <w:ind w:left="20" w:right="300"/>
        <w:spacing w:after="0" w:line="406" w:lineRule="auto"/>
        <w:rPr>
          <w:sz w:val="20"/>
          <w:szCs w:val="20"/>
          <w:color w:val="auto"/>
        </w:rPr>
      </w:pPr>
      <w:r>
        <w:rPr>
          <w:rFonts w:ascii="Arial" w:cs="Arial" w:eastAsia="Arial" w:hAnsi="Arial"/>
          <w:sz w:val="12"/>
          <w:szCs w:val="12"/>
          <w:color w:val="auto"/>
        </w:rPr>
        <w:t>Toward the end of 2024 we began to focus more aggressively on price points in our marketing campaigns. We are encouraged by the early response to this strategy and we plan to continue to highlight the value proposition of key categories in 2025. We have also re-introduced direct mail with more frequency which again has produced positive year-over-year results. While our custom furniture and in-home design capabilities have transformed our selling conceptovertheyears, the more forcefu l communication of the relative value that our products offer is an opportunity that we will further pursue.</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Store Performance</w:t>
      </w:r>
    </w:p>
    <w:p>
      <w:pPr>
        <w:spacing w:after="0" w:line="85" w:lineRule="exact"/>
        <w:rPr>
          <w:sz w:val="20"/>
          <w:szCs w:val="20"/>
          <w:color w:val="auto"/>
        </w:rPr>
      </w:pPr>
    </w:p>
    <w:p>
      <w:pPr>
        <w:jc w:val="both"/>
        <w:ind w:left="20" w:right="300" w:hanging="3"/>
        <w:spacing w:after="0" w:line="410" w:lineRule="auto"/>
        <w:rPr>
          <w:sz w:val="20"/>
          <w:szCs w:val="20"/>
          <w:color w:val="auto"/>
        </w:rPr>
      </w:pPr>
      <w:r>
        <w:rPr>
          <w:rFonts w:ascii="Arial" w:cs="Arial" w:eastAsia="Arial" w:hAnsi="Arial"/>
          <w:sz w:val="12"/>
          <w:szCs w:val="12"/>
          <w:color w:val="auto"/>
        </w:rPr>
        <w:t>Total</w:t>
      </w:r>
      <w:r>
        <w:rPr>
          <w:sz w:val="20"/>
          <w:szCs w:val="20"/>
          <w:color w:val="auto"/>
        </w:rPr>
        <w:t xml:space="preserve"> </w:t>
      </w:r>
      <w:r>
        <w:rPr>
          <w:rFonts w:ascii="Arial" w:cs="Arial" w:eastAsia="Arial" w:hAnsi="Arial"/>
          <w:sz w:val="12"/>
          <w:szCs w:val="12"/>
          <w:color w:val="auto"/>
        </w:rPr>
        <w:t>written sales for the 58 store corporately-owned Bassett Home Furnishings network declined by 3% in 2024. New stores in Tampa and Houston came on-line in last years first quarter. We tentatively plan to open a new market late in 2025 and to remodel two to three stores over the course of the year. The work on the website and these energetic marketing plans are important components of our strategies to drive more retail sales. Our retail organization in 2025 is leaner, more cost competitive, and totally focused on improving sales.</w:t>
      </w:r>
    </w:p>
    <w:p>
      <w:pPr>
        <w:spacing w:after="0" w:line="542" w:lineRule="exact"/>
        <w:rPr>
          <w:sz w:val="20"/>
          <w:szCs w:val="20"/>
          <w:color w:val="auto"/>
        </w:rPr>
      </w:pPr>
    </w:p>
    <w:p>
      <w:pPr>
        <w:sectPr>
          <w:pgSz w:w="15840" w:h="12240" w:orient="landscape"/>
          <w:cols w:equalWidth="0" w:num="2">
            <w:col w:w="7500" w:space="720"/>
            <w:col w:w="4740"/>
          </w:cols>
          <w:pgMar w:left="1440" w:top="1440" w:right="1440" w:bottom="1440" w:gutter="0" w:footer="0" w:header="0"/>
        </w:sectPr>
      </w:pPr>
    </w:p>
    <w:p>
      <w:pPr>
        <w:ind w:left="320"/>
        <w:spacing w:after="0"/>
        <w:tabs>
          <w:tab w:leader="none" w:pos="12040" w:val="left"/>
        </w:tabs>
        <w:rPr>
          <w:sz w:val="20"/>
          <w:szCs w:val="20"/>
          <w:color w:val="auto"/>
        </w:rPr>
      </w:pPr>
      <w:r>
        <w:rPr>
          <w:rFonts w:ascii="Arial" w:cs="Arial" w:eastAsia="Arial" w:hAnsi="Arial"/>
          <w:sz w:val="9"/>
          <w:szCs w:val="9"/>
          <w:i w:val="1"/>
          <w:iCs w:val="1"/>
          <w:color w:val="auto"/>
        </w:rPr>
        <w:t>(continued!</w:t>
      </w:r>
      <w:r>
        <w:rPr>
          <w:sz w:val="20"/>
          <w:szCs w:val="20"/>
          <w:color w:val="auto"/>
        </w:rPr>
        <w:tab/>
      </w:r>
      <w:r>
        <w:rPr>
          <w:rFonts w:ascii="Arial" w:cs="Arial" w:eastAsia="Arial" w:hAnsi="Arial"/>
          <w:sz w:val="17"/>
          <w:szCs w:val="17"/>
          <w:i w:val="1"/>
          <w:iCs w:val="1"/>
          <w:color w:val="auto"/>
          <w:vertAlign w:val="superscript"/>
        </w:rPr>
        <w:t>(continued)</w:t>
      </w:r>
    </w:p>
    <w:p>
      <w:pPr>
        <w:sectPr>
          <w:pgSz w:w="15840" w:h="12240" w:orient="landscape"/>
          <w:cols w:equalWidth="0" w:num="1">
            <w:col w:w="12960"/>
          </w:cols>
          <w:pgMar w:left="1440" w:top="1440" w:right="1440" w:bottom="144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Dedicated Distribution Strategy</w:t>
      </w:r>
    </w:p>
    <w:p>
      <w:pPr>
        <w:spacing w:after="0" w:line="100" w:lineRule="exact"/>
        <w:rPr>
          <w:sz w:val="20"/>
          <w:szCs w:val="20"/>
          <w:color w:val="auto"/>
        </w:rPr>
      </w:pPr>
    </w:p>
    <w:p>
      <w:pPr>
        <w:jc w:val="both"/>
        <w:ind w:left="480" w:right="2840"/>
        <w:spacing w:after="0" w:line="405" w:lineRule="auto"/>
        <w:rPr>
          <w:sz w:val="20"/>
          <w:szCs w:val="20"/>
          <w:color w:val="auto"/>
        </w:rPr>
      </w:pPr>
      <w:r>
        <w:rPr>
          <w:rFonts w:ascii="Arial" w:cs="Arial" w:eastAsia="Arial" w:hAnsi="Arial"/>
          <w:sz w:val="12"/>
          <w:szCs w:val="12"/>
          <w:color w:val="auto"/>
        </w:rPr>
        <w:t>The combination of revenue generated from both our corporate and licensed retail stores plus our Bassett Design Centers and Bassett Custom Studios represented 83% of total shipments of the Bassett brand in 2024. We refer to t hese four concepts as our "dedicated distribut ion." All of these concepts are anchored by a 1,000-square-foot display of our True Custom Upholstery program that has been t he standard bearer for our entire custom furnit ure offering for the past 25 years. In the case of our new retail concept, t he Bassett Custom St udio, t here is no ot her floor space requirement apart from the 1,000 square feet of True Custom. While t he capital required to open a new store is a measured decision in today'schallenging sales environment, t he financial commitment associated with opening a new Bassett Custom Studio is negligible. The benefit for the prospective dealer is tangible as t he proven sales performance of t he True Custom program more than justifies the investment in floor samples (with no backup inventory) while offering a vast range of opt ions to satisfy the consumer. From a standing start last spring we opened 40 Bassett Custom Studios t hrough November. And, as anticipated, t he sell -through of the True Custom product combined wit h t he high level of service provided by our local sales representat ives have convinced several dealers to expand beyond t he init ial1000 square feet</w:t>
      </w:r>
    </w:p>
    <w:p>
      <w:pPr>
        <w:spacing w:after="0" w:line="200" w:lineRule="exact"/>
        <w:rPr>
          <w:sz w:val="20"/>
          <w:szCs w:val="20"/>
          <w:color w:val="auto"/>
        </w:rPr>
      </w:pPr>
    </w:p>
    <w:p>
      <w:pPr>
        <w:spacing w:after="0" w:line="253"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Product</w:t>
      </w:r>
    </w:p>
    <w:p>
      <w:pPr>
        <w:spacing w:after="0" w:line="100" w:lineRule="exact"/>
        <w:rPr>
          <w:sz w:val="20"/>
          <w:szCs w:val="20"/>
          <w:color w:val="auto"/>
        </w:rPr>
      </w:pPr>
    </w:p>
    <w:p>
      <w:pPr>
        <w:jc w:val="both"/>
        <w:ind w:left="480" w:right="2860" w:firstLine="7"/>
        <w:spacing w:after="0" w:line="405" w:lineRule="auto"/>
        <w:rPr>
          <w:sz w:val="20"/>
          <w:szCs w:val="20"/>
          <w:color w:val="auto"/>
        </w:rPr>
      </w:pPr>
      <w:r>
        <w:rPr>
          <w:rFonts w:ascii="Arial" w:cs="Arial" w:eastAsia="Arial" w:hAnsi="Arial"/>
          <w:sz w:val="12"/>
          <w:szCs w:val="12"/>
          <w:color w:val="auto"/>
        </w:rPr>
        <w:t>New product innovation remains t he hallmark of a successful furnit ure operation. Specifically targeted to embellish the performance of our four dedicated dist ribution concepts, the introduction of 50+ leat hers to True Custom in 2024 added 20% to t he sales of t he program. Bassett was named "Best Custom Upholstery Company" in 2024 as a result of a reader survey by Furniture Today. It is a recognition of our team'scommit ment to design and quality among those that know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40" w:firstLine="1"/>
        <w:spacing w:after="0" w:line="405" w:lineRule="auto"/>
        <w:rPr>
          <w:sz w:val="20"/>
          <w:szCs w:val="20"/>
          <w:color w:val="auto"/>
        </w:rPr>
      </w:pPr>
      <w:r>
        <w:rPr>
          <w:rFonts w:ascii="Arial" w:cs="Arial" w:eastAsia="Arial" w:hAnsi="Arial"/>
          <w:sz w:val="12"/>
          <w:szCs w:val="12"/>
          <w:color w:val="auto"/>
        </w:rPr>
        <w:t>furniture business best After moving away from the concept of t he "whole home" collect ion for the past several years, we introduced the Danish Modern inspired Copenhagen Collection this past fall. We have already seen significant retail sales results in the first few weeks of fiscal 2025. Coming soon are two more comprehensive fresh style statements - And ora and Newberry. All t hree of t hese efforts offer bedroom, dining, occasional, and entertainment furniture options that will redefine our retail showrooms.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-6095365</wp:posOffset>
            </wp:positionH>
            <wp:positionV relativeFrom="paragraph">
              <wp:posOffset>-4509135</wp:posOffset>
            </wp:positionV>
            <wp:extent cx="10058400" cy="7772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spacing w:after="0" w:line="212" w:lineRule="exact"/>
        <w:rPr>
          <w:sz w:val="20"/>
          <w:szCs w:val="20"/>
          <w:color w:val="auto"/>
        </w:rPr>
      </w:pPr>
    </w:p>
    <w:p>
      <w:pPr>
        <w:jc w:val="both"/>
        <w:ind w:right="240" w:firstLine="5"/>
        <w:spacing w:after="0" w:line="405" w:lineRule="auto"/>
        <w:rPr>
          <w:sz w:val="20"/>
          <w:szCs w:val="20"/>
          <w:color w:val="auto"/>
        </w:rPr>
      </w:pPr>
      <w:r>
        <w:rPr>
          <w:rFonts w:ascii="Arial" w:cs="Arial" w:eastAsia="Arial" w:hAnsi="Arial"/>
          <w:sz w:val="12"/>
          <w:szCs w:val="12"/>
          <w:color w:val="auto"/>
        </w:rPr>
        <w:t>T he past 24 rnonths have been a difficult journey as we have been forced to take drastic act ions to align our cost structure wit h t he size of our business. Throughout it all, we continue to believe in the value of t he 123 years of Bassett brand equity and in t he talent of our associates to bring compelling goods to the public and to market t hese products t hrough our chosen channels of dist ribution. We are taking an aggressive stance in emphasizing the value t hat our products bring to the market place. Although we are by no means seeing a dramatic uptick in sales as yet, we have been encouraged by the posit ive results we achieved in our year end promot ions. With t hese factors in mind, we enter 2025 with a heightened sense of opt imism.</w:t>
      </w:r>
    </w:p>
    <w:p>
      <w:pPr>
        <w:spacing w:after="0" w:line="177" w:lineRule="exact"/>
        <w:rPr>
          <w:sz w:val="20"/>
          <w:szCs w:val="20"/>
          <w:color w:val="auto"/>
        </w:rPr>
      </w:pPr>
    </w:p>
    <w:p>
      <w:pPr>
        <w:sectPr>
          <w:pgSz w:w="15840" w:h="12240" w:orient="landscape"/>
          <w:cols w:equalWidth="0" w:num="2">
            <w:col w:w="7440" w:space="720"/>
            <w:col w:w="4800"/>
          </w:cols>
          <w:pgMar w:left="1440" w:top="1440" w:right="1440" w:bottom="1440" w:gutter="0" w:footer="0" w:header="0"/>
        </w:sectPr>
      </w:pPr>
    </w:p>
    <w:p>
      <w:pPr>
        <w:ind w:left="480"/>
        <w:spacing w:after="0"/>
        <w:tabs>
          <w:tab w:leader="none" w:pos="8260" w:val="left"/>
        </w:tabs>
        <w:rPr>
          <w:sz w:val="20"/>
          <w:szCs w:val="20"/>
          <w:color w:val="auto"/>
        </w:rPr>
      </w:pPr>
      <w:r>
        <w:rPr>
          <w:rFonts w:ascii="Arial" w:cs="Arial" w:eastAsia="Arial" w:hAnsi="Arial"/>
          <w:sz w:val="12"/>
          <w:szCs w:val="12"/>
          <w:i w:val="1"/>
          <w:iCs w:val="1"/>
          <w:color w:val="auto"/>
        </w:rPr>
        <w:t>(continued)</w:t>
      </w:r>
      <w:r>
        <w:rPr>
          <w:sz w:val="20"/>
          <w:szCs w:val="20"/>
          <w:color w:val="auto"/>
        </w:rPr>
        <w:tab/>
      </w:r>
      <w:r>
        <w:rPr>
          <w:rFonts w:ascii="Arial" w:cs="Arial" w:eastAsia="Arial" w:hAnsi="Arial"/>
          <w:sz w:val="37"/>
          <w:szCs w:val="37"/>
          <w:color w:val="auto"/>
        </w:rPr>
        <w:t>~5~</w:t>
      </w:r>
    </w:p>
    <w:p>
      <w:pPr>
        <w:sectPr>
          <w:pgSz w:w="15840" w:h="12240" w:orient="landscape"/>
          <w:cols w:equalWidth="0" w:num="1">
            <w:col w:w="12960"/>
          </w:cols>
          <w:pgMar w:left="1440" w:top="1440" w:right="1440" w:bottom="1440" w:gutter="0" w:footer="0" w:header="0"/>
          <w:type w:val="continuous"/>
        </w:sectPr>
      </w:pPr>
    </w:p>
    <w:bookmarkStart w:id="4" w:name="page5"/>
    <w:bookmarkEnd w:id="4"/>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0058400" cy="7772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ind w:right="2280" w:firstLine="6"/>
        <w:spacing w:after="0" w:line="227" w:lineRule="auto"/>
        <w:rPr>
          <w:sz w:val="20"/>
          <w:szCs w:val="20"/>
          <w:color w:val="auto"/>
        </w:rPr>
      </w:pPr>
      <w:r>
        <w:rPr>
          <w:rFonts w:ascii="Times New Roman" w:cs="Times New Roman" w:eastAsia="Times New Roman" w:hAnsi="Times New Roman"/>
          <w:sz w:val="13"/>
          <w:szCs w:val="13"/>
          <w:color w:val="auto"/>
        </w:rPr>
        <w:t xml:space="preserve">Management's Discussion and Analysis of Financial Condition and Results of Operations </w:t>
      </w:r>
      <w:r>
        <w:rPr>
          <w:rFonts w:ascii="Times New Roman" w:cs="Times New Roman" w:eastAsia="Times New Roman" w:hAnsi="Times New Roman"/>
          <w:sz w:val="12"/>
          <w:szCs w:val="12"/>
          <w:color w:val="auto"/>
        </w:rPr>
        <w:t>(Amounts in thousands except share and per share data)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Overview</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Bassett is a leading retailer, manufacturer and marketer of branded home furnishings. Our products are sold primarily through</w:t>
      </w:r>
    </w:p>
    <w:p>
      <w:pPr>
        <w:spacing w:after="0" w:line="13" w:lineRule="exact"/>
        <w:rPr>
          <w:sz w:val="20"/>
          <w:szCs w:val="20"/>
          <w:color w:val="auto"/>
        </w:rPr>
      </w:pPr>
    </w:p>
    <w:p>
      <w:pPr>
        <w:jc w:val="both"/>
        <w:ind w:right="760" w:firstLine="8"/>
        <w:spacing w:after="0" w:line="257" w:lineRule="auto"/>
        <w:tabs>
          <w:tab w:leader="none" w:pos="93"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network of Company-owned and licensee-owned branded stores under the Bassett Home Furnishings (" BHF") name, with additional distribution through other wholesale channels including multi-lin e furniture stores, many of which feature Bassett ga lleries or design centers. We also se ll our products through our website at www.bassettfurniture.com. We were founded in 1902 and incorporated und er th e laws of Virginia in 1930. Our rich 122-year history has instilled the principles of quality , va lue, and integrity in everythin g we do, while simultaneously providing us with the expertise to respond to ever-changing consumer tastes and meet the demands of a global economy.</w:t>
      </w:r>
    </w:p>
    <w:p>
      <w:pPr>
        <w:spacing w:after="0" w:line="155" w:lineRule="exact"/>
        <w:rPr>
          <w:sz w:val="20"/>
          <w:szCs w:val="20"/>
          <w:color w:val="auto"/>
        </w:rPr>
      </w:pPr>
    </w:p>
    <w:p>
      <w:pPr>
        <w:jc w:val="both"/>
        <w:ind w:right="760" w:firstLine="6"/>
        <w:spacing w:after="0" w:line="258" w:lineRule="auto"/>
        <w:rPr>
          <w:sz w:val="20"/>
          <w:szCs w:val="20"/>
          <w:color w:val="auto"/>
        </w:rPr>
      </w:pPr>
      <w:r>
        <w:rPr>
          <w:rFonts w:ascii="Times New Roman" w:cs="Times New Roman" w:eastAsia="Times New Roman" w:hAnsi="Times New Roman"/>
          <w:sz w:val="12"/>
          <w:szCs w:val="12"/>
          <w:color w:val="auto"/>
        </w:rPr>
        <w:t>With 87 BHF stores at November 30, 2024, we have leveraged our strong brand name in furniture into a network of Company-owned and licensed stores that focus on providing consumers with a friendly and casual environm ent for buying furniture and accessories. Our store program is des igned to provide a single source hom e furnishings retail store that provides a uniqu e combination of sty lish, quality furniture and accessories with a high leve l of customer service. In order for the Bassett brand to reach mark ets that cannot be effectively served by our retail store network , we also distribute our products through other wholesale channels including multi-lin e furniture stores, many of which feature Bassett ga ll eries or design centers. We use a network of over 30 independent sales representatives who have stated geographical territori es. Th ese sales representatives are compensated based on a standard commission rate. We believe this blend ed strategy provides us the greatest ability to effectively distribute our products throughout the United States and ultimately ga in mark et share.</w:t>
      </w:r>
    </w:p>
    <w:p>
      <w:pPr>
        <w:spacing w:after="0" w:line="153" w:lineRule="exact"/>
        <w:rPr>
          <w:sz w:val="20"/>
          <w:szCs w:val="20"/>
          <w:color w:val="auto"/>
        </w:rPr>
      </w:pPr>
    </w:p>
    <w:p>
      <w:pPr>
        <w:jc w:val="both"/>
        <w:ind w:right="760"/>
        <w:spacing w:after="0" w:line="257" w:lineRule="auto"/>
        <w:rPr>
          <w:sz w:val="20"/>
          <w:szCs w:val="20"/>
          <w:color w:val="auto"/>
        </w:rPr>
      </w:pPr>
      <w:r>
        <w:rPr>
          <w:rFonts w:ascii="Times New Roman" w:cs="Times New Roman" w:eastAsia="Times New Roman" w:hAnsi="Times New Roman"/>
          <w:sz w:val="12"/>
          <w:szCs w:val="12"/>
          <w:color w:val="auto"/>
        </w:rPr>
        <w:t>The BI-IF stores feature custom order furniture, free in-hom e or virtual design visits ("home mak eovers") and coordinated decoratin g accessories. Our philosophy is based on building strong long-term relationships with each customer. Salespeople are referred to as "Design Consultants" and are trained to eva luate customer needs and provide comprehensive so lutions for their hom e decor. Until a rigorous training and design certification program is completed, Design Consultants are not authorized to perform in-hom e or virtual design services for our customers.</w:t>
      </w:r>
    </w:p>
    <w:p>
      <w:pPr>
        <w:spacing w:after="0" w:line="154" w:lineRule="exact"/>
        <w:rPr>
          <w:sz w:val="20"/>
          <w:szCs w:val="20"/>
          <w:color w:val="auto"/>
        </w:rPr>
      </w:pPr>
    </w:p>
    <w:p>
      <w:pPr>
        <w:jc w:val="both"/>
        <w:ind w:right="760" w:firstLine="6"/>
        <w:spacing w:after="0" w:line="257" w:lineRule="auto"/>
        <w:rPr>
          <w:sz w:val="20"/>
          <w:szCs w:val="20"/>
          <w:color w:val="auto"/>
        </w:rPr>
      </w:pPr>
      <w:r>
        <w:rPr>
          <w:rFonts w:ascii="Times New Roman" w:cs="Times New Roman" w:eastAsia="Times New Roman" w:hAnsi="Times New Roman"/>
          <w:sz w:val="12"/>
          <w:szCs w:val="12"/>
          <w:color w:val="auto"/>
        </w:rPr>
        <w:t>We consider our website to be the front door to our brand experience where customers can research our furniture and accessory offerings and subsequently buy online or engage with an in-store design consultant. We know that we are driving a significant percentage of the retail foot traffic to our store network and our open market customers through engagement with www.bassettfurniture.com. Digital outreach strateg ies have become the primary vehicle for brand advertising and customer acquisition. We expect to supplem ent th e digital outreach strategies in 2025 with added direct mail and telev ision.</w:t>
      </w:r>
    </w:p>
    <w:p>
      <w:pPr>
        <w:spacing w:after="0" w:line="154" w:lineRule="exact"/>
        <w:rPr>
          <w:sz w:val="20"/>
          <w:szCs w:val="20"/>
          <w:color w:val="auto"/>
        </w:rPr>
      </w:pPr>
    </w:p>
    <w:p>
      <w:pPr>
        <w:jc w:val="both"/>
        <w:ind w:right="740" w:firstLine="6"/>
        <w:spacing w:after="0" w:line="258" w:lineRule="auto"/>
        <w:rPr>
          <w:sz w:val="20"/>
          <w:szCs w:val="20"/>
          <w:color w:val="auto"/>
        </w:rPr>
      </w:pPr>
      <w:r>
        <w:rPr>
          <w:rFonts w:ascii="Times New Roman" w:cs="Times New Roman" w:eastAsia="Times New Roman" w:hAnsi="Times New Roman"/>
          <w:sz w:val="12"/>
          <w:szCs w:val="12"/>
          <w:color w:val="auto"/>
        </w:rPr>
        <w:t>We introduced a new web platform late in 2023 that leverages world class features including enhanced customer research capabilities and streamlin ed navigation. Since the debut of the new site, we have seen increased engagement with the brand through a greater number of page views per customer along with more time spent on the site. We have also seen an increase in average order va lue that has resulted in increased e-commerce revenu e. Although e-commerce sales continue to be small relative to in-store sales, we are pleased that we have seen a greater than 20% e-commerce sales increase over th e back half of the fi scal year. We will continue to invest in ongoing improvements to th e aesthetics and user experience that we provide on our website. While we have made it eas ier to purchase on-line, we will not compromise our in-store ex perience or th e quality of our in-home mak eover capabilities.</w:t>
      </w:r>
    </w:p>
    <w:p>
      <w:pPr>
        <w:spacing w:after="0" w:line="301" w:lineRule="exact"/>
        <w:rPr>
          <w:sz w:val="20"/>
          <w:szCs w:val="20"/>
          <w:color w:val="auto"/>
        </w:rPr>
      </w:pPr>
    </w:p>
    <w:p>
      <w:pPr>
        <w:jc w:val="both"/>
        <w:ind w:right="760" w:firstLine="9"/>
        <w:spacing w:after="0" w:line="258" w:lineRule="auto"/>
        <w:rPr>
          <w:sz w:val="20"/>
          <w:szCs w:val="20"/>
          <w:color w:val="auto"/>
        </w:rPr>
      </w:pPr>
      <w:r>
        <w:rPr>
          <w:rFonts w:ascii="Times New Roman" w:cs="Times New Roman" w:eastAsia="Times New Roman" w:hAnsi="Times New Roman"/>
          <w:sz w:val="12"/>
          <w:szCs w:val="12"/>
          <w:color w:val="auto"/>
        </w:rPr>
        <w:t>During th e fourth quarter offiscal2022 we acquired Noa Home Inc. ("Noa Home") (see Note 3 to the Consolidated Financial Statements for additional information regarding the acquisition). A mid-priced e-commerce furniture retailer headquartered in Montreal, Canada, Noa !-lome had operations in Canada, Australia, Singapore and the United Kingdom. After nearly two years of operating losses, we concluded during the second quarter of 2024 that Noa Home was not likely to achieve profitability at any time in th e foreseeable future and dec id ed to cease operations by selling the inventory in an orderly fashion. As ofNovember 30, 2024, we have substantially completed the liquidation ofNoa Home's assets and liabilities. In the second quarter of2024 we recognized non-cash charges totaling $2,40 I related to the impairment of certain long-li ved assets ofNoa Home and the establishment of a reserve against Noa Home's remaining inventory at that time. Upon substantially completing the liquidation ofNoa Home at the end of the fourth quarter of 2024, we recognized a charge of $962 associated with th e transfer of th e cumulative translation losses out of accumulated other comprehensive income.</w:t>
      </w:r>
    </w:p>
    <w:p>
      <w:pPr>
        <w:spacing w:after="0" w:line="153" w:lineRule="exact"/>
        <w:rPr>
          <w:sz w:val="20"/>
          <w:szCs w:val="20"/>
          <w:color w:val="auto"/>
        </w:rPr>
      </w:pPr>
    </w:p>
    <w:p>
      <w:pPr>
        <w:jc w:val="both"/>
        <w:ind w:right="760" w:firstLine="6"/>
        <w:spacing w:after="0" w:line="259" w:lineRule="auto"/>
        <w:rPr>
          <w:sz w:val="20"/>
          <w:szCs w:val="20"/>
          <w:color w:val="auto"/>
        </w:rPr>
      </w:pPr>
      <w:r>
        <w:rPr>
          <w:rFonts w:ascii="Times New Roman" w:cs="Times New Roman" w:eastAsia="Times New Roman" w:hAnsi="Times New Roman"/>
          <w:sz w:val="12"/>
          <w:szCs w:val="12"/>
          <w:color w:val="auto"/>
        </w:rPr>
        <w:t>In 2018, we added outdoor furniture to our offerings with the acquisition of the Lane Venture brand. Our strategy is to distribute these products outside of our 81-IF store network through independ ent sales representatives each of which have a stated geographic territory. Us ing Lane Venture as a platform, we developed the Bassett Outdoor brand that is only mark eted through the BHF store network. This allows Bassett branded products to move from inside the home to outside the home to capitalize on the growing trend of outdoor li ving. In the second quarter of2023, we debuted the Bassett Outdoor contract line at the HD Ex po Show in Las Vegas targeting the hospitality segment.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820" w:firstLine="6"/>
        <w:spacing w:after="0" w:line="231" w:lineRule="auto"/>
        <w:rPr>
          <w:sz w:val="20"/>
          <w:szCs w:val="20"/>
          <w:color w:val="auto"/>
        </w:rPr>
      </w:pPr>
      <w:r>
        <w:rPr>
          <w:rFonts w:ascii="Times New Roman" w:cs="Times New Roman" w:eastAsia="Times New Roman" w:hAnsi="Times New Roman"/>
          <w:sz w:val="13"/>
          <w:szCs w:val="13"/>
          <w:color w:val="auto"/>
        </w:rPr>
        <w:t xml:space="preserve">Management's Discussion and Analysis of Financial Condition and Results of Operations - Continued </w:t>
      </w:r>
      <w:r>
        <w:rPr>
          <w:rFonts w:ascii="Times New Roman" w:cs="Times New Roman" w:eastAsia="Times New Roman" w:hAnsi="Times New Roman"/>
          <w:sz w:val="12"/>
          <w:szCs w:val="12"/>
          <w:color w:val="auto"/>
        </w:rPr>
        <w:t>(Amounts in thou sands except share and per share data)</w:t>
      </w:r>
    </w:p>
    <w:p>
      <w:pPr>
        <w:spacing w:after="0" w:line="163" w:lineRule="exact"/>
        <w:rPr>
          <w:sz w:val="20"/>
          <w:szCs w:val="20"/>
          <w:color w:val="auto"/>
        </w:rPr>
      </w:pPr>
    </w:p>
    <w:p>
      <w:pPr>
        <w:jc w:val="both"/>
        <w:ind w:right="20" w:firstLine="5"/>
        <w:spacing w:after="0" w:line="257" w:lineRule="auto"/>
        <w:rPr>
          <w:sz w:val="20"/>
          <w:szCs w:val="20"/>
          <w:color w:val="auto"/>
        </w:rPr>
      </w:pPr>
      <w:r>
        <w:rPr>
          <w:rFonts w:ascii="Times New Roman" w:cs="Times New Roman" w:eastAsia="Times New Roman" w:hAnsi="Times New Roman"/>
          <w:sz w:val="12"/>
          <w:szCs w:val="12"/>
          <w:color w:val="auto"/>
        </w:rPr>
        <w:t>We have factories in Newton , North Carolina that manufacture both stationary and motion upholstered furniture for inside the home along w ith our outdoor furniture offerings. We also have a factory in Martinsville, Virginia that assembles and finishes our custom bedroom and dining offerings. We also own a facility in Haleyville, Alabama where we manufacture aluminum frames for our outdoor furniture.</w:t>
      </w:r>
    </w:p>
    <w:p>
      <w:pPr>
        <w:spacing w:after="0" w:line="153" w:lineRule="exact"/>
        <w:rPr>
          <w:sz w:val="20"/>
          <w:szCs w:val="20"/>
          <w:color w:val="auto"/>
        </w:rPr>
      </w:pPr>
    </w:p>
    <w:p>
      <w:pPr>
        <w:jc w:val="both"/>
        <w:ind w:right="20" w:firstLine="9"/>
        <w:spacing w:after="0" w:line="257" w:lineRule="auto"/>
        <w:rPr>
          <w:sz w:val="20"/>
          <w:szCs w:val="20"/>
          <w:color w:val="auto"/>
        </w:rPr>
      </w:pPr>
      <w:r>
        <w:rPr>
          <w:rFonts w:ascii="Times New Roman" w:cs="Times New Roman" w:eastAsia="Times New Roman" w:hAnsi="Times New Roman"/>
          <w:sz w:val="12"/>
          <w:szCs w:val="12"/>
          <w:color w:val="auto"/>
        </w:rPr>
        <w:t>In addition to the furniture that we manufacture domestically, we source most of our formal bedroom and dinin g room furniture (casegoods) and certain leather upholstery offerings from several foreign plants, primarily in Vietnam. Approximately 80% of our wholesale revenues are derived from products that are manufactured in the United States using a mi x of domesti c and globally sourced components and raw materials.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Sale oftile Assets o[Ze11itil Freigflt Li11es, LLC</w:t>
      </w:r>
    </w:p>
    <w:p>
      <w:pPr>
        <w:spacing w:after="0" w:line="167" w:lineRule="exact"/>
        <w:rPr>
          <w:sz w:val="20"/>
          <w:szCs w:val="20"/>
          <w:color w:val="auto"/>
        </w:rPr>
      </w:pPr>
    </w:p>
    <w:p>
      <w:pPr>
        <w:jc w:val="both"/>
        <w:ind w:firstLine="6"/>
        <w:spacing w:after="0" w:line="258" w:lineRule="auto"/>
        <w:rPr>
          <w:sz w:val="20"/>
          <w:szCs w:val="20"/>
          <w:color w:val="auto"/>
        </w:rPr>
      </w:pPr>
      <w:r>
        <w:rPr>
          <w:rFonts w:ascii="Times New Roman" w:cs="Times New Roman" w:eastAsia="Times New Roman" w:hAnsi="Times New Roman"/>
          <w:sz w:val="12"/>
          <w:szCs w:val="12"/>
          <w:color w:val="auto"/>
        </w:rPr>
        <w:t xml:space="preserve">During the first quarter of 2022, we entered into a definitive agreement to sell substantially all of the assets of our wholly-owned subsidiary, Zenith, to J.B. Hunt for $86,939 in cash (see Note 18 to the Conso lidated Financial Statements for additional information regarding the sa le of Zenith). On February 28, 2022 the transaction was completed wi th us receiving $85,521 after the payment of$418 in certain transaction costs and the funding of$1 ,000 held in escrow, which was released to us on the first anniversary of the sale. The final purchase price was </w:t>
      </w:r>
      <w:r>
        <w:rPr>
          <w:rFonts w:ascii="Arial" w:cs="Arial" w:eastAsia="Arial" w:hAnsi="Arial"/>
          <w:sz w:val="9"/>
          <w:szCs w:val="9"/>
          <w:color w:val="auto"/>
        </w:rPr>
        <w:t>su~ject</w:t>
      </w:r>
      <w:r>
        <w:rPr>
          <w:rFonts w:ascii="Times New Roman" w:cs="Times New Roman" w:eastAsia="Times New Roman" w:hAnsi="Times New Roman"/>
          <w:sz w:val="12"/>
          <w:szCs w:val="12"/>
          <w:color w:val="auto"/>
        </w:rPr>
        <w:t xml:space="preserve"> to a customary post-closing working capital adjustment, which was settl ed in the amount of$987 resulting in a pre-tax ga in of$52,534 on this transaction. As a result of the sale, the operations of our former logistical services segment, which consisted entirely of the operations of Zenith , are presented in the accompanying condensed consolidated statements of income and in the following discussion as di scontinued operations.</w:t>
      </w: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Cybersecurity Incident</w:t>
      </w:r>
    </w:p>
    <w:p>
      <w:pPr>
        <w:spacing w:after="0" w:line="16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On July 10, 2024, we detected unauthorized occurrences on a portion of our information technology (IT) system s. Upon detecting th e unauthorized occurrences, we immed iately began taking steps to contain, assess and remediate th e cybersecurity incident, including beg inning an investigation with lead ing external cybersecurity specialists, activating our incident response plan, and shutting down some systems. As a result of these and other measures, we believe the threat actor was ejected from our IT systems on July 10, 2024.</w:t>
      </w:r>
    </w:p>
    <w:p>
      <w:pPr>
        <w:spacing w:after="0" w:line="154" w:lineRule="exact"/>
        <w:rPr>
          <w:sz w:val="20"/>
          <w:szCs w:val="20"/>
          <w:color w:val="auto"/>
        </w:rPr>
      </w:pPr>
    </w:p>
    <w:p>
      <w:pPr>
        <w:jc w:val="both"/>
        <w:ind w:right="20" w:firstLine="1"/>
        <w:spacing w:after="0" w:line="257" w:lineRule="auto"/>
        <w:rPr>
          <w:sz w:val="20"/>
          <w:szCs w:val="20"/>
          <w:color w:val="auto"/>
        </w:rPr>
      </w:pPr>
      <w:r>
        <w:rPr>
          <w:rFonts w:ascii="Times New Roman" w:cs="Times New Roman" w:eastAsia="Times New Roman" w:hAnsi="Times New Roman"/>
          <w:sz w:val="12"/>
          <w:szCs w:val="12"/>
          <w:color w:val="auto"/>
        </w:rPr>
        <w:t>After we shut down some of our systems, we experienced disruption to certain of our operations, including interrupted manufacturin g at our dom estic plants and delayed order fulfillment for our retail network and delay of some wholesale shipm ents. Within a few days of the incident, we were able to resume retail order fulfillment and caught up on fulfilling wholesale orders that were delayed as a result of the cybersecurity incident. We have fully restored the IT systems and data and our investigation has not found evidence that any of our core operating systems for manufacturing, wholesale and retail order processing and fulfillment, or financial reportin g were impacted.</w:t>
      </w:r>
    </w:p>
    <w:p>
      <w:pPr>
        <w:spacing w:after="0" w:line="155" w:lineRule="exact"/>
        <w:rPr>
          <w:sz w:val="20"/>
          <w:szCs w:val="20"/>
          <w:color w:val="auto"/>
        </w:rPr>
      </w:pPr>
    </w:p>
    <w:p>
      <w:pPr>
        <w:jc w:val="both"/>
        <w:ind w:right="20" w:firstLine="6"/>
        <w:spacing w:after="0" w:line="258" w:lineRule="auto"/>
        <w:rPr>
          <w:sz w:val="20"/>
          <w:szCs w:val="20"/>
          <w:color w:val="auto"/>
        </w:rPr>
      </w:pPr>
      <w:r>
        <w:rPr>
          <w:rFonts w:ascii="Times New Roman" w:cs="Times New Roman" w:eastAsia="Times New Roman" w:hAnsi="Times New Roman"/>
          <w:sz w:val="12"/>
          <w:szCs w:val="12"/>
          <w:color w:val="auto"/>
        </w:rPr>
        <w:t>While we beli eve th e impacts were not material to our financial condition and results of operations for the fiscal year, we estimate that between $1 ,000 and $2,000 of sales were lost du e to th e shutdown durin g th e cybersecurity incident. During the third quarter of 2024, we also incurred legal and remediation costs related to the incident of approximately $98 which are included in selling, general and administrative expenses. In addition, cost of goods sold for fiscal 2024 includes $609 for wages paid to hourly production employees during th e work stoppage resulting from th e cybersecurity incident. Because no inventory was produced during the temporary shutdown of our manufacturing operations, th ese wages were charged directly to expense. We are seeking reimbursement of certain costs, expenses and losses stemming from the cybersecurity incident and have submitted a claim to our cybersecurity insurer. We expect final resolution and payment of th e claim during th e first half of2025.</w:t>
      </w:r>
    </w:p>
    <w:p>
      <w:pPr>
        <w:sectPr>
          <w:pgSz w:w="15840" w:h="12240" w:orient="landscape"/>
          <w:cols w:equalWidth="0" w:num="2">
            <w:col w:w="7200" w:space="720"/>
            <w:col w:w="6460"/>
          </w:cols>
          <w:pgMar w:left="740" w:top="1440" w:right="720" w:bottom="1095" w:gutter="0" w:footer="0" w:header="0"/>
        </w:sectPr>
      </w:pPr>
    </w:p>
    <w:bookmarkStart w:id="5" w:name="page6"/>
    <w:bookmarkEnd w:id="5"/>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0058400" cy="7772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ind w:right="1560" w:firstLine="6"/>
        <w:spacing w:after="0" w:line="248" w:lineRule="auto"/>
        <w:rPr>
          <w:sz w:val="20"/>
          <w:szCs w:val="20"/>
          <w:color w:val="auto"/>
        </w:rPr>
      </w:pPr>
      <w:r>
        <w:rPr>
          <w:rFonts w:ascii="Times New Roman" w:cs="Times New Roman" w:eastAsia="Times New Roman" w:hAnsi="Times New Roman"/>
          <w:sz w:val="12"/>
          <w:szCs w:val="12"/>
          <w:color w:val="auto"/>
        </w:rPr>
        <w:t>Management's Discussion and Analysis of Financial Condition and Results of Operations- Continued (Amounts in thousands except share and per share data)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Analysis of Continuing Operations</w:t>
      </w:r>
    </w:p>
    <w:p>
      <w:pPr>
        <w:spacing w:after="0" w:line="161" w:lineRule="exact"/>
        <w:rPr>
          <w:sz w:val="20"/>
          <w:szCs w:val="20"/>
          <w:color w:val="auto"/>
        </w:rPr>
      </w:pPr>
    </w:p>
    <w:p>
      <w:pPr>
        <w:jc w:val="both"/>
        <w:ind w:right="760" w:firstLine="4"/>
        <w:spacing w:after="0" w:line="258" w:lineRule="auto"/>
        <w:rPr>
          <w:sz w:val="20"/>
          <w:szCs w:val="20"/>
          <w:color w:val="auto"/>
        </w:rPr>
      </w:pPr>
      <w:r>
        <w:rPr>
          <w:rFonts w:ascii="Times New Roman" w:cs="Times New Roman" w:eastAsia="Times New Roman" w:hAnsi="Times New Roman"/>
          <w:sz w:val="12"/>
          <w:szCs w:val="12"/>
          <w:color w:val="auto"/>
        </w:rPr>
        <w:t>The following discussion provides an analysis of our results of operations and reasons for material changes therein for fiscal year 2024 as compared to fiscal year 2023 . For additional analysis of the fiscal year 2023 results as compared to fiscal year 2022, see "Analysis of Operations" in Part II, Item 7, Management' s Discussion and Analysis of Financial Condition and Results of Operations in the Company' s 2023 Annual Report on Form 10-K, filed with the SEC on January 25,2024 .</w:t>
      </w:r>
    </w:p>
    <w:p>
      <w:pPr>
        <w:spacing w:after="0" w:line="151" w:lineRule="exact"/>
        <w:rPr>
          <w:sz w:val="20"/>
          <w:szCs w:val="20"/>
          <w:color w:val="auto"/>
        </w:rPr>
      </w:pPr>
    </w:p>
    <w:p>
      <w:pPr>
        <w:jc w:val="both"/>
        <w:ind w:right="760" w:firstLine="2"/>
        <w:spacing w:after="0" w:line="257" w:lineRule="auto"/>
        <w:rPr>
          <w:sz w:val="20"/>
          <w:szCs w:val="20"/>
          <w:color w:val="auto"/>
        </w:rPr>
      </w:pPr>
      <w:r>
        <w:rPr>
          <w:rFonts w:ascii="Times New Roman" w:cs="Times New Roman" w:eastAsia="Times New Roman" w:hAnsi="Times New Roman"/>
          <w:sz w:val="12"/>
          <w:szCs w:val="12"/>
          <w:color w:val="auto"/>
        </w:rPr>
        <w:t>Net sales revenue, cost of furniture and accessories sold, selling, general and administrative ("SG&amp;A") expense, other charges, and income from operations were as follows for the years ended November 30, 2024, November 25, 2023 and November 26, 2022:</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22"/>
        </w:trPr>
        <w:tc>
          <w:tcPr>
            <w:tcW w:w="1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Borders>
              <w:bottom w:val="single" w:sz="8" w:color="201C20"/>
            </w:tcBorders>
          </w:tcPr>
          <w:p>
            <w:pPr>
              <w:spacing w:after="0"/>
              <w:rPr>
                <w:sz w:val="10"/>
                <w:szCs w:val="10"/>
                <w:color w:val="auto"/>
              </w:rPr>
            </w:pPr>
          </w:p>
        </w:tc>
        <w:tc>
          <w:tcPr>
            <w:tcW w:w="1040" w:type="dxa"/>
            <w:vAlign w:val="bottom"/>
            <w:tcBorders>
              <w:bottom w:val="single" w:sz="8" w:color="201C20"/>
            </w:tcBorders>
            <w:gridSpan w:val="3"/>
          </w:tcPr>
          <w:p>
            <w:pPr>
              <w:jc w:val="right"/>
              <w:ind w:right="49"/>
              <w:spacing w:after="0"/>
              <w:rPr>
                <w:sz w:val="20"/>
                <w:szCs w:val="20"/>
                <w:color w:val="auto"/>
              </w:rPr>
            </w:pPr>
            <w:r>
              <w:rPr>
                <w:rFonts w:ascii="Times New Roman" w:cs="Times New Roman" w:eastAsia="Times New Roman" w:hAnsi="Times New Roman"/>
                <w:sz w:val="10"/>
                <w:szCs w:val="10"/>
                <w:color w:val="auto"/>
              </w:rPr>
              <w:t>Comparative Change</w:t>
            </w:r>
          </w:p>
        </w:tc>
        <w:tc>
          <w:tcPr>
            <w:tcW w:w="400" w:type="dxa"/>
            <w:vAlign w:val="bottom"/>
            <w:tcBorders>
              <w:bottom w:val="single" w:sz="8" w:color="201C2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Borders>
              <w:bottom w:val="single" w:sz="8" w:color="201C20"/>
            </w:tcBorders>
            <w:gridSpan w:val="2"/>
          </w:tcPr>
          <w:p>
            <w:pPr>
              <w:jc w:val="right"/>
              <w:ind w:right="107"/>
              <w:spacing w:after="0"/>
              <w:rPr>
                <w:sz w:val="20"/>
                <w:szCs w:val="20"/>
                <w:color w:val="auto"/>
              </w:rPr>
            </w:pPr>
            <w:r>
              <w:rPr>
                <w:rFonts w:ascii="Times New Roman" w:cs="Times New Roman" w:eastAsia="Times New Roman" w:hAnsi="Times New Roman"/>
                <w:sz w:val="10"/>
                <w:szCs w:val="10"/>
                <w:color w:val="auto"/>
              </w:rPr>
              <w:t xml:space="preserve">2024 </w:t>
            </w:r>
            <w:r>
              <w:rPr>
                <w:rFonts w:ascii="Arial" w:cs="Arial" w:eastAsia="Arial" w:hAnsi="Arial"/>
                <w:sz w:val="6"/>
                <w:szCs w:val="6"/>
                <w:color w:val="auto"/>
              </w:rPr>
              <w:t>VS</w:t>
            </w:r>
            <w:r>
              <w:rPr>
                <w:rFonts w:ascii="Times New Roman" w:cs="Times New Roman" w:eastAsia="Times New Roman" w:hAnsi="Times New Roman"/>
                <w:sz w:val="10"/>
                <w:szCs w:val="10"/>
                <w:color w:val="auto"/>
              </w:rPr>
              <w:t xml:space="preserve"> 2023</w:t>
            </w:r>
          </w:p>
        </w:tc>
        <w:tc>
          <w:tcPr>
            <w:tcW w:w="160" w:type="dxa"/>
            <w:vAlign w:val="bottom"/>
          </w:tcPr>
          <w:p>
            <w:pPr>
              <w:spacing w:after="0"/>
              <w:rPr>
                <w:sz w:val="10"/>
                <w:szCs w:val="10"/>
                <w:color w:val="auto"/>
              </w:rPr>
            </w:pPr>
          </w:p>
        </w:tc>
        <w:tc>
          <w:tcPr>
            <w:tcW w:w="880" w:type="dxa"/>
            <w:vAlign w:val="bottom"/>
            <w:tcBorders>
              <w:bottom w:val="single" w:sz="8" w:color="201C20"/>
            </w:tcBorders>
            <w:gridSpan w:val="2"/>
          </w:tcPr>
          <w:p>
            <w:pPr>
              <w:jc w:val="right"/>
              <w:ind w:right="124"/>
              <w:spacing w:after="0"/>
              <w:rPr>
                <w:sz w:val="20"/>
                <w:szCs w:val="20"/>
                <w:color w:val="auto"/>
              </w:rPr>
            </w:pPr>
            <w:r>
              <w:rPr>
                <w:rFonts w:ascii="Times New Roman" w:cs="Times New Roman" w:eastAsia="Times New Roman" w:hAnsi="Times New Roman"/>
                <w:sz w:val="10"/>
                <w:szCs w:val="10"/>
                <w:color w:val="auto"/>
              </w:rPr>
              <w:t xml:space="preserve">2023 </w:t>
            </w:r>
            <w:r>
              <w:rPr>
                <w:rFonts w:ascii="Arial" w:cs="Arial" w:eastAsia="Arial" w:hAnsi="Arial"/>
                <w:sz w:val="6"/>
                <w:szCs w:val="6"/>
                <w:color w:val="auto"/>
              </w:rPr>
              <w:t>VS</w:t>
            </w:r>
            <w:r>
              <w:rPr>
                <w:rFonts w:ascii="Times New Roman" w:cs="Times New Roman" w:eastAsia="Times New Roman" w:hAnsi="Times New Roman"/>
                <w:sz w:val="10"/>
                <w:szCs w:val="10"/>
                <w:color w:val="auto"/>
              </w:rPr>
              <w:t xml:space="preserve"> 2022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4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2024*</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2023</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2022</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ind w:right="49"/>
              <w:spacing w:after="0"/>
              <w:rPr>
                <w:sz w:val="20"/>
                <w:szCs w:val="20"/>
                <w:color w:val="auto"/>
              </w:rPr>
            </w:pPr>
            <w:r>
              <w:rPr>
                <w:rFonts w:ascii="Times New Roman" w:cs="Times New Roman" w:eastAsia="Times New Roman" w:hAnsi="Times New Roman"/>
                <w:sz w:val="10"/>
                <w:szCs w:val="10"/>
                <w:color w:val="auto"/>
              </w:rPr>
              <w:t>Dollars</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Percent</w:t>
            </w:r>
          </w:p>
        </w:tc>
        <w:tc>
          <w:tcPr>
            <w:tcW w:w="4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Dollars</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Percent</w:t>
            </w:r>
          </w:p>
        </w:tc>
        <w:tc>
          <w:tcPr>
            <w:tcW w:w="0" w:type="dxa"/>
            <w:vAlign w:val="bottom"/>
          </w:tcPr>
          <w:p>
            <w:pPr>
              <w:spacing w:after="0"/>
              <w:rPr>
                <w:sz w:val="1"/>
                <w:szCs w:val="1"/>
                <w:color w:val="auto"/>
              </w:rPr>
            </w:pPr>
          </w:p>
        </w:tc>
      </w:tr>
      <w:tr>
        <w:trPr>
          <w:trHeight w:val="255"/>
        </w:trPr>
        <w:tc>
          <w:tcPr>
            <w:tcW w:w="1480" w:type="dxa"/>
            <w:vAlign w:val="bottom"/>
          </w:tcPr>
          <w:p>
            <w:pPr>
              <w:spacing w:after="0"/>
              <w:rPr>
                <w:sz w:val="20"/>
                <w:szCs w:val="20"/>
                <w:color w:val="auto"/>
              </w:rPr>
            </w:pPr>
            <w:r>
              <w:rPr>
                <w:rFonts w:ascii="Times New Roman" w:cs="Times New Roman" w:eastAsia="Times New Roman" w:hAnsi="Times New Roman"/>
                <w:sz w:val="10"/>
                <w:szCs w:val="10"/>
                <w:color w:val="auto"/>
              </w:rPr>
              <w:t>Net sales of furniture and</w:t>
            </w:r>
          </w:p>
        </w:tc>
        <w:tc>
          <w:tcPr>
            <w:tcW w:w="580" w:type="dxa"/>
            <w:vAlign w:val="bottom"/>
            <w:tcBorders>
              <w:top w:val="single" w:sz="8" w:color="242020"/>
            </w:tcBorders>
          </w:tcPr>
          <w:p>
            <w:pPr>
              <w:spacing w:after="0"/>
              <w:rPr>
                <w:sz w:val="22"/>
                <w:szCs w:val="22"/>
                <w:color w:val="auto"/>
              </w:rPr>
            </w:pPr>
          </w:p>
        </w:tc>
        <w:tc>
          <w:tcPr>
            <w:tcW w:w="240" w:type="dxa"/>
            <w:vAlign w:val="bottom"/>
            <w:tcBorders>
              <w:top w:val="single" w:sz="8" w:color="242020"/>
            </w:tcBorders>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Borders>
              <w:top w:val="single" w:sz="8" w:color="201C20"/>
            </w:tcBorders>
          </w:tcPr>
          <w:p>
            <w:pPr>
              <w:spacing w:after="0"/>
              <w:rPr>
                <w:sz w:val="22"/>
                <w:szCs w:val="22"/>
                <w:color w:val="auto"/>
              </w:rPr>
            </w:pPr>
          </w:p>
        </w:tc>
        <w:tc>
          <w:tcPr>
            <w:tcW w:w="500" w:type="dxa"/>
            <w:vAlign w:val="bottom"/>
            <w:tcBorders>
              <w:top w:val="single" w:sz="8" w:color="201C20"/>
            </w:tcBorders>
          </w:tcPr>
          <w:p>
            <w:pPr>
              <w:spacing w:after="0"/>
              <w:rPr>
                <w:sz w:val="22"/>
                <w:szCs w:val="22"/>
                <w:color w:val="auto"/>
              </w:rPr>
            </w:pPr>
          </w:p>
        </w:tc>
        <w:tc>
          <w:tcPr>
            <w:tcW w:w="260" w:type="dxa"/>
            <w:vAlign w:val="bottom"/>
            <w:tcBorders>
              <w:top w:val="single" w:sz="8" w:color="201C20"/>
            </w:tcBorders>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Borders>
              <w:top w:val="single" w:sz="8" w:color="201C20"/>
            </w:tcBorders>
          </w:tcPr>
          <w:p>
            <w:pPr>
              <w:spacing w:after="0"/>
              <w:rPr>
                <w:sz w:val="22"/>
                <w:szCs w:val="22"/>
                <w:color w:val="auto"/>
              </w:rPr>
            </w:pPr>
          </w:p>
        </w:tc>
        <w:tc>
          <w:tcPr>
            <w:tcW w:w="480" w:type="dxa"/>
            <w:vAlign w:val="bottom"/>
            <w:tcBorders>
              <w:top w:val="single" w:sz="8" w:color="201C20"/>
            </w:tcBorders>
          </w:tcPr>
          <w:p>
            <w:pPr>
              <w:spacing w:after="0"/>
              <w:rPr>
                <w:sz w:val="22"/>
                <w:szCs w:val="22"/>
                <w:color w:val="auto"/>
              </w:rPr>
            </w:pPr>
          </w:p>
        </w:tc>
        <w:tc>
          <w:tcPr>
            <w:tcW w:w="280" w:type="dxa"/>
            <w:vAlign w:val="bottom"/>
            <w:tcBorders>
              <w:top w:val="single" w:sz="8" w:color="201C20"/>
            </w:tcBorders>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Borders>
              <w:top w:val="single" w:sz="8" w:color="201C20"/>
            </w:tcBorders>
          </w:tcPr>
          <w:p>
            <w:pPr>
              <w:spacing w:after="0"/>
              <w:rPr>
                <w:sz w:val="22"/>
                <w:szCs w:val="22"/>
                <w:color w:val="auto"/>
              </w:rPr>
            </w:pPr>
          </w:p>
        </w:tc>
        <w:tc>
          <w:tcPr>
            <w:tcW w:w="400" w:type="dxa"/>
            <w:vAlign w:val="bottom"/>
            <w:tcBorders>
              <w:top w:val="single" w:sz="8" w:color="201C20"/>
            </w:tcBorders>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Borders>
              <w:top w:val="single" w:sz="8" w:color="201C20"/>
            </w:tcBorders>
          </w:tcPr>
          <w:p>
            <w:pPr>
              <w:spacing w:after="0"/>
              <w:rPr>
                <w:sz w:val="22"/>
                <w:szCs w:val="22"/>
                <w:color w:val="auto"/>
              </w:rPr>
            </w:pPr>
          </w:p>
        </w:tc>
        <w:tc>
          <w:tcPr>
            <w:tcW w:w="400" w:type="dxa"/>
            <w:vAlign w:val="bottom"/>
            <w:tcBorders>
              <w:top w:val="single" w:sz="8" w:color="201C20"/>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accessories</w:t>
            </w:r>
          </w:p>
        </w:tc>
        <w:tc>
          <w:tcPr>
            <w:tcW w:w="58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$329,923</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100.0%</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390,136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100.0%</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w w:val="98"/>
              </w:rPr>
              <w:t>485,601</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$(60,2 13)</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-15.4 %</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$(95,465)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-19.7 %</w:t>
            </w:r>
          </w:p>
        </w:tc>
        <w:tc>
          <w:tcPr>
            <w:tcW w:w="0" w:type="dxa"/>
            <w:vAlign w:val="bottom"/>
          </w:tcPr>
          <w:p>
            <w:pPr>
              <w:spacing w:after="0"/>
              <w:rPr>
                <w:sz w:val="1"/>
                <w:szCs w:val="1"/>
                <w:color w:val="auto"/>
              </w:rPr>
            </w:pPr>
          </w:p>
        </w:tc>
      </w:tr>
      <w:tr>
        <w:trPr>
          <w:trHeight w:val="137"/>
        </w:trPr>
        <w:tc>
          <w:tcPr>
            <w:tcW w:w="1480" w:type="dxa"/>
            <w:vAlign w:val="bottom"/>
          </w:tcPr>
          <w:p>
            <w:pPr>
              <w:spacing w:after="0"/>
              <w:rPr>
                <w:sz w:val="20"/>
                <w:szCs w:val="20"/>
                <w:color w:val="auto"/>
              </w:rPr>
            </w:pPr>
            <w:r>
              <w:rPr>
                <w:rFonts w:ascii="Times New Roman" w:cs="Times New Roman" w:eastAsia="Times New Roman" w:hAnsi="Times New Roman"/>
                <w:sz w:val="10"/>
                <w:szCs w:val="10"/>
                <w:color w:val="auto"/>
              </w:rPr>
              <w:t>Cost of furniture and accessories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4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sold</w:t>
            </w:r>
          </w:p>
        </w:tc>
        <w:tc>
          <w:tcPr>
            <w:tcW w:w="58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150,508</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45.6%</w:t>
            </w:r>
          </w:p>
        </w:tc>
        <w:tc>
          <w:tcPr>
            <w:tcW w:w="60" w:type="dxa"/>
            <w:vAlign w:val="bottom"/>
          </w:tcPr>
          <w:p>
            <w:pPr>
              <w:spacing w:after="0"/>
              <w:rPr>
                <w:sz w:val="10"/>
                <w:szCs w:val="10"/>
                <w:color w:val="auto"/>
              </w:rPr>
            </w:pP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183,648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47.1%</w:t>
            </w:r>
          </w:p>
        </w:tc>
        <w:tc>
          <w:tcPr>
            <w:tcW w:w="60" w:type="dxa"/>
            <w:vAlign w:val="bottom"/>
          </w:tcPr>
          <w:p>
            <w:pPr>
              <w:spacing w:after="0"/>
              <w:rPr>
                <w:sz w:val="10"/>
                <w:szCs w:val="10"/>
                <w:color w:val="auto"/>
              </w:rPr>
            </w:pPr>
          </w:p>
        </w:tc>
        <w:tc>
          <w:tcPr>
            <w:tcW w:w="4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237,262</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48.9%</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(33,140)</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-18.0%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(53,614)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-22.6%</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80" w:type="dxa"/>
            <w:vAlign w:val="bottom"/>
            <w:shd w:val="clear" w:color="auto" w:fill="242020"/>
          </w:tcPr>
          <w:p>
            <w:pPr>
              <w:spacing w:after="0" w:line="20" w:lineRule="exact"/>
              <w:rPr>
                <w:sz w:val="1"/>
                <w:szCs w:val="1"/>
                <w:color w:val="auto"/>
              </w:rPr>
            </w:pPr>
          </w:p>
        </w:tc>
        <w:tc>
          <w:tcPr>
            <w:tcW w:w="240" w:type="dxa"/>
            <w:vAlign w:val="bottom"/>
            <w:shd w:val="clear" w:color="auto" w:fill="2420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201C20"/>
          </w:tcPr>
          <w:p>
            <w:pPr>
              <w:spacing w:after="0" w:line="20" w:lineRule="exact"/>
              <w:rPr>
                <w:sz w:val="1"/>
                <w:szCs w:val="1"/>
                <w:color w:val="auto"/>
              </w:rPr>
            </w:pPr>
          </w:p>
        </w:tc>
        <w:tc>
          <w:tcPr>
            <w:tcW w:w="500" w:type="dxa"/>
            <w:vAlign w:val="bottom"/>
            <w:shd w:val="clear" w:color="auto" w:fill="201C20"/>
          </w:tcPr>
          <w:p>
            <w:pPr>
              <w:spacing w:after="0" w:line="20" w:lineRule="exact"/>
              <w:rPr>
                <w:sz w:val="1"/>
                <w:szCs w:val="1"/>
                <w:color w:val="auto"/>
              </w:rPr>
            </w:pPr>
          </w:p>
        </w:tc>
        <w:tc>
          <w:tcPr>
            <w:tcW w:w="260" w:type="dxa"/>
            <w:vAlign w:val="bottom"/>
            <w:shd w:val="clear" w:color="auto" w:fill="201C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201C20"/>
          </w:tcPr>
          <w:p>
            <w:pPr>
              <w:spacing w:after="0" w:line="20" w:lineRule="exact"/>
              <w:rPr>
                <w:sz w:val="1"/>
                <w:szCs w:val="1"/>
                <w:color w:val="auto"/>
              </w:rPr>
            </w:pPr>
          </w:p>
        </w:tc>
        <w:tc>
          <w:tcPr>
            <w:tcW w:w="480" w:type="dxa"/>
            <w:vAlign w:val="bottom"/>
            <w:shd w:val="clear" w:color="auto" w:fill="201C20"/>
          </w:tcPr>
          <w:p>
            <w:pPr>
              <w:spacing w:after="0" w:line="20" w:lineRule="exact"/>
              <w:rPr>
                <w:sz w:val="1"/>
                <w:szCs w:val="1"/>
                <w:color w:val="auto"/>
              </w:rPr>
            </w:pPr>
          </w:p>
        </w:tc>
        <w:tc>
          <w:tcPr>
            <w:tcW w:w="280" w:type="dxa"/>
            <w:vAlign w:val="bottom"/>
            <w:shd w:val="clear" w:color="auto" w:fill="201C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201C20"/>
          </w:tcPr>
          <w:p>
            <w:pPr>
              <w:spacing w:after="0" w:line="20" w:lineRule="exact"/>
              <w:rPr>
                <w:sz w:val="1"/>
                <w:szCs w:val="1"/>
                <w:color w:val="auto"/>
              </w:rPr>
            </w:pPr>
          </w:p>
        </w:tc>
        <w:tc>
          <w:tcPr>
            <w:tcW w:w="400" w:type="dxa"/>
            <w:vAlign w:val="bottom"/>
            <w:shd w:val="clear" w:color="auto" w:fill="201C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201C20"/>
          </w:tcPr>
          <w:p>
            <w:pPr>
              <w:spacing w:after="0" w:line="20" w:lineRule="exact"/>
              <w:rPr>
                <w:sz w:val="1"/>
                <w:szCs w:val="1"/>
                <w:color w:val="auto"/>
              </w:rPr>
            </w:pPr>
          </w:p>
        </w:tc>
        <w:tc>
          <w:tcPr>
            <w:tcW w:w="400" w:type="dxa"/>
            <w:vAlign w:val="bottom"/>
            <w:shd w:val="clear" w:color="auto" w:fill="201C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480" w:type="dxa"/>
            <w:vAlign w:val="bottom"/>
          </w:tcPr>
          <w:p>
            <w:pPr>
              <w:ind w:left="120"/>
              <w:spacing w:after="0" w:line="109" w:lineRule="exact"/>
              <w:rPr>
                <w:sz w:val="20"/>
                <w:szCs w:val="20"/>
                <w:color w:val="auto"/>
              </w:rPr>
            </w:pPr>
            <w:r>
              <w:rPr>
                <w:rFonts w:ascii="Times New Roman" w:cs="Times New Roman" w:eastAsia="Times New Roman" w:hAnsi="Times New Roman"/>
                <w:sz w:val="10"/>
                <w:szCs w:val="10"/>
                <w:color w:val="auto"/>
              </w:rPr>
              <w:t>Gross profit</w:t>
            </w:r>
          </w:p>
        </w:tc>
        <w:tc>
          <w:tcPr>
            <w:tcW w:w="580" w:type="dxa"/>
            <w:vAlign w:val="bottom"/>
          </w:tcPr>
          <w:p>
            <w:pPr>
              <w:jc w:val="right"/>
              <w:ind w:right="109"/>
              <w:spacing w:after="0" w:line="112" w:lineRule="exact"/>
              <w:rPr>
                <w:sz w:val="20"/>
                <w:szCs w:val="20"/>
                <w:color w:val="auto"/>
              </w:rPr>
            </w:pPr>
            <w:r>
              <w:rPr>
                <w:rFonts w:ascii="Times New Roman" w:cs="Times New Roman" w:eastAsia="Times New Roman" w:hAnsi="Times New Roman"/>
                <w:sz w:val="10"/>
                <w:szCs w:val="10"/>
                <w:color w:val="auto"/>
              </w:rPr>
              <w:t>179,415</w:t>
            </w:r>
          </w:p>
        </w:tc>
        <w:tc>
          <w:tcPr>
            <w:tcW w:w="400" w:type="dxa"/>
            <w:vAlign w:val="bottom"/>
            <w:gridSpan w:val="2"/>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54.4%</w:t>
            </w:r>
          </w:p>
        </w:tc>
        <w:tc>
          <w:tcPr>
            <w:tcW w:w="60" w:type="dxa"/>
            <w:vAlign w:val="bottom"/>
          </w:tcPr>
          <w:p>
            <w:pPr>
              <w:spacing w:after="0"/>
              <w:rPr>
                <w:sz w:val="10"/>
                <w:szCs w:val="10"/>
                <w:color w:val="auto"/>
              </w:rPr>
            </w:pP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206,488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52.9%</w:t>
            </w:r>
          </w:p>
        </w:tc>
        <w:tc>
          <w:tcPr>
            <w:tcW w:w="60" w:type="dxa"/>
            <w:vAlign w:val="bottom"/>
          </w:tcPr>
          <w:p>
            <w:pPr>
              <w:spacing w:after="0"/>
              <w:rPr>
                <w:sz w:val="10"/>
                <w:szCs w:val="10"/>
                <w:color w:val="auto"/>
              </w:rPr>
            </w:pPr>
          </w:p>
        </w:tc>
        <w:tc>
          <w:tcPr>
            <w:tcW w:w="480" w:type="dxa"/>
            <w:vAlign w:val="bottom"/>
          </w:tcPr>
          <w:p>
            <w:pPr>
              <w:jc w:val="right"/>
              <w:ind w:right="69"/>
              <w:spacing w:after="0" w:line="112" w:lineRule="exact"/>
              <w:rPr>
                <w:sz w:val="20"/>
                <w:szCs w:val="20"/>
                <w:color w:val="auto"/>
              </w:rPr>
            </w:pPr>
            <w:r>
              <w:rPr>
                <w:rFonts w:ascii="Times New Roman" w:cs="Times New Roman" w:eastAsia="Times New Roman" w:hAnsi="Times New Roman"/>
                <w:sz w:val="10"/>
                <w:szCs w:val="10"/>
                <w:color w:val="auto"/>
              </w:rPr>
              <w:t>248,339</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5l.l%</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(27,073)</w:t>
            </w:r>
          </w:p>
        </w:tc>
        <w:tc>
          <w:tcPr>
            <w:tcW w:w="560" w:type="dxa"/>
            <w:vAlign w:val="bottom"/>
            <w:gridSpan w:val="2"/>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-13.1%</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(41 ,851)</w:t>
            </w:r>
          </w:p>
        </w:tc>
        <w:tc>
          <w:tcPr>
            <w:tcW w:w="480" w:type="dxa"/>
            <w:vAlign w:val="bottom"/>
            <w:gridSpan w:val="2"/>
          </w:tcPr>
          <w:p>
            <w:pPr>
              <w:jc w:val="right"/>
              <w:spacing w:after="0" w:line="112" w:lineRule="exact"/>
              <w:rPr>
                <w:sz w:val="20"/>
                <w:szCs w:val="20"/>
                <w:color w:val="auto"/>
              </w:rPr>
            </w:pPr>
            <w:r>
              <w:rPr>
                <w:rFonts w:ascii="Times New Roman" w:cs="Times New Roman" w:eastAsia="Times New Roman" w:hAnsi="Times New Roman"/>
                <w:sz w:val="10"/>
                <w:szCs w:val="10"/>
                <w:color w:val="auto"/>
              </w:rPr>
              <w:t>-16.9%</w:t>
            </w:r>
          </w:p>
        </w:tc>
        <w:tc>
          <w:tcPr>
            <w:tcW w:w="0" w:type="dxa"/>
            <w:vAlign w:val="bottom"/>
          </w:tcPr>
          <w:p>
            <w:pPr>
              <w:spacing w:after="0"/>
              <w:rPr>
                <w:sz w:val="1"/>
                <w:szCs w:val="1"/>
                <w:color w:val="auto"/>
              </w:rPr>
            </w:pPr>
          </w:p>
        </w:tc>
      </w:tr>
      <w:tr>
        <w:trPr>
          <w:trHeight w:val="274"/>
        </w:trPr>
        <w:tc>
          <w:tcPr>
            <w:tcW w:w="1480" w:type="dxa"/>
            <w:vAlign w:val="bottom"/>
          </w:tcPr>
          <w:p>
            <w:pPr>
              <w:spacing w:after="0"/>
              <w:rPr>
                <w:sz w:val="20"/>
                <w:szCs w:val="20"/>
                <w:color w:val="auto"/>
              </w:rPr>
            </w:pPr>
            <w:r>
              <w:rPr>
                <w:rFonts w:ascii="Times New Roman" w:cs="Times New Roman" w:eastAsia="Times New Roman" w:hAnsi="Times New Roman"/>
                <w:sz w:val="10"/>
                <w:szCs w:val="10"/>
                <w:color w:val="auto"/>
              </w:rPr>
              <w:t>SG&amp;A</w:t>
            </w:r>
          </w:p>
        </w:tc>
        <w:tc>
          <w:tcPr>
            <w:tcW w:w="58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187,527</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56.8%</w:t>
            </w:r>
          </w:p>
        </w:tc>
        <w:tc>
          <w:tcPr>
            <w:tcW w:w="60" w:type="dxa"/>
            <w:vAlign w:val="bottom"/>
          </w:tcPr>
          <w:p>
            <w:pPr>
              <w:spacing w:after="0"/>
              <w:rPr>
                <w:sz w:val="23"/>
                <w:szCs w:val="23"/>
                <w:color w:val="auto"/>
              </w:rPr>
            </w:pP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205,227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52.6%</w:t>
            </w:r>
          </w:p>
        </w:tc>
        <w:tc>
          <w:tcPr>
            <w:tcW w:w="60" w:type="dxa"/>
            <w:vAlign w:val="bottom"/>
          </w:tcPr>
          <w:p>
            <w:pPr>
              <w:spacing w:after="0"/>
              <w:rPr>
                <w:sz w:val="23"/>
                <w:szCs w:val="23"/>
                <w:color w:val="auto"/>
              </w:rPr>
            </w:pPr>
          </w:p>
        </w:tc>
        <w:tc>
          <w:tcPr>
            <w:tcW w:w="4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218,069</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44.9%</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(17,700)</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-8.6 %</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(12,842)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-5.9%</w:t>
            </w:r>
          </w:p>
        </w:tc>
        <w:tc>
          <w:tcPr>
            <w:tcW w:w="0" w:type="dxa"/>
            <w:vAlign w:val="bottom"/>
          </w:tcPr>
          <w:p>
            <w:pPr>
              <w:spacing w:after="0"/>
              <w:rPr>
                <w:sz w:val="1"/>
                <w:szCs w:val="1"/>
                <w:color w:val="auto"/>
              </w:rPr>
            </w:pPr>
          </w:p>
        </w:tc>
      </w:tr>
      <w:tr>
        <w:trPr>
          <w:trHeight w:val="143"/>
        </w:trPr>
        <w:tc>
          <w:tcPr>
            <w:tcW w:w="1480" w:type="dxa"/>
            <w:vAlign w:val="bottom"/>
          </w:tcPr>
          <w:p>
            <w:pPr>
              <w:spacing w:after="0"/>
              <w:rPr>
                <w:sz w:val="20"/>
                <w:szCs w:val="20"/>
                <w:color w:val="auto"/>
              </w:rPr>
            </w:pPr>
            <w:r>
              <w:rPr>
                <w:rFonts w:ascii="Times New Roman" w:cs="Times New Roman" w:eastAsia="Times New Roman" w:hAnsi="Times New Roman"/>
                <w:sz w:val="10"/>
                <w:szCs w:val="10"/>
                <w:color w:val="auto"/>
              </w:rPr>
              <w:t>Asset impaim1ent charges</w:t>
            </w:r>
          </w:p>
        </w:tc>
        <w:tc>
          <w:tcPr>
            <w:tcW w:w="58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5,515</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1.7%</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0.0%</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0.0%</w:t>
            </w: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5,515</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NM</w:t>
            </w:r>
          </w:p>
        </w:tc>
        <w:tc>
          <w:tcPr>
            <w:tcW w:w="4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NM</w:t>
            </w:r>
          </w:p>
        </w:tc>
        <w:tc>
          <w:tcPr>
            <w:tcW w:w="0" w:type="dxa"/>
            <w:vAlign w:val="bottom"/>
          </w:tcPr>
          <w:p>
            <w:pPr>
              <w:spacing w:after="0"/>
              <w:rPr>
                <w:sz w:val="1"/>
                <w:szCs w:val="1"/>
                <w:color w:val="auto"/>
              </w:rPr>
            </w:pPr>
          </w:p>
        </w:tc>
      </w:tr>
      <w:tr>
        <w:trPr>
          <w:trHeight w:val="139"/>
        </w:trPr>
        <w:tc>
          <w:tcPr>
            <w:tcW w:w="1480" w:type="dxa"/>
            <w:vAlign w:val="bottom"/>
          </w:tcPr>
          <w:p>
            <w:pPr>
              <w:spacing w:after="0"/>
              <w:rPr>
                <w:sz w:val="20"/>
                <w:szCs w:val="20"/>
                <w:color w:val="auto"/>
              </w:rPr>
            </w:pPr>
            <w:r>
              <w:rPr>
                <w:rFonts w:ascii="Times New Roman" w:cs="Times New Roman" w:eastAsia="Times New Roman" w:hAnsi="Times New Roman"/>
                <w:sz w:val="10"/>
                <w:szCs w:val="10"/>
                <w:color w:val="auto"/>
              </w:rPr>
              <w:t>Loss on contract abandonment</w:t>
            </w:r>
          </w:p>
        </w:tc>
        <w:tc>
          <w:tcPr>
            <w:tcW w:w="58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1,240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0.4 %</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0.0 %</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0.0 %</w:t>
            </w: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1,240</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NM</w:t>
            </w:r>
          </w:p>
        </w:tc>
        <w:tc>
          <w:tcPr>
            <w:tcW w:w="4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NM</w:t>
            </w:r>
          </w:p>
        </w:tc>
        <w:tc>
          <w:tcPr>
            <w:tcW w:w="0" w:type="dxa"/>
            <w:vAlign w:val="bottom"/>
          </w:tcPr>
          <w:p>
            <w:pPr>
              <w:spacing w:after="0"/>
              <w:rPr>
                <w:sz w:val="1"/>
                <w:szCs w:val="1"/>
                <w:color w:val="auto"/>
              </w:rPr>
            </w:pPr>
          </w:p>
        </w:tc>
      </w:tr>
      <w:tr>
        <w:trPr>
          <w:trHeight w:val="133"/>
        </w:trPr>
        <w:tc>
          <w:tcPr>
            <w:tcW w:w="1480" w:type="dxa"/>
            <w:vAlign w:val="bottom"/>
          </w:tcPr>
          <w:p>
            <w:pPr>
              <w:spacing w:after="0"/>
              <w:rPr>
                <w:sz w:val="20"/>
                <w:szCs w:val="20"/>
                <w:color w:val="auto"/>
              </w:rPr>
            </w:pPr>
            <w:r>
              <w:rPr>
                <w:rFonts w:ascii="Times New Roman" w:cs="Times New Roman" w:eastAsia="Times New Roman" w:hAnsi="Times New Roman"/>
                <w:sz w:val="10"/>
                <w:szCs w:val="10"/>
                <w:color w:val="auto"/>
              </w:rPr>
              <w:t>Loss upon realization of</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4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cumulative translation</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NM</w:t>
            </w:r>
          </w:p>
        </w:tc>
        <w:tc>
          <w:tcPr>
            <w:tcW w:w="480" w:type="dxa"/>
            <w:vAlign w:val="bottom"/>
          </w:tcPr>
          <w:p>
            <w:pPr>
              <w:spacing w:after="0"/>
              <w:rPr>
                <w:sz w:val="10"/>
                <w:szCs w:val="10"/>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NM</w:t>
            </w:r>
          </w:p>
        </w:tc>
        <w:tc>
          <w:tcPr>
            <w:tcW w:w="0" w:type="dxa"/>
            <w:vAlign w:val="bottom"/>
          </w:tcPr>
          <w:p>
            <w:pPr>
              <w:spacing w:after="0"/>
              <w:rPr>
                <w:sz w:val="1"/>
                <w:szCs w:val="1"/>
                <w:color w:val="auto"/>
              </w:rPr>
            </w:pPr>
          </w:p>
        </w:tc>
      </w:tr>
      <w:tr>
        <w:trPr>
          <w:trHeight w:val="126"/>
        </w:trPr>
        <w:tc>
          <w:tcPr>
            <w:tcW w:w="14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adjustment</w:t>
            </w:r>
          </w:p>
        </w:tc>
        <w:tc>
          <w:tcPr>
            <w:tcW w:w="58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962</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0.3%</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0.0%</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0.0%</w:t>
            </w: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962</w:t>
            </w:r>
          </w:p>
        </w:tc>
        <w:tc>
          <w:tcPr>
            <w:tcW w:w="56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480" w:type="dxa"/>
            <w:vAlign w:val="bottom"/>
          </w:tcPr>
          <w:p>
            <w:pPr>
              <w:spacing w:after="0"/>
              <w:rPr>
                <w:sz w:val="20"/>
                <w:szCs w:val="20"/>
                <w:color w:val="auto"/>
              </w:rPr>
            </w:pPr>
            <w:r>
              <w:rPr>
                <w:rFonts w:ascii="Times New Roman" w:cs="Times New Roman" w:eastAsia="Times New Roman" w:hAnsi="Times New Roman"/>
                <w:sz w:val="10"/>
                <w:szCs w:val="10"/>
                <w:color w:val="auto"/>
              </w:rPr>
              <w:t>Restructuring charges</w:t>
            </w:r>
          </w:p>
        </w:tc>
        <w:tc>
          <w:tcPr>
            <w:tcW w:w="58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440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0.1%</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0.0%</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0.0%</w:t>
            </w: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440</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NM</w:t>
            </w:r>
          </w:p>
        </w:tc>
        <w:tc>
          <w:tcPr>
            <w:tcW w:w="4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NM</w:t>
            </w:r>
          </w:p>
        </w:tc>
        <w:tc>
          <w:tcPr>
            <w:tcW w:w="0" w:type="dxa"/>
            <w:vAlign w:val="bottom"/>
          </w:tcPr>
          <w:p>
            <w:pPr>
              <w:spacing w:after="0"/>
              <w:rPr>
                <w:sz w:val="1"/>
                <w:szCs w:val="1"/>
                <w:color w:val="auto"/>
              </w:rPr>
            </w:pPr>
          </w:p>
        </w:tc>
      </w:tr>
      <w:tr>
        <w:trPr>
          <w:trHeight w:val="139"/>
        </w:trPr>
        <w:tc>
          <w:tcPr>
            <w:tcW w:w="1480" w:type="dxa"/>
            <w:vAlign w:val="bottom"/>
          </w:tcPr>
          <w:p>
            <w:pPr>
              <w:spacing w:after="0"/>
              <w:rPr>
                <w:sz w:val="20"/>
                <w:szCs w:val="20"/>
                <w:color w:val="auto"/>
              </w:rPr>
            </w:pPr>
            <w:r>
              <w:rPr>
                <w:rFonts w:ascii="Times New Roman" w:cs="Times New Roman" w:eastAsia="Times New Roman" w:hAnsi="Times New Roman"/>
                <w:sz w:val="10"/>
                <w:szCs w:val="10"/>
                <w:color w:val="auto"/>
              </w:rPr>
              <w:t>Goodwill impaim1ent charge</w:t>
            </w:r>
          </w:p>
        </w:tc>
        <w:tc>
          <w:tcPr>
            <w:tcW w:w="58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0.0 %</w:t>
            </w:r>
          </w:p>
        </w:tc>
        <w:tc>
          <w:tcPr>
            <w:tcW w:w="60" w:type="dxa"/>
            <w:vAlign w:val="bottom"/>
          </w:tcPr>
          <w:p>
            <w:pPr>
              <w:spacing w:after="0"/>
              <w:rPr>
                <w:sz w:val="12"/>
                <w:szCs w:val="12"/>
                <w:color w:val="auto"/>
              </w:rPr>
            </w:pP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5,409</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1.4%</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0.0 %</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(5,409)</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-100.0 %</w:t>
            </w: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5,409</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NM</w:t>
            </w:r>
          </w:p>
        </w:tc>
        <w:tc>
          <w:tcPr>
            <w:tcW w:w="0" w:type="dxa"/>
            <w:vAlign w:val="bottom"/>
          </w:tcPr>
          <w:p>
            <w:pPr>
              <w:spacing w:after="0"/>
              <w:rPr>
                <w:sz w:val="1"/>
                <w:szCs w:val="1"/>
                <w:color w:val="auto"/>
              </w:rPr>
            </w:pPr>
          </w:p>
        </w:tc>
      </w:tr>
      <w:tr>
        <w:trPr>
          <w:trHeight w:val="133"/>
        </w:trPr>
        <w:tc>
          <w:tcPr>
            <w:tcW w:w="1480" w:type="dxa"/>
            <w:vAlign w:val="bottom"/>
          </w:tcPr>
          <w:p>
            <w:pPr>
              <w:spacing w:after="0"/>
              <w:rPr>
                <w:sz w:val="20"/>
                <w:szCs w:val="20"/>
                <w:color w:val="auto"/>
              </w:rPr>
            </w:pPr>
            <w:r>
              <w:rPr>
                <w:rFonts w:ascii="Times New Roman" w:cs="Times New Roman" w:eastAsia="Times New Roman" w:hAnsi="Times New Roman"/>
                <w:sz w:val="10"/>
                <w:szCs w:val="10"/>
                <w:color w:val="auto"/>
              </w:rPr>
              <w:t>Gain on revaluation of cont ingent</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NM</w:t>
            </w:r>
          </w:p>
        </w:tc>
        <w:tc>
          <w:tcPr>
            <w:tcW w:w="0" w:type="dxa"/>
            <w:vAlign w:val="bottom"/>
          </w:tcPr>
          <w:p>
            <w:pPr>
              <w:spacing w:after="0"/>
              <w:rPr>
                <w:sz w:val="1"/>
                <w:szCs w:val="1"/>
                <w:color w:val="auto"/>
              </w:rPr>
            </w:pPr>
          </w:p>
        </w:tc>
      </w:tr>
      <w:tr>
        <w:trPr>
          <w:trHeight w:val="126"/>
        </w:trPr>
        <w:tc>
          <w:tcPr>
            <w:tcW w:w="14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consideration</w:t>
            </w:r>
          </w:p>
        </w:tc>
        <w:tc>
          <w:tcPr>
            <w:tcW w:w="580" w:type="dxa"/>
            <w:vAlign w:val="bottom"/>
          </w:tcPr>
          <w:p>
            <w:pPr>
              <w:spacing w:after="0"/>
              <w:rPr>
                <w:sz w:val="10"/>
                <w:szCs w:val="10"/>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0.0%</w:t>
            </w:r>
          </w:p>
        </w:tc>
        <w:tc>
          <w:tcPr>
            <w:tcW w:w="60" w:type="dxa"/>
            <w:vAlign w:val="bottom"/>
          </w:tcPr>
          <w:p>
            <w:pPr>
              <w:spacing w:after="0"/>
              <w:rPr>
                <w:sz w:val="10"/>
                <w:szCs w:val="10"/>
                <w:color w:val="auto"/>
              </w:rPr>
            </w:pP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1,0 13</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0.3%</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0.0%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(1,0 13)</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1,0 13</w:t>
            </w: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20"/>
                <w:szCs w:val="20"/>
                <w:color w:val="auto"/>
              </w:rPr>
            </w:pPr>
            <w:r>
              <w:rPr>
                <w:rFonts w:ascii="Times New Roman" w:cs="Times New Roman" w:eastAsia="Times New Roman" w:hAnsi="Times New Roman"/>
                <w:sz w:val="10"/>
                <w:szCs w:val="10"/>
                <w:color w:val="auto"/>
              </w:rPr>
              <w:t>Gain on sale of real estate</w:t>
            </w:r>
          </w:p>
        </w:tc>
        <w:tc>
          <w:tcPr>
            <w:tcW w:w="58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0.0%</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0.0%</w:t>
            </w:r>
          </w:p>
        </w:tc>
        <w:tc>
          <w:tcPr>
            <w:tcW w:w="60" w:type="dxa"/>
            <w:vAlign w:val="bottom"/>
          </w:tcPr>
          <w:p>
            <w:pPr>
              <w:spacing w:after="0"/>
              <w:rPr>
                <w:sz w:val="11"/>
                <w:szCs w:val="11"/>
                <w:color w:val="auto"/>
              </w:rPr>
            </w:pPr>
          </w:p>
        </w:tc>
        <w:tc>
          <w:tcPr>
            <w:tcW w:w="48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4,595</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0.9%</w:t>
            </w:r>
          </w:p>
        </w:tc>
        <w:tc>
          <w:tcPr>
            <w:tcW w:w="48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(4,595)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0" w:type="dxa"/>
            <w:vAlign w:val="bottom"/>
          </w:tcPr>
          <w:p>
            <w:pPr>
              <w:spacing w:after="0"/>
              <w:rPr>
                <w:sz w:val="1"/>
                <w:szCs w:val="1"/>
                <w:color w:val="auto"/>
              </w:rPr>
            </w:pPr>
          </w:p>
        </w:tc>
      </w:tr>
      <w:tr>
        <w:trPr>
          <w:trHeight w:val="112"/>
        </w:trPr>
        <w:tc>
          <w:tcPr>
            <w:tcW w:w="1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(loss) from continuing</w:t>
            </w:r>
          </w:p>
        </w:tc>
        <w:tc>
          <w:tcPr>
            <w:tcW w:w="580" w:type="dxa"/>
            <w:vAlign w:val="bottom"/>
            <w:tcBorders>
              <w:top w:val="single" w:sz="8" w:color="242020"/>
            </w:tcBorders>
          </w:tcPr>
          <w:p>
            <w:pPr>
              <w:spacing w:after="0"/>
              <w:rPr>
                <w:sz w:val="9"/>
                <w:szCs w:val="9"/>
                <w:color w:val="auto"/>
              </w:rPr>
            </w:pPr>
          </w:p>
        </w:tc>
        <w:tc>
          <w:tcPr>
            <w:tcW w:w="240" w:type="dxa"/>
            <w:vAlign w:val="bottom"/>
            <w:tcBorders>
              <w:top w:val="single" w:sz="8" w:color="24202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top w:val="single" w:sz="8" w:color="242020"/>
            </w:tcBorders>
          </w:tcPr>
          <w:p>
            <w:pPr>
              <w:spacing w:after="0"/>
              <w:rPr>
                <w:sz w:val="9"/>
                <w:szCs w:val="9"/>
                <w:color w:val="auto"/>
              </w:rPr>
            </w:pPr>
          </w:p>
        </w:tc>
        <w:tc>
          <w:tcPr>
            <w:tcW w:w="500" w:type="dxa"/>
            <w:vAlign w:val="bottom"/>
            <w:tcBorders>
              <w:top w:val="single" w:sz="8" w:color="242020"/>
            </w:tcBorders>
          </w:tcPr>
          <w:p>
            <w:pPr>
              <w:spacing w:after="0"/>
              <w:rPr>
                <w:sz w:val="9"/>
                <w:szCs w:val="9"/>
                <w:color w:val="auto"/>
              </w:rPr>
            </w:pPr>
          </w:p>
        </w:tc>
        <w:tc>
          <w:tcPr>
            <w:tcW w:w="260" w:type="dxa"/>
            <w:vAlign w:val="bottom"/>
            <w:tcBorders>
              <w:top w:val="single" w:sz="8" w:color="24202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top w:val="single" w:sz="8" w:color="201C20"/>
            </w:tcBorders>
          </w:tcPr>
          <w:p>
            <w:pPr>
              <w:spacing w:after="0"/>
              <w:rPr>
                <w:sz w:val="9"/>
                <w:szCs w:val="9"/>
                <w:color w:val="auto"/>
              </w:rPr>
            </w:pPr>
          </w:p>
        </w:tc>
        <w:tc>
          <w:tcPr>
            <w:tcW w:w="480" w:type="dxa"/>
            <w:vAlign w:val="bottom"/>
            <w:tcBorders>
              <w:top w:val="single" w:sz="8" w:color="201C20"/>
            </w:tcBorders>
          </w:tcPr>
          <w:p>
            <w:pPr>
              <w:spacing w:after="0"/>
              <w:rPr>
                <w:sz w:val="9"/>
                <w:szCs w:val="9"/>
                <w:color w:val="auto"/>
              </w:rPr>
            </w:pPr>
          </w:p>
        </w:tc>
        <w:tc>
          <w:tcPr>
            <w:tcW w:w="280" w:type="dxa"/>
            <w:vAlign w:val="bottom"/>
            <w:tcBorders>
              <w:top w:val="single" w:sz="8" w:color="201C20"/>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top w:val="single" w:sz="8" w:color="201C20"/>
            </w:tcBorders>
          </w:tcPr>
          <w:p>
            <w:pPr>
              <w:spacing w:after="0"/>
              <w:rPr>
                <w:sz w:val="9"/>
                <w:szCs w:val="9"/>
                <w:color w:val="auto"/>
              </w:rPr>
            </w:pPr>
          </w:p>
        </w:tc>
        <w:tc>
          <w:tcPr>
            <w:tcW w:w="400" w:type="dxa"/>
            <w:vAlign w:val="bottom"/>
            <w:tcBorders>
              <w:top w:val="single" w:sz="8" w:color="201C20"/>
            </w:tcBorders>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Borders>
              <w:top w:val="single" w:sz="8" w:color="201C20"/>
            </w:tcBorders>
          </w:tcPr>
          <w:p>
            <w:pPr>
              <w:spacing w:after="0"/>
              <w:rPr>
                <w:sz w:val="9"/>
                <w:szCs w:val="9"/>
                <w:color w:val="auto"/>
              </w:rPr>
            </w:pPr>
          </w:p>
        </w:tc>
        <w:tc>
          <w:tcPr>
            <w:tcW w:w="400" w:type="dxa"/>
            <w:vAlign w:val="bottom"/>
            <w:tcBorders>
              <w:top w:val="single" w:sz="8" w:color="201C20"/>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N/M</w:t>
            </w:r>
          </w:p>
        </w:tc>
        <w:tc>
          <w:tcPr>
            <w:tcW w:w="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80" w:type="dxa"/>
            <w:vAlign w:val="bottom"/>
          </w:tcPr>
          <w:p>
            <w:pPr>
              <w:ind w:left="40"/>
              <w:spacing w:after="0" w:line="112" w:lineRule="exact"/>
              <w:rPr>
                <w:sz w:val="20"/>
                <w:szCs w:val="20"/>
                <w:color w:val="auto"/>
              </w:rPr>
            </w:pPr>
            <w:r>
              <w:rPr>
                <w:rFonts w:ascii="Times New Roman" w:cs="Times New Roman" w:eastAsia="Times New Roman" w:hAnsi="Times New Roman"/>
                <w:sz w:val="10"/>
                <w:szCs w:val="10"/>
                <w:color w:val="auto"/>
              </w:rPr>
              <w:t>operations</w:t>
            </w:r>
          </w:p>
        </w:tc>
        <w:tc>
          <w:tcPr>
            <w:tcW w:w="580" w:type="dxa"/>
            <w:vAlign w:val="bottom"/>
          </w:tcPr>
          <w:p>
            <w:pPr>
              <w:jc w:val="right"/>
              <w:ind w:right="49"/>
              <w:spacing w:after="0" w:line="112" w:lineRule="exact"/>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0"/>
                <w:szCs w:val="10"/>
                <w:color w:val="auto"/>
              </w:rPr>
              <w:t>(16,269)</w:t>
            </w:r>
          </w:p>
        </w:tc>
        <w:tc>
          <w:tcPr>
            <w:tcW w:w="400" w:type="dxa"/>
            <w:vAlign w:val="bottom"/>
            <w:gridSpan w:val="2"/>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-2.4 %</w:t>
            </w:r>
          </w:p>
        </w:tc>
        <w:tc>
          <w:tcPr>
            <w:tcW w:w="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ind w:right="49"/>
              <w:spacing w:after="0" w:line="112" w:lineRule="exact"/>
              <w:rPr>
                <w:sz w:val="20"/>
                <w:szCs w:val="20"/>
                <w:color w:val="auto"/>
              </w:rPr>
            </w:pPr>
            <w:r>
              <w:rPr>
                <w:rFonts w:ascii="Times New Roman" w:cs="Times New Roman" w:eastAsia="Times New Roman" w:hAnsi="Times New Roman"/>
                <w:sz w:val="10"/>
                <w:szCs w:val="10"/>
                <w:color w:val="auto"/>
              </w:rPr>
              <w:t>(3,135)</w:t>
            </w:r>
          </w:p>
        </w:tc>
        <w:tc>
          <w:tcPr>
            <w:tcW w:w="420" w:type="dxa"/>
            <w:vAlign w:val="bottom"/>
            <w:gridSpan w:val="2"/>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-0.9 %</w:t>
            </w:r>
          </w:p>
        </w:tc>
        <w:tc>
          <w:tcPr>
            <w:tcW w:w="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ind w:right="69"/>
              <w:spacing w:after="0" w:line="112" w:lineRule="exact"/>
              <w:rPr>
                <w:sz w:val="20"/>
                <w:szCs w:val="20"/>
                <w:color w:val="auto"/>
              </w:rPr>
            </w:pPr>
            <w:r>
              <w:rPr>
                <w:rFonts w:ascii="Times New Roman" w:cs="Times New Roman" w:eastAsia="Times New Roman" w:hAnsi="Times New Roman"/>
                <w:sz w:val="10"/>
                <w:szCs w:val="10"/>
                <w:color w:val="auto"/>
              </w:rPr>
              <w:t>34,865</w:t>
            </w:r>
          </w:p>
        </w:tc>
        <w:tc>
          <w:tcPr>
            <w:tcW w:w="420" w:type="dxa"/>
            <w:vAlign w:val="bottom"/>
            <w:gridSpan w:val="2"/>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7.2%</w:t>
            </w:r>
          </w:p>
        </w:tc>
        <w:tc>
          <w:tcPr>
            <w:tcW w:w="4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$(13,134)</w:t>
            </w:r>
          </w:p>
        </w:tc>
        <w:tc>
          <w:tcPr>
            <w:tcW w:w="56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418.9%</w:t>
            </w:r>
          </w:p>
        </w:tc>
        <w:tc>
          <w:tcPr>
            <w:tcW w:w="4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$(38,000)</w:t>
            </w:r>
          </w:p>
        </w:tc>
        <w:tc>
          <w:tcPr>
            <w:tcW w:w="40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480" w:type="dxa"/>
            <w:vAlign w:val="bottom"/>
            <w:tcBorders>
              <w:right w:val="single" w:sz="8" w:color="242020"/>
            </w:tcBorders>
          </w:tcPr>
          <w:p>
            <w:pPr>
              <w:spacing w:after="0" w:line="20" w:lineRule="exact"/>
              <w:rPr>
                <w:sz w:val="1"/>
                <w:szCs w:val="1"/>
                <w:color w:val="auto"/>
              </w:rPr>
            </w:pPr>
          </w:p>
        </w:tc>
        <w:tc>
          <w:tcPr>
            <w:tcW w:w="580" w:type="dxa"/>
            <w:vAlign w:val="bottom"/>
            <w:shd w:val="clear" w:color="auto" w:fill="242020"/>
          </w:tcPr>
          <w:p>
            <w:pPr>
              <w:spacing w:after="0" w:line="20" w:lineRule="exact"/>
              <w:rPr>
                <w:sz w:val="1"/>
                <w:szCs w:val="1"/>
                <w:color w:val="auto"/>
              </w:rPr>
            </w:pPr>
          </w:p>
        </w:tc>
        <w:tc>
          <w:tcPr>
            <w:tcW w:w="240" w:type="dxa"/>
            <w:vAlign w:val="bottom"/>
            <w:shd w:val="clear" w:color="auto" w:fill="242020"/>
          </w:tcPr>
          <w:p>
            <w:pPr>
              <w:spacing w:after="0" w:line="20" w:lineRule="exact"/>
              <w:rPr>
                <w:sz w:val="1"/>
                <w:szCs w:val="1"/>
                <w:color w:val="auto"/>
              </w:rPr>
            </w:pPr>
          </w:p>
        </w:tc>
        <w:tc>
          <w:tcPr>
            <w:tcW w:w="160" w:type="dxa"/>
            <w:vAlign w:val="bottom"/>
            <w:tcBorders>
              <w:right w:val="single" w:sz="8" w:color="242020"/>
            </w:tcBorders>
          </w:tcPr>
          <w:p>
            <w:pPr>
              <w:spacing w:after="0" w:line="20" w:lineRule="exact"/>
              <w:rPr>
                <w:sz w:val="1"/>
                <w:szCs w:val="1"/>
                <w:color w:val="auto"/>
              </w:rPr>
            </w:pPr>
          </w:p>
        </w:tc>
        <w:tc>
          <w:tcPr>
            <w:tcW w:w="60" w:type="dxa"/>
            <w:vAlign w:val="bottom"/>
            <w:shd w:val="clear" w:color="auto" w:fill="242020"/>
          </w:tcPr>
          <w:p>
            <w:pPr>
              <w:spacing w:after="0" w:line="20" w:lineRule="exact"/>
              <w:rPr>
                <w:sz w:val="1"/>
                <w:szCs w:val="1"/>
                <w:color w:val="auto"/>
              </w:rPr>
            </w:pPr>
          </w:p>
        </w:tc>
        <w:tc>
          <w:tcPr>
            <w:tcW w:w="500" w:type="dxa"/>
            <w:vAlign w:val="bottom"/>
            <w:shd w:val="clear" w:color="auto" w:fill="242020"/>
          </w:tcPr>
          <w:p>
            <w:pPr>
              <w:spacing w:after="0" w:line="20" w:lineRule="exact"/>
              <w:rPr>
                <w:sz w:val="1"/>
                <w:szCs w:val="1"/>
                <w:color w:val="auto"/>
              </w:rPr>
            </w:pPr>
          </w:p>
        </w:tc>
        <w:tc>
          <w:tcPr>
            <w:tcW w:w="260" w:type="dxa"/>
            <w:vAlign w:val="bottom"/>
            <w:shd w:val="clear" w:color="auto" w:fill="242020"/>
          </w:tcPr>
          <w:p>
            <w:pPr>
              <w:spacing w:after="0" w:line="20" w:lineRule="exact"/>
              <w:rPr>
                <w:sz w:val="1"/>
                <w:szCs w:val="1"/>
                <w:color w:val="auto"/>
              </w:rPr>
            </w:pPr>
          </w:p>
        </w:tc>
        <w:tc>
          <w:tcPr>
            <w:tcW w:w="160" w:type="dxa"/>
            <w:vAlign w:val="bottom"/>
            <w:tcBorders>
              <w:left w:val="single" w:sz="8" w:color="242020"/>
              <w:right w:val="single" w:sz="8" w:color="242020"/>
            </w:tcBorders>
          </w:tcPr>
          <w:p>
            <w:pPr>
              <w:spacing w:after="0" w:line="20" w:lineRule="exact"/>
              <w:rPr>
                <w:sz w:val="1"/>
                <w:szCs w:val="1"/>
                <w:color w:val="auto"/>
              </w:rPr>
            </w:pPr>
          </w:p>
        </w:tc>
        <w:tc>
          <w:tcPr>
            <w:tcW w:w="60" w:type="dxa"/>
            <w:vAlign w:val="bottom"/>
            <w:shd w:val="clear" w:color="auto" w:fill="242020"/>
          </w:tcPr>
          <w:p>
            <w:pPr>
              <w:spacing w:after="0" w:line="20" w:lineRule="exact"/>
              <w:rPr>
                <w:sz w:val="1"/>
                <w:szCs w:val="1"/>
                <w:color w:val="auto"/>
              </w:rPr>
            </w:pPr>
          </w:p>
        </w:tc>
        <w:tc>
          <w:tcPr>
            <w:tcW w:w="480" w:type="dxa"/>
            <w:vAlign w:val="bottom"/>
            <w:shd w:val="clear" w:color="auto" w:fill="242020"/>
          </w:tcPr>
          <w:p>
            <w:pPr>
              <w:spacing w:after="0" w:line="20" w:lineRule="exact"/>
              <w:rPr>
                <w:sz w:val="1"/>
                <w:szCs w:val="1"/>
                <w:color w:val="auto"/>
              </w:rPr>
            </w:pPr>
          </w:p>
        </w:tc>
        <w:tc>
          <w:tcPr>
            <w:tcW w:w="280" w:type="dxa"/>
            <w:vAlign w:val="bottom"/>
            <w:shd w:val="clear" w:color="auto" w:fill="242020"/>
          </w:tcPr>
          <w:p>
            <w:pPr>
              <w:spacing w:after="0" w:line="20" w:lineRule="exact"/>
              <w:rPr>
                <w:sz w:val="1"/>
                <w:szCs w:val="1"/>
                <w:color w:val="auto"/>
              </w:rPr>
            </w:pPr>
          </w:p>
        </w:tc>
        <w:tc>
          <w:tcPr>
            <w:tcW w:w="140" w:type="dxa"/>
            <w:vAlign w:val="bottom"/>
            <w:tcBorders>
              <w:left w:val="single" w:sz="8" w:color="242020"/>
              <w:right w:val="single" w:sz="8" w:color="201C20"/>
            </w:tcBorders>
          </w:tcPr>
          <w:p>
            <w:pPr>
              <w:spacing w:after="0" w:line="20" w:lineRule="exact"/>
              <w:rPr>
                <w:sz w:val="1"/>
                <w:szCs w:val="1"/>
                <w:color w:val="auto"/>
              </w:rPr>
            </w:pPr>
          </w:p>
        </w:tc>
        <w:tc>
          <w:tcPr>
            <w:tcW w:w="480" w:type="dxa"/>
            <w:vAlign w:val="bottom"/>
            <w:shd w:val="clear" w:color="auto" w:fill="201C20"/>
          </w:tcPr>
          <w:p>
            <w:pPr>
              <w:spacing w:after="0" w:line="20" w:lineRule="exact"/>
              <w:rPr>
                <w:sz w:val="1"/>
                <w:szCs w:val="1"/>
                <w:color w:val="auto"/>
              </w:rPr>
            </w:pPr>
          </w:p>
        </w:tc>
        <w:tc>
          <w:tcPr>
            <w:tcW w:w="400" w:type="dxa"/>
            <w:vAlign w:val="bottom"/>
            <w:shd w:val="clear" w:color="auto" w:fill="201C20"/>
          </w:tcPr>
          <w:p>
            <w:pPr>
              <w:spacing w:after="0" w:line="20" w:lineRule="exact"/>
              <w:rPr>
                <w:sz w:val="1"/>
                <w:szCs w:val="1"/>
                <w:color w:val="auto"/>
              </w:rPr>
            </w:pPr>
          </w:p>
        </w:tc>
        <w:tc>
          <w:tcPr>
            <w:tcW w:w="160" w:type="dxa"/>
            <w:vAlign w:val="bottom"/>
            <w:tcBorders>
              <w:left w:val="single" w:sz="8" w:color="201C20"/>
              <w:right w:val="single" w:sz="8" w:color="242020"/>
            </w:tcBorders>
          </w:tcPr>
          <w:p>
            <w:pPr>
              <w:spacing w:after="0" w:line="20" w:lineRule="exact"/>
              <w:rPr>
                <w:sz w:val="1"/>
                <w:szCs w:val="1"/>
                <w:color w:val="auto"/>
              </w:rPr>
            </w:pPr>
          </w:p>
        </w:tc>
        <w:tc>
          <w:tcPr>
            <w:tcW w:w="480" w:type="dxa"/>
            <w:vAlign w:val="bottom"/>
            <w:tcBorders>
              <w:top w:val="single" w:sz="8" w:color="242020"/>
            </w:tcBorders>
            <w:shd w:val="clear" w:color="auto" w:fill="242020"/>
          </w:tcPr>
          <w:p>
            <w:pPr>
              <w:spacing w:after="0" w:line="20" w:lineRule="exact"/>
              <w:rPr>
                <w:sz w:val="1"/>
                <w:szCs w:val="1"/>
                <w:color w:val="auto"/>
              </w:rPr>
            </w:pPr>
          </w:p>
        </w:tc>
        <w:tc>
          <w:tcPr>
            <w:tcW w:w="400" w:type="dxa"/>
            <w:vAlign w:val="bottom"/>
            <w:tcBorders>
              <w:top w:val="single" w:sz="8" w:color="242020"/>
            </w:tcBorders>
            <w:shd w:val="clear" w:color="auto" w:fill="242020"/>
          </w:tcPr>
          <w:p>
            <w:pPr>
              <w:spacing w:after="0" w:line="20" w:lineRule="exact"/>
              <w:rPr>
                <w:sz w:val="1"/>
                <w:szCs w:val="1"/>
                <w:color w:val="auto"/>
              </w:rPr>
            </w:pPr>
          </w:p>
        </w:tc>
        <w:tc>
          <w:tcPr>
            <w:tcW w:w="80" w:type="dxa"/>
            <w:vAlign w:val="bottom"/>
            <w:tcBorders>
              <w:left w:val="single" w:sz="8" w:color="2420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*53 weeks for fiscal2024 as compared with 52 weeks for fiscal2023 and 2022 .</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consolidated net sales by segment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585454"/>
            </w:tcBorders>
          </w:tcPr>
          <w:p>
            <w:pPr>
              <w:spacing w:after="0"/>
              <w:rPr>
                <w:sz w:val="12"/>
                <w:szCs w:val="12"/>
                <w:color w:val="auto"/>
              </w:rPr>
            </w:pPr>
          </w:p>
        </w:tc>
        <w:tc>
          <w:tcPr>
            <w:tcW w:w="1320" w:type="dxa"/>
            <w:vAlign w:val="bottom"/>
            <w:tcBorders>
              <w:bottom w:val="single" w:sz="8" w:color="585454"/>
            </w:tcBorders>
            <w:gridSpan w:val="4"/>
          </w:tcPr>
          <w:p>
            <w:pPr>
              <w:jc w:val="right"/>
              <w:ind w:right="58"/>
              <w:spacing w:after="0"/>
              <w:rPr>
                <w:sz w:val="20"/>
                <w:szCs w:val="20"/>
                <w:color w:val="auto"/>
              </w:rPr>
            </w:pPr>
            <w:r>
              <w:rPr>
                <w:rFonts w:ascii="Times New Roman" w:cs="Times New Roman" w:eastAsia="Times New Roman" w:hAnsi="Times New Roman"/>
                <w:sz w:val="12"/>
                <w:szCs w:val="12"/>
                <w:color w:val="auto"/>
              </w:rPr>
              <w:t>Comparative Chan2e</w:t>
            </w:r>
          </w:p>
        </w:tc>
        <w:tc>
          <w:tcPr>
            <w:tcW w:w="500" w:type="dxa"/>
            <w:vAlign w:val="bottom"/>
            <w:tcBorders>
              <w:bottom w:val="single" w:sz="8" w:color="585454"/>
            </w:tcBorders>
          </w:tcPr>
          <w:p>
            <w:pPr>
              <w:spacing w:after="0"/>
              <w:rPr>
                <w:sz w:val="12"/>
                <w:szCs w:val="12"/>
                <w:color w:val="auto"/>
              </w:rPr>
            </w:pPr>
          </w:p>
        </w:tc>
        <w:tc>
          <w:tcPr>
            <w:tcW w:w="120" w:type="dxa"/>
            <w:vAlign w:val="bottom"/>
          </w:tcPr>
          <w:p>
            <w:pPr>
              <w:spacing w:after="0"/>
              <w:rPr>
                <w:sz w:val="12"/>
                <w:szCs w:val="12"/>
                <w:color w:val="auto"/>
              </w:rPr>
            </w:pPr>
          </w:p>
        </w:tc>
      </w:tr>
      <w:tr>
        <w:trPr>
          <w:trHeight w:val="140"/>
        </w:trPr>
        <w:tc>
          <w:tcPr>
            <w:tcW w:w="1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2023 vs 2022</w:t>
            </w:r>
          </w:p>
        </w:tc>
        <w:tc>
          <w:tcPr>
            <w:tcW w:w="20" w:type="dxa"/>
            <w:vAlign w:val="bottom"/>
          </w:tcPr>
          <w:p>
            <w:pPr>
              <w:spacing w:after="0"/>
              <w:rPr>
                <w:sz w:val="12"/>
                <w:szCs w:val="12"/>
                <w:color w:val="auto"/>
              </w:rPr>
            </w:pP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2022 vs 2021</w:t>
            </w:r>
          </w:p>
        </w:tc>
      </w:tr>
      <w:tr>
        <w:trPr>
          <w:trHeight w:val="158"/>
        </w:trPr>
        <w:tc>
          <w:tcPr>
            <w:tcW w:w="1880" w:type="dxa"/>
            <w:vAlign w:val="bottom"/>
          </w:tcPr>
          <w:p>
            <w:pPr>
              <w:spacing w:after="0"/>
              <w:rPr>
                <w:sz w:val="13"/>
                <w:szCs w:val="13"/>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2024*</w:t>
            </w:r>
          </w:p>
        </w:tc>
        <w:tc>
          <w:tcPr>
            <w:tcW w:w="640" w:type="dxa"/>
            <w:vAlign w:val="bottom"/>
          </w:tcPr>
          <w:p>
            <w:pPr>
              <w:jc w:val="right"/>
              <w:ind w:right="158"/>
              <w:spacing w:after="0"/>
              <w:rPr>
                <w:sz w:val="20"/>
                <w:szCs w:val="20"/>
                <w:color w:val="auto"/>
              </w:rPr>
            </w:pPr>
            <w:r>
              <w:rPr>
                <w:rFonts w:ascii="Times New Roman" w:cs="Times New Roman" w:eastAsia="Times New Roman" w:hAnsi="Times New Roman"/>
                <w:sz w:val="12"/>
                <w:szCs w:val="12"/>
                <w:color w:val="auto"/>
              </w:rPr>
              <w:t>2023</w:t>
            </w: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rPr>
              <w:t>2022</w:t>
            </w:r>
          </w:p>
        </w:tc>
        <w:tc>
          <w:tcPr>
            <w:tcW w:w="20" w:type="dxa"/>
            <w:vAlign w:val="bottom"/>
          </w:tcPr>
          <w:p>
            <w:pPr>
              <w:spacing w:after="0"/>
              <w:rPr>
                <w:sz w:val="13"/>
                <w:szCs w:val="13"/>
                <w:color w:val="auto"/>
              </w:rPr>
            </w:pP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Dollars</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rercem</w:t>
            </w:r>
          </w:p>
        </w:tc>
        <w:tc>
          <w:tcPr>
            <w:tcW w:w="20" w:type="dxa"/>
            <w:vAlign w:val="bottom"/>
          </w:tcPr>
          <w:p>
            <w:pPr>
              <w:spacing w:after="0"/>
              <w:rPr>
                <w:sz w:val="13"/>
                <w:szCs w:val="13"/>
                <w:color w:val="auto"/>
              </w:rPr>
            </w:pPr>
          </w:p>
        </w:tc>
        <w:tc>
          <w:tcPr>
            <w:tcW w:w="6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uouars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Percent</w:t>
            </w:r>
          </w:p>
        </w:tc>
      </w:tr>
      <w:tr>
        <w:trPr>
          <w:trHeight w:val="168"/>
        </w:trPr>
        <w:tc>
          <w:tcPr>
            <w:tcW w:w="1880" w:type="dxa"/>
            <w:vAlign w:val="bottom"/>
          </w:tcPr>
          <w:p>
            <w:pPr>
              <w:spacing w:after="0"/>
              <w:rPr>
                <w:sz w:val="20"/>
                <w:szCs w:val="20"/>
                <w:color w:val="auto"/>
              </w:rPr>
            </w:pPr>
            <w:r>
              <w:rPr>
                <w:rFonts w:ascii="Times New Roman" w:cs="Times New Roman" w:eastAsia="Times New Roman" w:hAnsi="Times New Roman"/>
                <w:sz w:val="12"/>
                <w:szCs w:val="12"/>
                <w:color w:val="auto"/>
              </w:rPr>
              <w:t>Sales Reven ue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Wholesale sales of furniture and</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1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accessories</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$207,462</w:t>
            </w:r>
          </w:p>
        </w:tc>
        <w:tc>
          <w:tcPr>
            <w:tcW w:w="64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$ 248,9 11</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$ 324,569</w:t>
            </w:r>
          </w:p>
        </w:tc>
        <w:tc>
          <w:tcPr>
            <w:tcW w:w="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(41 ,449)</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-16. 7%</w:t>
            </w:r>
          </w:p>
        </w:tc>
        <w:tc>
          <w:tcPr>
            <w:tcW w:w="640" w:type="dxa"/>
            <w:vAlign w:val="bottom"/>
            <w:gridSpan w:val="2"/>
          </w:tcPr>
          <w:p>
            <w:pPr>
              <w:jc w:val="right"/>
              <w:ind w:right="18"/>
              <w:spacing w:after="0"/>
              <w:rPr>
                <w:sz w:val="20"/>
                <w:szCs w:val="20"/>
                <w:color w:val="auto"/>
              </w:rPr>
            </w:pPr>
            <w:r>
              <w:rPr>
                <w:rFonts w:ascii="Times New Roman" w:cs="Times New Roman" w:eastAsia="Times New Roman" w:hAnsi="Times New Roman"/>
                <w:sz w:val="12"/>
                <w:szCs w:val="12"/>
                <w:color w:val="auto"/>
              </w:rPr>
              <w:t>$ (75,658)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-23.3%</w:t>
            </w:r>
          </w:p>
        </w:tc>
      </w:tr>
      <w:tr>
        <w:trPr>
          <w:trHeight w:val="151"/>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Less: Sales to retail segment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(87,021)</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(103,5 19)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(125 ,889)</w:t>
            </w:r>
          </w:p>
        </w:tc>
        <w:tc>
          <w:tcPr>
            <w:tcW w:w="20" w:type="dxa"/>
            <w:vAlign w:val="bottom"/>
          </w:tcPr>
          <w:p>
            <w:pPr>
              <w:spacing w:after="0"/>
              <w:rPr>
                <w:sz w:val="13"/>
                <w:szCs w:val="13"/>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9"/>
                <w:szCs w:val="9"/>
                <w:color w:val="auto"/>
              </w:rPr>
              <w:t xml:space="preserve">~    </w:t>
            </w:r>
            <w:r>
              <w:rPr>
                <w:rFonts w:ascii="Times New Roman" w:cs="Times New Roman" w:eastAsia="Times New Roman" w:hAnsi="Times New Roman"/>
                <w:sz w:val="12"/>
                <w:szCs w:val="12"/>
                <w:color w:val="auto"/>
              </w:rPr>
              <w:t>-1 5.9%</w:t>
            </w:r>
          </w:p>
        </w:tc>
        <w:tc>
          <w:tcPr>
            <w:tcW w:w="64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22,370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-1 7.8%</w:t>
            </w:r>
          </w:p>
        </w:tc>
      </w:tr>
      <w:tr>
        <w:trPr>
          <w:trHeight w:val="146"/>
        </w:trPr>
        <w:tc>
          <w:tcPr>
            <w:tcW w:w="1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Wholesale sales to external</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3C383C"/>
            </w:tcBorders>
          </w:tcPr>
          <w:p>
            <w:pPr>
              <w:spacing w:after="0"/>
              <w:rPr>
                <w:sz w:val="12"/>
                <w:szCs w:val="12"/>
                <w:color w:val="auto"/>
              </w:rPr>
            </w:pPr>
          </w:p>
        </w:tc>
        <w:tc>
          <w:tcPr>
            <w:tcW w:w="500" w:type="dxa"/>
            <w:vAlign w:val="bottom"/>
            <w:tcBorders>
              <w:top w:val="single" w:sz="8" w:color="3C383C"/>
            </w:tcBorders>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18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customers</w:t>
            </w:r>
          </w:p>
        </w:tc>
        <w:tc>
          <w:tcPr>
            <w:tcW w:w="7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120,44 1</w:t>
            </w:r>
          </w:p>
        </w:tc>
        <w:tc>
          <w:tcPr>
            <w:tcW w:w="64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14 5,392</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198,680</w:t>
            </w:r>
          </w:p>
        </w:tc>
        <w:tc>
          <w:tcPr>
            <w:tcW w:w="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(24,951)</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-1 7.2%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(53 ,288)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-26.8%</w:t>
            </w:r>
          </w:p>
        </w:tc>
      </w:tr>
      <w:tr>
        <w:trPr>
          <w:trHeight w:val="149"/>
        </w:trPr>
        <w:tc>
          <w:tcPr>
            <w:tcW w:w="1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Retail sales of furniture and</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1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accessories</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204,563</w:t>
            </w:r>
          </w:p>
        </w:tc>
        <w:tc>
          <w:tcPr>
            <w:tcW w:w="64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235,940</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285, 11 9</w:t>
            </w:r>
          </w:p>
        </w:tc>
        <w:tc>
          <w:tcPr>
            <w:tcW w:w="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(31 ,377)</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-1 3.3%</w:t>
            </w:r>
          </w:p>
        </w:tc>
        <w:tc>
          <w:tcPr>
            <w:tcW w:w="640" w:type="dxa"/>
            <w:vAlign w:val="bottom"/>
            <w:gridSpan w:val="2"/>
          </w:tcPr>
          <w:p>
            <w:pPr>
              <w:jc w:val="right"/>
              <w:ind w:right="18"/>
              <w:spacing w:after="0"/>
              <w:rPr>
                <w:sz w:val="20"/>
                <w:szCs w:val="20"/>
                <w:color w:val="auto"/>
              </w:rPr>
            </w:pPr>
            <w:r>
              <w:rPr>
                <w:rFonts w:ascii="Times New Roman" w:cs="Times New Roman" w:eastAsia="Times New Roman" w:hAnsi="Times New Roman"/>
                <w:sz w:val="12"/>
                <w:szCs w:val="12"/>
                <w:color w:val="auto"/>
              </w:rPr>
              <w:t>(49, 179)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-1 7.2%</w:t>
            </w:r>
          </w:p>
        </w:tc>
      </w:tr>
      <w:tr>
        <w:trPr>
          <w:trHeight w:val="180"/>
        </w:trPr>
        <w:tc>
          <w:tcPr>
            <w:tcW w:w="1880" w:type="dxa"/>
            <w:vAlign w:val="bottom"/>
          </w:tcPr>
          <w:p>
            <w:pPr>
              <w:spacing w:after="0"/>
              <w:rPr>
                <w:sz w:val="20"/>
                <w:szCs w:val="20"/>
                <w:color w:val="auto"/>
              </w:rPr>
            </w:pPr>
            <w:r>
              <w:rPr>
                <w:rFonts w:ascii="Times New Roman" w:cs="Times New Roman" w:eastAsia="Times New Roman" w:hAnsi="Times New Roman"/>
                <w:sz w:val="12"/>
                <w:szCs w:val="12"/>
                <w:color w:val="auto"/>
              </w:rPr>
              <w:t>Corporate &amp; Other- Noa Home</w:t>
            </w:r>
          </w:p>
        </w:tc>
        <w:tc>
          <w:tcPr>
            <w:tcW w:w="2620" w:type="dxa"/>
            <w:vAlign w:val="bottom"/>
            <w:gridSpan w:val="5"/>
          </w:tcPr>
          <w:p>
            <w:pPr>
              <w:jc w:val="right"/>
              <w:spacing w:after="0"/>
              <w:rPr>
                <w:sz w:val="20"/>
                <w:szCs w:val="20"/>
                <w:color w:val="auto"/>
              </w:rPr>
            </w:pPr>
            <w:r>
              <w:rPr>
                <w:rFonts w:ascii="Arial" w:cs="Arial" w:eastAsia="Arial" w:hAnsi="Arial"/>
                <w:sz w:val="11"/>
                <w:szCs w:val="11"/>
                <w:color w:val="auto"/>
              </w:rPr>
              <w:t xml:space="preserve">~~~   </w:t>
            </w:r>
            <w:r>
              <w:rPr>
                <w:rFonts w:ascii="Times New Roman" w:cs="Times New Roman" w:eastAsia="Times New Roman" w:hAnsi="Times New Roman"/>
                <w:sz w:val="12"/>
                <w:szCs w:val="12"/>
                <w:color w:val="auto"/>
              </w:rPr>
              <w:t>(3 ,885)</w:t>
            </w:r>
          </w:p>
        </w:tc>
        <w:tc>
          <w:tcPr>
            <w:tcW w:w="132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10"/>
                <w:szCs w:val="10"/>
                <w:color w:val="auto"/>
              </w:rPr>
              <w:t xml:space="preserve">-44. 1% </w:t>
            </w:r>
            <w:r>
              <w:rPr>
                <w:rFonts w:ascii="Arial" w:cs="Arial" w:eastAsia="Arial" w:hAnsi="Arial"/>
                <w:sz w:val="20"/>
                <w:szCs w:val="20"/>
                <w:color w:val="auto"/>
                <w:vertAlign w:val="subscript"/>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388. 6%</w:t>
            </w:r>
          </w:p>
        </w:tc>
      </w:tr>
      <w:tr>
        <w:trPr>
          <w:trHeight w:val="137"/>
        </w:trPr>
        <w:tc>
          <w:tcPr>
            <w:tcW w:w="188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Consolidated net sales of furniture</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1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and accessories</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$329,923</w:t>
            </w:r>
          </w:p>
        </w:tc>
        <w:tc>
          <w:tcPr>
            <w:tcW w:w="64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$390, 136</w:t>
            </w: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$485,60 1</w:t>
            </w:r>
          </w:p>
        </w:tc>
        <w:tc>
          <w:tcPr>
            <w:tcW w:w="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(60,2 13)</w:t>
            </w:r>
          </w:p>
        </w:tc>
        <w:tc>
          <w:tcPr>
            <w:tcW w:w="1320" w:type="dxa"/>
            <w:vAlign w:val="bottom"/>
            <w:gridSpan w:val="4"/>
          </w:tcPr>
          <w:p>
            <w:pPr>
              <w:jc w:val="right"/>
              <w:ind w:right="18"/>
              <w:spacing w:after="0"/>
              <w:rPr>
                <w:sz w:val="20"/>
                <w:szCs w:val="20"/>
                <w:color w:val="auto"/>
              </w:rPr>
            </w:pPr>
            <w:r>
              <w:rPr>
                <w:rFonts w:ascii="Times New Roman" w:cs="Times New Roman" w:eastAsia="Times New Roman" w:hAnsi="Times New Roman"/>
                <w:sz w:val="12"/>
                <w:szCs w:val="12"/>
                <w:color w:val="auto"/>
              </w:rPr>
              <w:t>-1 5.4%  $ (95,465)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-19. 7%</w:t>
            </w:r>
          </w:p>
        </w:tc>
      </w:tr>
      <w:tr>
        <w:trPr>
          <w:trHeight w:val="32"/>
        </w:trPr>
        <w:tc>
          <w:tcPr>
            <w:tcW w:w="1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Borders>
              <w:bottom w:val="single" w:sz="8" w:color="242020"/>
            </w:tcBorders>
          </w:tcPr>
          <w:p>
            <w:pPr>
              <w:spacing w:after="0"/>
              <w:rPr>
                <w:sz w:val="2"/>
                <w:szCs w:val="2"/>
                <w:color w:val="auto"/>
              </w:rPr>
            </w:pPr>
          </w:p>
        </w:tc>
        <w:tc>
          <w:tcPr>
            <w:tcW w:w="600" w:type="dxa"/>
            <w:vAlign w:val="bottom"/>
            <w:tcBorders>
              <w:bottom w:val="single" w:sz="8" w:color="242020"/>
            </w:tcBorders>
          </w:tcPr>
          <w:p>
            <w:pPr>
              <w:spacing w:after="0"/>
              <w:rPr>
                <w:sz w:val="2"/>
                <w:szCs w:val="2"/>
                <w:color w:val="auto"/>
              </w:rPr>
            </w:pPr>
          </w:p>
        </w:tc>
        <w:tc>
          <w:tcPr>
            <w:tcW w:w="540" w:type="dxa"/>
            <w:vAlign w:val="bottom"/>
            <w:tcBorders>
              <w:bottom w:val="single" w:sz="8" w:color="242020"/>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201C20"/>
            </w:tcBorders>
          </w:tcPr>
          <w:p>
            <w:pPr>
              <w:spacing w:after="0"/>
              <w:rPr>
                <w:sz w:val="2"/>
                <w:szCs w:val="2"/>
                <w:color w:val="auto"/>
              </w:rPr>
            </w:pPr>
          </w:p>
        </w:tc>
        <w:tc>
          <w:tcPr>
            <w:tcW w:w="620" w:type="dxa"/>
            <w:vAlign w:val="bottom"/>
            <w:tcBorders>
              <w:bottom w:val="single" w:sz="8" w:color="201C20"/>
            </w:tcBorders>
          </w:tcPr>
          <w:p>
            <w:pPr>
              <w:spacing w:after="0"/>
              <w:rPr>
                <w:sz w:val="2"/>
                <w:szCs w:val="2"/>
                <w:color w:val="auto"/>
              </w:rPr>
            </w:pPr>
          </w:p>
        </w:tc>
        <w:tc>
          <w:tcPr>
            <w:tcW w:w="500" w:type="dxa"/>
            <w:vAlign w:val="bottom"/>
            <w:tcBorders>
              <w:bottom w:val="single" w:sz="8" w:color="201C20"/>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*53 weeks for fiscal2024 as compared with 52 weeks for fiscal2023 and 2022.</w:t>
      </w:r>
    </w:p>
    <w:p>
      <w:pPr>
        <w:spacing w:after="0" w:line="161" w:lineRule="exact"/>
        <w:rPr>
          <w:sz w:val="20"/>
          <w:szCs w:val="20"/>
          <w:color w:val="auto"/>
        </w:rPr>
      </w:pPr>
    </w:p>
    <w:p>
      <w:pPr>
        <w:jc w:val="both"/>
        <w:ind w:right="760"/>
        <w:spacing w:after="0" w:line="257" w:lineRule="auto"/>
        <w:rPr>
          <w:sz w:val="20"/>
          <w:szCs w:val="20"/>
          <w:color w:val="auto"/>
        </w:rPr>
      </w:pPr>
      <w:r>
        <w:rPr>
          <w:rFonts w:ascii="Times New Roman" w:cs="Times New Roman" w:eastAsia="Times New Roman" w:hAnsi="Times New Roman"/>
          <w:sz w:val="12"/>
          <w:szCs w:val="12"/>
          <w:color w:val="auto"/>
        </w:rPr>
        <w:t>Total sales revenue for the year ended November 30, 2024, decreased $60,213 or approximately 15% from the prior year period primarily due to decreases in wholesale shipments to both the open market and the 81-JF store network and decreases in retail delivered sales.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800" w:firstLine="6"/>
        <w:spacing w:after="0" w:line="256" w:lineRule="auto"/>
        <w:rPr>
          <w:sz w:val="20"/>
          <w:szCs w:val="20"/>
          <w:color w:val="auto"/>
        </w:rPr>
      </w:pPr>
      <w:r>
        <w:rPr>
          <w:rFonts w:ascii="Times New Roman" w:cs="Times New Roman" w:eastAsia="Times New Roman" w:hAnsi="Times New Roman"/>
          <w:sz w:val="12"/>
          <w:szCs w:val="12"/>
          <w:color w:val="auto"/>
        </w:rPr>
        <w:t>Management's Discussion and Analysis of Financial Condition and Results of Operations- Continued (Amounts in thousands except share and per share data)</w:t>
      </w:r>
    </w:p>
    <w:p>
      <w:pPr>
        <w:spacing w:after="0" w:line="152" w:lineRule="exact"/>
        <w:rPr>
          <w:sz w:val="20"/>
          <w:szCs w:val="20"/>
          <w:color w:val="auto"/>
        </w:rPr>
      </w:pPr>
    </w:p>
    <w:p>
      <w:pPr>
        <w:jc w:val="both"/>
        <w:ind w:firstLine="1"/>
        <w:spacing w:after="0" w:line="258" w:lineRule="auto"/>
        <w:rPr>
          <w:sz w:val="20"/>
          <w:szCs w:val="20"/>
          <w:color w:val="auto"/>
        </w:rPr>
      </w:pPr>
      <w:r>
        <w:rPr>
          <w:rFonts w:ascii="Times New Roman" w:cs="Times New Roman" w:eastAsia="Times New Roman" w:hAnsi="Times New Roman"/>
          <w:sz w:val="12"/>
          <w:szCs w:val="12"/>
          <w:color w:val="auto"/>
        </w:rPr>
        <w:t>Gross margins for the year ended November 30, 2024 increased !50 basis points from 2023 . Included in the current year gross margin are increased inventory va luation charges of$1 ,729 in the who lesale segment, $472 in the retail segment and $500 in the Noa Home operation, and unproductive labor costs of $609 incurred during the temporary shutdown resulting from the cybersecurity incident. Excluding these charges, our consolidated gross margin would have been 55.4%.</w:t>
      </w:r>
    </w:p>
    <w:p>
      <w:pPr>
        <w:spacing w:after="0" w:line="151" w:lineRule="exact"/>
        <w:rPr>
          <w:sz w:val="20"/>
          <w:szCs w:val="20"/>
          <w:color w:val="auto"/>
        </w:rPr>
      </w:pPr>
    </w:p>
    <w:p>
      <w:pPr>
        <w:jc w:val="both"/>
        <w:ind w:right="20" w:firstLine="2"/>
        <w:spacing w:after="0" w:line="256" w:lineRule="auto"/>
        <w:rPr>
          <w:sz w:val="20"/>
          <w:szCs w:val="20"/>
          <w:color w:val="auto"/>
        </w:rPr>
      </w:pPr>
      <w:r>
        <w:rPr>
          <w:rFonts w:ascii="Times New Roman" w:cs="Times New Roman" w:eastAsia="Times New Roman" w:hAnsi="Times New Roman"/>
          <w:sz w:val="12"/>
          <w:szCs w:val="12"/>
          <w:color w:val="auto"/>
        </w:rPr>
        <w:t>SG&amp;A expenses as a percentage of sales for the year ended November 30, 2024 increased 420 basis points from 2023 primarily due to the deleverage of fixed costs caused by lower sales volumes.</w:t>
      </w:r>
    </w:p>
    <w:p>
      <w:pPr>
        <w:spacing w:after="0" w:line="152" w:lineRule="exact"/>
        <w:rPr>
          <w:sz w:val="20"/>
          <w:szCs w:val="20"/>
          <w:color w:val="auto"/>
        </w:rPr>
      </w:pPr>
    </w:p>
    <w:p>
      <w:pPr>
        <w:jc w:val="both"/>
        <w:ind w:firstLine="6"/>
        <w:spacing w:after="0" w:line="259" w:lineRule="auto"/>
        <w:rPr>
          <w:sz w:val="20"/>
          <w:szCs w:val="20"/>
          <w:color w:val="auto"/>
        </w:rPr>
      </w:pPr>
      <w:r>
        <w:rPr>
          <w:rFonts w:ascii="Times New Roman" w:cs="Times New Roman" w:eastAsia="Times New Roman" w:hAnsi="Times New Roman"/>
          <w:sz w:val="12"/>
          <w:szCs w:val="12"/>
          <w:color w:val="auto"/>
        </w:rPr>
        <w:t>During fiscal 2024, we recogni zed charges of$5,515 for asset impairments, $1,240 resulting from a contract abandonment, $962 from the reali zation of cumulative translation losses on Noa Home, and a restructuring charge of$440 . This restructuring charge resulted from a workforce reduction which we expect will result in annual savings of approximately $2,500 beginning in 2025, mostly in SG&amp;A expenses. See Note 14 to our consolidated financial statements for additional information regarding these charges .</w:t>
      </w:r>
    </w:p>
    <w:p>
      <w:pPr>
        <w:spacing w:after="0" w:line="297" w:lineRule="exact"/>
        <w:rPr>
          <w:sz w:val="20"/>
          <w:szCs w:val="20"/>
          <w:color w:val="auto"/>
        </w:rPr>
      </w:pPr>
    </w:p>
    <w:p>
      <w:pPr>
        <w:jc w:val="both"/>
        <w:ind w:firstLine="5"/>
        <w:spacing w:after="0" w:line="257" w:lineRule="auto"/>
        <w:rPr>
          <w:sz w:val="20"/>
          <w:szCs w:val="20"/>
          <w:color w:val="auto"/>
        </w:rPr>
      </w:pPr>
      <w:r>
        <w:rPr>
          <w:rFonts w:ascii="Times New Roman" w:cs="Times New Roman" w:eastAsia="Times New Roman" w:hAnsi="Times New Roman"/>
          <w:sz w:val="12"/>
          <w:szCs w:val="12"/>
          <w:color w:val="auto"/>
        </w:rPr>
        <w:t>During fiscal 2023, we recognized a goodwill impairment charge of $5,409 and a gain of $1,013 resulting from the write-down of our contingent consideration obligation both of which are associated with the acquisition ofNoa Home. See Note 3 to the consolidated financial statements.</w:t>
      </w:r>
    </w:p>
    <w:p>
      <w:pPr>
        <w:spacing w:after="0" w:line="152" w:lineRule="exact"/>
        <w:rPr>
          <w:sz w:val="20"/>
          <w:szCs w:val="20"/>
          <w:color w:val="auto"/>
        </w:rPr>
      </w:pPr>
    </w:p>
    <w:p>
      <w:pPr>
        <w:jc w:val="both"/>
        <w:ind w:left="20" w:right="20"/>
        <w:spacing w:after="0" w:line="256" w:lineRule="auto"/>
        <w:rPr>
          <w:sz w:val="20"/>
          <w:szCs w:val="20"/>
          <w:color w:val="auto"/>
        </w:rPr>
      </w:pPr>
      <w:r>
        <w:rPr>
          <w:rFonts w:ascii="Times New Roman" w:cs="Times New Roman" w:eastAsia="Times New Roman" w:hAnsi="Times New Roman"/>
          <w:sz w:val="12"/>
          <w:szCs w:val="12"/>
          <w:color w:val="auto"/>
        </w:rPr>
        <w:t>During the year ended November 26, 2022, we recognized a gain of$4,595 from the sale of the real estate at a former retail location in Houston, Texas .</w:t>
      </w:r>
    </w:p>
    <w:p>
      <w:pPr>
        <w:spacing w:after="0" w:line="152" w:lineRule="exact"/>
        <w:rPr>
          <w:sz w:val="20"/>
          <w:szCs w:val="20"/>
          <w:color w:val="auto"/>
        </w:rPr>
      </w:pPr>
    </w:p>
    <w:p>
      <w:pPr>
        <w:jc w:val="both"/>
        <w:ind w:left="20" w:hanging="4"/>
        <w:spacing w:after="0" w:line="247" w:lineRule="auto"/>
        <w:rPr>
          <w:sz w:val="20"/>
          <w:szCs w:val="20"/>
          <w:color w:val="auto"/>
        </w:rPr>
      </w:pPr>
      <w:r>
        <w:rPr>
          <w:rFonts w:ascii="Times New Roman" w:cs="Times New Roman" w:eastAsia="Times New Roman" w:hAnsi="Times New Roman"/>
          <w:sz w:val="12"/>
          <w:szCs w:val="12"/>
          <w:color w:val="auto"/>
        </w:rPr>
        <w:t>Certain other items affecting comparability between fisca12024 and 2023 are discussed below in "Other Items Affecting Net In come" .</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Segment Information</w:t>
      </w:r>
    </w:p>
    <w:p>
      <w:pPr>
        <w:spacing w:after="0" w:line="161" w:lineRule="exact"/>
        <w:rPr>
          <w:sz w:val="20"/>
          <w:szCs w:val="20"/>
          <w:color w:val="auto"/>
        </w:rPr>
      </w:pPr>
    </w:p>
    <w:p>
      <w:pPr>
        <w:jc w:val="both"/>
        <w:ind w:firstLine="6"/>
        <w:spacing w:after="0" w:line="256" w:lineRule="auto"/>
        <w:rPr>
          <w:sz w:val="20"/>
          <w:szCs w:val="20"/>
          <w:color w:val="auto"/>
        </w:rPr>
      </w:pPr>
      <w:r>
        <w:rPr>
          <w:rFonts w:ascii="Times New Roman" w:cs="Times New Roman" w:eastAsia="Times New Roman" w:hAnsi="Times New Roman"/>
          <w:sz w:val="12"/>
          <w:szCs w:val="12"/>
          <w:color w:val="auto"/>
        </w:rPr>
        <w:t xml:space="preserve">We have strategically aligned our business into two reportable segments as defined in ASC 280, </w:t>
      </w:r>
      <w:r>
        <w:rPr>
          <w:rFonts w:ascii="Times New Roman" w:cs="Times New Roman" w:eastAsia="Times New Roman" w:hAnsi="Times New Roman"/>
          <w:sz w:val="12"/>
          <w:szCs w:val="12"/>
          <w:i w:val="1"/>
          <w:iCs w:val="1"/>
          <w:color w:val="auto"/>
        </w:rPr>
        <w:t>Segment Reporting,</w:t>
      </w:r>
      <w:r>
        <w:rPr>
          <w:rFonts w:ascii="Times New Roman" w:cs="Times New Roman" w:eastAsia="Times New Roman" w:hAnsi="Times New Roman"/>
          <w:sz w:val="12"/>
          <w:szCs w:val="12"/>
          <w:color w:val="auto"/>
        </w:rPr>
        <w:t xml:space="preserve"> and as described below:</w:t>
      </w:r>
    </w:p>
    <w:p>
      <w:pPr>
        <w:spacing w:after="0" w:line="152" w:lineRule="exact"/>
        <w:rPr>
          <w:sz w:val="20"/>
          <w:szCs w:val="20"/>
          <w:color w:val="auto"/>
        </w:rPr>
      </w:pPr>
    </w:p>
    <w:p>
      <w:pPr>
        <w:jc w:val="both"/>
        <w:ind w:left="480" w:hanging="233"/>
        <w:spacing w:after="0" w:line="258" w:lineRule="auto"/>
        <w:tabs>
          <w:tab w:leader="none" w:pos="482"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Wholesale. The wholesale home furnishings segment is involved principally in the design, manufacture, sourcing, sale and distribution of furniture products to a network of Bassett stores (Company-owned and licensee-owned retail stores) and independent furniture retailers. Our wholesale segment includes our wood and upholstery operations, which includes Lane Venture .</w:t>
      </w:r>
    </w:p>
    <w:p>
      <w:pPr>
        <w:spacing w:after="0" w:line="150" w:lineRule="exact"/>
        <w:rPr>
          <w:rFonts w:ascii="Times New Roman" w:cs="Times New Roman" w:eastAsia="Times New Roman" w:hAnsi="Times New Roman"/>
          <w:sz w:val="12"/>
          <w:szCs w:val="12"/>
          <w:color w:val="auto"/>
        </w:rPr>
      </w:pPr>
    </w:p>
    <w:p>
      <w:pPr>
        <w:jc w:val="both"/>
        <w:ind w:left="480" w:firstLine="5"/>
        <w:spacing w:after="0" w:line="25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Retail- Company-owned stores. Our retail segment consists of Company-owned stores and includes the revenues, expenses, assets and liabilities and capital expenditures directly related to these stores and the Company -owned distribution network utilized to deli ver products to our retail customers .</w:t>
      </w:r>
    </w:p>
    <w:p>
      <w:pPr>
        <w:spacing w:after="0" w:line="152" w:lineRule="exact"/>
        <w:rPr>
          <w:sz w:val="20"/>
          <w:szCs w:val="20"/>
          <w:color w:val="auto"/>
        </w:rPr>
      </w:pPr>
    </w:p>
    <w:p>
      <w:pPr>
        <w:jc w:val="both"/>
        <w:ind w:firstLine="6"/>
        <w:spacing w:after="0" w:line="258" w:lineRule="auto"/>
        <w:rPr>
          <w:sz w:val="20"/>
          <w:szCs w:val="20"/>
          <w:color w:val="auto"/>
        </w:rPr>
      </w:pPr>
      <w:r>
        <w:rPr>
          <w:rFonts w:ascii="Times New Roman" w:cs="Times New Roman" w:eastAsia="Times New Roman" w:hAnsi="Times New Roman"/>
          <w:sz w:val="12"/>
          <w:szCs w:val="12"/>
          <w:color w:val="auto"/>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 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 We consider our corporate functions to be other business activities and have aggregated them with any of our operating segments that do not meet the requirements to be reportable segments. As of and for the periods ended November 30, 2024, November 25, 2023 and November 26, 2022, the only such operating segment included in Corporate and other is Noa Home, which was acquired on September 2, 2022 . All sales reported in our Corporate and other category are attributable to Noa Home, which generated substantially all of its sales outside of the United States. During the second fiscal quarter of 2024 we concluded that Noa Home was not likely to achieve profitability in the foreseeable future and have ceased operations as of November 30, 2024 by selling the remaining inventory in an orderly fashion over the second halfoffiscal2024.</w:t>
      </w:r>
    </w:p>
    <w:p>
      <w:pPr>
        <w:spacing w:after="0" w:line="303" w:lineRule="exact"/>
        <w:rPr>
          <w:sz w:val="20"/>
          <w:szCs w:val="20"/>
          <w:color w:val="auto"/>
        </w:rPr>
      </w:pPr>
    </w:p>
    <w:p>
      <w:pPr>
        <w:jc w:val="both"/>
        <w:ind w:firstLine="5"/>
        <w:spacing w:after="0" w:line="258" w:lineRule="auto"/>
        <w:rPr>
          <w:sz w:val="20"/>
          <w:szCs w:val="20"/>
          <w:color w:val="auto"/>
        </w:rPr>
      </w:pPr>
      <w:r>
        <w:rPr>
          <w:rFonts w:ascii="Times New Roman" w:cs="Times New Roman" w:eastAsia="Times New Roman" w:hAnsi="Times New Roman"/>
          <w:sz w:val="12"/>
          <w:szCs w:val="12"/>
          <w:color w:val="auto"/>
        </w:rPr>
        <w:t>Inter-company net sales elimination represents the elimination of wholesale sales to our Company-owned stores . Inter-company income elimination includes the embedded wholesale profit in the Company-owned store inventory that has not been realized. These profits wi ll be recorded when merchandise is delivered to the retail consumer. The inter-company income elimination also includes rent paid by our retail stores occupying Company -owned real estate .</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former logistical services segment which represented the operations of Zenith is presented as a discontinued operation.</w:t>
      </w:r>
    </w:p>
    <w:p>
      <w:pPr>
        <w:spacing w:after="0" w:line="102" w:lineRule="exact"/>
        <w:rPr>
          <w:sz w:val="20"/>
          <w:szCs w:val="20"/>
          <w:color w:val="auto"/>
        </w:rPr>
      </w:pPr>
    </w:p>
    <w:p>
      <w:pPr>
        <w:sectPr>
          <w:pgSz w:w="15840" w:h="12240" w:orient="landscape"/>
          <w:cols w:equalWidth="0" w:num="2">
            <w:col w:w="7200" w:space="720"/>
            <w:col w:w="6440"/>
          </w:cols>
          <w:pgMar w:left="740" w:top="1440" w:right="740" w:bottom="897" w:gutter="0" w:footer="0" w:header="0"/>
        </w:sectPr>
      </w:pPr>
    </w:p>
    <w:p>
      <w:pPr>
        <w:ind w:left="11100"/>
        <w:spacing w:after="0"/>
        <w:rPr>
          <w:sz w:val="20"/>
          <w:szCs w:val="20"/>
          <w:color w:val="auto"/>
        </w:rPr>
      </w:pPr>
      <w:r>
        <w:rPr>
          <w:rFonts w:ascii="Times New Roman" w:cs="Times New Roman" w:eastAsia="Times New Roman" w:hAnsi="Times New Roman"/>
          <w:sz w:val="12"/>
          <w:szCs w:val="12"/>
          <w:color w:val="auto"/>
        </w:rPr>
        <w:t>4</w:t>
      </w:r>
    </w:p>
    <w:p>
      <w:pPr>
        <w:sectPr>
          <w:pgSz w:w="15840" w:h="12240" w:orient="landscape"/>
          <w:cols w:equalWidth="0" w:num="1">
            <w:col w:w="14360"/>
          </w:cols>
          <w:pgMar w:left="740" w:top="1440" w:right="740" w:bottom="897" w:gutter="0" w:footer="0" w:header="0"/>
          <w:type w:val="continuous"/>
        </w:sectPr>
      </w:pPr>
    </w:p>
    <w:bookmarkStart w:id="6" w:name="page7"/>
    <w:bookmarkEnd w:id="6"/>
    <w:p>
      <w:pPr>
        <w:spacing w:after="0" w:line="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0058400" cy="7772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3"/>
          <w:szCs w:val="13"/>
          <w:color w:val="auto"/>
        </w:rPr>
        <w:t>Management's Discussion and Ana lysis of Financial Condition and Results of Operations - Continued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(Amounts in thousands except share and per share data)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Reconciliation ofSegment Results to Consolidated Results ofOeerations</w:t>
      </w:r>
    </w:p>
    <w:p>
      <w:pPr>
        <w:spacing w:after="0" w:line="159" w:lineRule="exact"/>
        <w:rPr>
          <w:sz w:val="20"/>
          <w:szCs w:val="20"/>
          <w:color w:val="auto"/>
        </w:rPr>
      </w:pPr>
    </w:p>
    <w:p>
      <w:pPr>
        <w:jc w:val="both"/>
        <w:ind w:right="740"/>
        <w:spacing w:after="0" w:line="257" w:lineRule="auto"/>
        <w:rPr>
          <w:sz w:val="20"/>
          <w:szCs w:val="20"/>
          <w:color w:val="auto"/>
        </w:rPr>
      </w:pPr>
      <w:r>
        <w:rPr>
          <w:rFonts w:ascii="Times New Roman" w:cs="Times New Roman" w:eastAsia="Times New Roman" w:hAnsi="Times New Roman"/>
          <w:sz w:val="12"/>
          <w:szCs w:val="12"/>
          <w:color w:val="auto"/>
        </w:rPr>
        <w:t>To supplement the financial measures prepared in accordance with GAAP, we present gross profit by segment inclusive of the effects of intercompany sa les by our wholesale segment to our retail segment. Because these intercompany tran sactions are not eliminated from our segment presentation s and because we do not present gross profit as a measure of segment profitability in th e accompanying condensed consolidated financial statements, the presentation of gross profit by segment is considered to be a non-GAAP financial measure. In addition, certain special gains or charges that are included in consolidated income (loss) before income taxes are not includ ed in the measures of segment profitabi li ty. The reconciliation of this non-GAAP financial measure to the most directly comparable financial measure calculated and presented in accordance with GAAP is presented below along with the effects of various other intercompany eliminations on our consolidated results of operations.</w:t>
      </w:r>
    </w:p>
    <w:p>
      <w:pPr>
        <w:spacing w:after="0" w:line="144"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2"/>
          <w:szCs w:val="12"/>
          <w:color w:val="auto"/>
        </w:rPr>
        <w:t>Year Ended November 30, 2024</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rPr>
              <w:t>GAAP</w:t>
            </w: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201C20"/>
            </w:tcBorders>
          </w:tcPr>
          <w:p>
            <w:pPr>
              <w:spacing w:after="0"/>
              <w:rPr>
                <w:sz w:val="12"/>
                <w:szCs w:val="12"/>
                <w:color w:val="auto"/>
              </w:rPr>
            </w:pPr>
          </w:p>
        </w:tc>
        <w:tc>
          <w:tcPr>
            <w:tcW w:w="1720" w:type="dxa"/>
            <w:vAlign w:val="bottom"/>
            <w:tcBorders>
              <w:bottom w:val="single" w:sz="8" w:color="201C20"/>
            </w:tcBorders>
            <w:gridSpan w:val="6"/>
          </w:tcPr>
          <w:p>
            <w:pPr>
              <w:jc w:val="right"/>
              <w:ind w:right="260"/>
              <w:spacing w:after="0"/>
              <w:rPr>
                <w:sz w:val="20"/>
                <w:szCs w:val="20"/>
                <w:color w:val="auto"/>
              </w:rPr>
            </w:pPr>
            <w:r>
              <w:rPr>
                <w:rFonts w:ascii="Times New Roman" w:cs="Times New Roman" w:eastAsia="Times New Roman" w:hAnsi="Times New Roman"/>
                <w:sz w:val="12"/>
                <w:szCs w:val="12"/>
                <w:color w:val="auto"/>
              </w:rPr>
              <w:t>Non-GAAP Presentation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Borders>
              <w:bottom w:val="single" w:sz="8" w:color="201C20"/>
            </w:tcBorders>
            <w:gridSpan w:val="2"/>
          </w:tcPr>
          <w:p>
            <w:pPr>
              <w:jc w:val="center"/>
              <w:spacing w:after="0"/>
              <w:rPr>
                <w:sz w:val="20"/>
                <w:szCs w:val="20"/>
                <w:color w:val="auto"/>
              </w:rPr>
            </w:pPr>
            <w:r>
              <w:rPr>
                <w:rFonts w:ascii="Times New Roman" w:cs="Times New Roman" w:eastAsia="Times New Roman" w:hAnsi="Times New Roman"/>
                <w:sz w:val="12"/>
                <w:szCs w:val="12"/>
                <w:color w:val="auto"/>
              </w:rPr>
              <w:t>Presentation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4"/>
          </w:tcPr>
          <w:p>
            <w:pPr>
              <w:ind w:left="40"/>
              <w:spacing w:after="0" w:line="131" w:lineRule="exact"/>
              <w:rPr>
                <w:sz w:val="20"/>
                <w:szCs w:val="20"/>
                <w:color w:val="auto"/>
              </w:rPr>
            </w:pPr>
            <w:r>
              <w:rPr>
                <w:rFonts w:ascii="Times New Roman" w:cs="Times New Roman" w:eastAsia="Times New Roman" w:hAnsi="Times New Roman"/>
                <w:sz w:val="12"/>
                <w:szCs w:val="12"/>
                <w:color w:val="auto"/>
              </w:rPr>
              <w:t>Corporate</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2"/>
                <w:szCs w:val="12"/>
                <w:color w:val="auto"/>
              </w:rPr>
              <w:t>Special</w:t>
            </w:r>
          </w:p>
        </w:tc>
        <w:tc>
          <w:tcPr>
            <w:tcW w:w="120" w:type="dxa"/>
            <w:vAlign w:val="bottom"/>
          </w:tcPr>
          <w:p>
            <w:pPr>
              <w:spacing w:after="0"/>
              <w:rPr>
                <w:sz w:val="11"/>
                <w:szCs w:val="11"/>
                <w:color w:val="auto"/>
              </w:rPr>
            </w:pPr>
          </w:p>
        </w:tc>
        <w:tc>
          <w:tcPr>
            <w:tcW w:w="500" w:type="dxa"/>
            <w:vAlign w:val="bottom"/>
          </w:tcPr>
          <w:p>
            <w:pPr>
              <w:jc w:val="center"/>
              <w:ind w:right="98"/>
              <w:spacing w:after="0" w:line="131" w:lineRule="exact"/>
              <w:rPr>
                <w:sz w:val="20"/>
                <w:szCs w:val="20"/>
                <w:color w:val="auto"/>
              </w:rPr>
            </w:pPr>
            <w:r>
              <w:rPr>
                <w:rFonts w:ascii="Times New Roman" w:cs="Times New Roman" w:eastAsia="Times New Roman" w:hAnsi="Times New Roman"/>
                <w:sz w:val="12"/>
                <w:szCs w:val="12"/>
                <w:color w:val="auto"/>
              </w:rPr>
              <w:t>Non-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8"/>
              </w:rPr>
              <w:t>Wholesale</w:t>
            </w:r>
          </w:p>
        </w:tc>
        <w:tc>
          <w:tcPr>
            <w:tcW w:w="120" w:type="dxa"/>
            <w:vAlign w:val="bottom"/>
          </w:tcPr>
          <w:p>
            <w:pPr>
              <w:spacing w:after="0"/>
              <w:rPr>
                <w:sz w:val="12"/>
                <w:szCs w:val="12"/>
                <w:color w:val="auto"/>
              </w:rPr>
            </w:pPr>
          </w:p>
        </w:tc>
        <w:tc>
          <w:tcPr>
            <w:tcW w:w="48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Retai l</w:t>
            </w:r>
          </w:p>
        </w:tc>
        <w:tc>
          <w:tcPr>
            <w:tcW w:w="600" w:type="dxa"/>
            <w:vAlign w:val="bottom"/>
            <w:gridSpan w:val="4"/>
          </w:tcPr>
          <w:p>
            <w:pPr>
              <w:ind w:left="100"/>
              <w:spacing w:after="0"/>
              <w:rPr>
                <w:sz w:val="20"/>
                <w:szCs w:val="20"/>
                <w:color w:val="auto"/>
              </w:rPr>
            </w:pPr>
            <w:r>
              <w:rPr>
                <w:rFonts w:ascii="Times New Roman" w:cs="Times New Roman" w:eastAsia="Times New Roman" w:hAnsi="Times New Roman"/>
                <w:sz w:val="12"/>
                <w:szCs w:val="12"/>
                <w:color w:val="auto"/>
              </w:rPr>
              <w:t>&amp;Other</w:t>
            </w:r>
          </w:p>
        </w:tc>
        <w:tc>
          <w:tcPr>
            <w:tcW w:w="88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Eliminations</w:t>
            </w:r>
          </w:p>
        </w:tc>
        <w:tc>
          <w:tcPr>
            <w:tcW w:w="12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Items</w:t>
            </w:r>
          </w:p>
        </w:tc>
        <w:tc>
          <w:tcPr>
            <w:tcW w:w="620" w:type="dxa"/>
            <w:vAlign w:val="bottom"/>
            <w:gridSpan w:val="2"/>
          </w:tcPr>
          <w:p>
            <w:pPr>
              <w:jc w:val="center"/>
              <w:spacing w:after="0"/>
              <w:rPr>
                <w:sz w:val="20"/>
                <w:szCs w:val="20"/>
                <w:color w:val="auto"/>
              </w:rPr>
            </w:pPr>
            <w:r>
              <w:rPr>
                <w:rFonts w:ascii="Arial" w:cs="Arial" w:eastAsia="Arial" w:hAnsi="Arial"/>
                <w:sz w:val="9"/>
                <w:szCs w:val="9"/>
                <w:color w:val="auto"/>
              </w:rPr>
              <w:t>O~rating</w:t>
            </w: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color w:val="auto"/>
                <w:w w:val="99"/>
              </w:rPr>
              <w:t>Conso lidated</w:t>
            </w:r>
          </w:p>
        </w:tc>
        <w:tc>
          <w:tcPr>
            <w:tcW w:w="0" w:type="dxa"/>
            <w:vAlign w:val="bottom"/>
          </w:tcPr>
          <w:p>
            <w:pPr>
              <w:spacing w:after="0"/>
              <w:rPr>
                <w:sz w:val="1"/>
                <w:szCs w:val="1"/>
                <w:color w:val="auto"/>
              </w:rPr>
            </w:pPr>
          </w:p>
        </w:tc>
      </w:tr>
      <w:tr>
        <w:trPr>
          <w:trHeight w:val="86"/>
        </w:trPr>
        <w:tc>
          <w:tcPr>
            <w:tcW w:w="16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Net sales of furniture and</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1640" w:type="dxa"/>
            <w:vAlign w:val="bottom"/>
            <w:vMerge w:val="continue"/>
          </w:tcPr>
          <w:p>
            <w:pPr>
              <w:spacing w:after="0"/>
              <w:rPr>
                <w:sz w:val="3"/>
                <w:szCs w:val="3"/>
                <w:color w:val="auto"/>
              </w:rPr>
            </w:pP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color w:val="auto"/>
              </w:rPr>
              <w:t>207,462</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$ 204,563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4,919</w:t>
            </w:r>
          </w:p>
        </w:tc>
        <w:tc>
          <w:tcPr>
            <w:tcW w:w="40" w:type="dxa"/>
            <w:vAlign w:val="bottom"/>
          </w:tcPr>
          <w:p>
            <w:pPr>
              <w:spacing w:after="0"/>
              <w:rPr>
                <w:sz w:val="3"/>
                <w:szCs w:val="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xml:space="preserve">(87,021 </w:t>
            </w:r>
            <w:r>
              <w:rPr>
                <w:rFonts w:ascii="Arial" w:cs="Arial" w:eastAsia="Arial" w:hAnsi="Arial"/>
                <w:sz w:val="11"/>
                <w:szCs w:val="11"/>
                <w:color w:val="auto"/>
              </w:rPr>
              <w:t>)(I)</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spacing w:after="0"/>
              <w:rPr>
                <w:sz w:val="3"/>
                <w:szCs w:val="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329,923</w:t>
            </w: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accessories</w:t>
            </w:r>
          </w:p>
        </w:tc>
        <w:tc>
          <w:tcPr>
            <w:tcW w:w="600" w:type="dxa"/>
            <w:vAlign w:val="bottom"/>
            <w:gridSpan w:val="3"/>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Cost of furniture and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accessories so ld</w:t>
            </w:r>
          </w:p>
        </w:tc>
        <w:tc>
          <w:tcPr>
            <w:tcW w:w="20" w:type="dxa"/>
            <w:vAlign w:val="bottom"/>
          </w:tcPr>
          <w:p>
            <w:pPr>
              <w:spacing w:after="0"/>
              <w:rPr>
                <w:sz w:val="12"/>
                <w:szCs w:val="12"/>
                <w:color w:val="auto"/>
              </w:rPr>
            </w:pPr>
          </w:p>
        </w:tc>
        <w:tc>
          <w:tcPr>
            <w:tcW w:w="580" w:type="dxa"/>
            <w:vAlign w:val="bottom"/>
            <w:tcBorders>
              <w:bottom w:val="single" w:sz="8" w:color="201C20"/>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139,393</w:t>
            </w:r>
          </w:p>
        </w:tc>
        <w:tc>
          <w:tcPr>
            <w:tcW w:w="120" w:type="dxa"/>
            <w:vAlign w:val="bottom"/>
            <w:tcBorders>
              <w:bottom w:val="single" w:sz="8" w:color="201C20"/>
            </w:tcBorders>
          </w:tcPr>
          <w:p>
            <w:pPr>
              <w:spacing w:after="0"/>
              <w:rPr>
                <w:sz w:val="12"/>
                <w:szCs w:val="12"/>
                <w:color w:val="auto"/>
              </w:rPr>
            </w:pPr>
          </w:p>
        </w:tc>
        <w:tc>
          <w:tcPr>
            <w:tcW w:w="48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12"/>
                <w:szCs w:val="12"/>
                <w:color w:val="auto"/>
              </w:rPr>
              <w:t>95,728</w:t>
            </w:r>
          </w:p>
        </w:tc>
        <w:tc>
          <w:tcPr>
            <w:tcW w:w="120" w:type="dxa"/>
            <w:vAlign w:val="bottom"/>
            <w:tcBorders>
              <w:bottom w:val="single" w:sz="8" w:color="201C20"/>
            </w:tcBorders>
          </w:tcPr>
          <w:p>
            <w:pPr>
              <w:spacing w:after="0"/>
              <w:rPr>
                <w:sz w:val="12"/>
                <w:szCs w:val="12"/>
                <w:color w:val="auto"/>
              </w:rPr>
            </w:pPr>
          </w:p>
        </w:tc>
        <w:tc>
          <w:tcPr>
            <w:tcW w:w="440" w:type="dxa"/>
            <w:vAlign w:val="bottom"/>
            <w:tcBorders>
              <w:bottom w:val="single" w:sz="8" w:color="201C20"/>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2,803</w:t>
            </w:r>
          </w:p>
        </w:tc>
        <w:tc>
          <w:tcPr>
            <w:tcW w:w="40" w:type="dxa"/>
            <w:vAlign w:val="bottom"/>
            <w:tcBorders>
              <w:bottom w:val="single" w:sz="8" w:color="201C20"/>
            </w:tcBorders>
          </w:tcPr>
          <w:p>
            <w:pPr>
              <w:spacing w:after="0"/>
              <w:rPr>
                <w:sz w:val="12"/>
                <w:szCs w:val="12"/>
                <w:color w:val="auto"/>
              </w:rPr>
            </w:pPr>
          </w:p>
        </w:tc>
        <w:tc>
          <w:tcPr>
            <w:tcW w:w="160" w:type="dxa"/>
            <w:vAlign w:val="bottom"/>
            <w:tcBorders>
              <w:bottom w:val="single" w:sz="8" w:color="201C20"/>
            </w:tcBorders>
          </w:tcPr>
          <w:p>
            <w:pPr>
              <w:spacing w:after="0"/>
              <w:rPr>
                <w:sz w:val="12"/>
                <w:szCs w:val="12"/>
                <w:color w:val="auto"/>
              </w:rPr>
            </w:pPr>
          </w:p>
        </w:tc>
        <w:tc>
          <w:tcPr>
            <w:tcW w:w="72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12"/>
                <w:szCs w:val="12"/>
                <w:color w:val="auto"/>
              </w:rPr>
              <w:t>(87,416)(2)</w:t>
            </w:r>
          </w:p>
        </w:tc>
        <w:tc>
          <w:tcPr>
            <w:tcW w:w="120" w:type="dxa"/>
            <w:vAlign w:val="bottom"/>
            <w:tcBorders>
              <w:bottom w:val="single" w:sz="8" w:color="201C20"/>
            </w:tcBorders>
          </w:tcPr>
          <w:p>
            <w:pPr>
              <w:spacing w:after="0"/>
              <w:rPr>
                <w:sz w:val="12"/>
                <w:szCs w:val="12"/>
                <w:color w:val="auto"/>
              </w:rPr>
            </w:pPr>
          </w:p>
        </w:tc>
        <w:tc>
          <w:tcPr>
            <w:tcW w:w="620" w:type="dxa"/>
            <w:vAlign w:val="bottom"/>
            <w:tcBorders>
              <w:bottom w:val="single" w:sz="8" w:color="201C20"/>
            </w:tcBorders>
          </w:tcPr>
          <w:p>
            <w:pPr>
              <w:spacing w:after="0"/>
              <w:rPr>
                <w:sz w:val="12"/>
                <w:szCs w:val="12"/>
                <w:color w:val="auto"/>
              </w:rPr>
            </w:pPr>
          </w:p>
        </w:tc>
        <w:tc>
          <w:tcPr>
            <w:tcW w:w="20" w:type="dxa"/>
            <w:vAlign w:val="bottom"/>
            <w:tcBorders>
              <w:bottom w:val="single" w:sz="8" w:color="201C20"/>
            </w:tcBorders>
          </w:tcPr>
          <w:p>
            <w:pPr>
              <w:spacing w:after="0"/>
              <w:rPr>
                <w:sz w:val="12"/>
                <w:szCs w:val="12"/>
                <w:color w:val="auto"/>
              </w:rPr>
            </w:pPr>
          </w:p>
        </w:tc>
        <w:tc>
          <w:tcPr>
            <w:tcW w:w="120" w:type="dxa"/>
            <w:vAlign w:val="bottom"/>
            <w:tcBorders>
              <w:bottom w:val="single" w:sz="8" w:color="201C20"/>
            </w:tcBorders>
          </w:tcPr>
          <w:p>
            <w:pPr>
              <w:spacing w:after="0"/>
              <w:rPr>
                <w:sz w:val="12"/>
                <w:szCs w:val="12"/>
                <w:color w:val="auto"/>
              </w:rPr>
            </w:pPr>
          </w:p>
        </w:tc>
        <w:tc>
          <w:tcPr>
            <w:tcW w:w="500" w:type="dxa"/>
            <w:vAlign w:val="bottom"/>
            <w:tcBorders>
              <w:bottom w:val="single" w:sz="8" w:color="201C20"/>
            </w:tcBorders>
          </w:tcPr>
          <w:p>
            <w:pPr>
              <w:spacing w:after="0"/>
              <w:rPr>
                <w:sz w:val="12"/>
                <w:szCs w:val="12"/>
                <w:color w:val="auto"/>
              </w:rPr>
            </w:pPr>
          </w:p>
        </w:tc>
        <w:tc>
          <w:tcPr>
            <w:tcW w:w="120" w:type="dxa"/>
            <w:vAlign w:val="bottom"/>
            <w:tcBorders>
              <w:bottom w:val="single" w:sz="8" w:color="201C20"/>
            </w:tcBorders>
          </w:tcPr>
          <w:p>
            <w:pPr>
              <w:spacing w:after="0"/>
              <w:rPr>
                <w:sz w:val="12"/>
                <w:szCs w:val="12"/>
                <w:color w:val="auto"/>
              </w:rPr>
            </w:pPr>
          </w:p>
        </w:tc>
        <w:tc>
          <w:tcPr>
            <w:tcW w:w="58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12"/>
                <w:szCs w:val="12"/>
                <w:color w:val="auto"/>
              </w:rPr>
              <w:t>150,508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40" w:type="dxa"/>
            <w:vAlign w:val="bottom"/>
          </w:tcPr>
          <w:p>
            <w:pPr>
              <w:ind w:left="240"/>
              <w:spacing w:after="0" w:line="131" w:lineRule="exact"/>
              <w:rPr>
                <w:sz w:val="20"/>
                <w:szCs w:val="20"/>
                <w:color w:val="auto"/>
              </w:rPr>
            </w:pPr>
            <w:r>
              <w:rPr>
                <w:rFonts w:ascii="Times New Roman" w:cs="Times New Roman" w:eastAsia="Times New Roman" w:hAnsi="Times New Roman"/>
                <w:sz w:val="12"/>
                <w:szCs w:val="12"/>
                <w:color w:val="auto"/>
              </w:rPr>
              <w:t>Gross profit</w:t>
            </w:r>
          </w:p>
        </w:tc>
        <w:tc>
          <w:tcPr>
            <w:tcW w:w="60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2"/>
                <w:szCs w:val="12"/>
                <w:color w:val="auto"/>
              </w:rPr>
              <w:t>68,069</w:t>
            </w:r>
          </w:p>
        </w:tc>
        <w:tc>
          <w:tcPr>
            <w:tcW w:w="120" w:type="dxa"/>
            <w:vAlign w:val="bottom"/>
          </w:tcPr>
          <w:p>
            <w:pPr>
              <w:spacing w:after="0"/>
              <w:rPr>
                <w:sz w:val="11"/>
                <w:szCs w:val="11"/>
                <w:color w:val="auto"/>
              </w:rPr>
            </w:pPr>
          </w:p>
        </w:tc>
        <w:tc>
          <w:tcPr>
            <w:tcW w:w="4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108,835</w:t>
            </w:r>
          </w:p>
        </w:tc>
        <w:tc>
          <w:tcPr>
            <w:tcW w:w="120" w:type="dxa"/>
            <w:vAlign w:val="bottom"/>
          </w:tcPr>
          <w:p>
            <w:pPr>
              <w:spacing w:after="0"/>
              <w:rPr>
                <w:sz w:val="11"/>
                <w:szCs w:val="11"/>
                <w:color w:val="auto"/>
              </w:rPr>
            </w:pPr>
          </w:p>
        </w:tc>
        <w:tc>
          <w:tcPr>
            <w:tcW w:w="44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2"/>
                <w:szCs w:val="12"/>
                <w:color w:val="auto"/>
              </w:rPr>
              <w:t>2,116</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59"/>
              <w:spacing w:after="0" w:line="131" w:lineRule="exact"/>
              <w:rPr>
                <w:sz w:val="20"/>
                <w:szCs w:val="20"/>
                <w:color w:val="auto"/>
              </w:rPr>
            </w:pPr>
            <w:r>
              <w:rPr>
                <w:rFonts w:ascii="Times New Roman" w:cs="Times New Roman" w:eastAsia="Times New Roman" w:hAnsi="Times New Roman"/>
                <w:sz w:val="12"/>
                <w:szCs w:val="12"/>
                <w:color w:val="auto"/>
              </w:rPr>
              <w:t>395 (3)</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179,4 15</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SG&amp;A expense</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42,712</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115,439</w:t>
            </w:r>
          </w:p>
        </w:tc>
        <w:tc>
          <w:tcPr>
            <w:tcW w:w="12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30,572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2"/>
                <w:szCs w:val="12"/>
                <w:color w:val="auto"/>
              </w:rPr>
              <w:t>(1,196)(4)</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187,527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Asset impainnent charges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5,5 15 (5)</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5,5 15</w:t>
            </w:r>
          </w:p>
        </w:tc>
        <w:tc>
          <w:tcPr>
            <w:tcW w:w="0" w:type="dxa"/>
            <w:vAlign w:val="bottom"/>
          </w:tcPr>
          <w:p>
            <w:pPr>
              <w:spacing w:after="0"/>
              <w:rPr>
                <w:sz w:val="1"/>
                <w:szCs w:val="1"/>
                <w:color w:val="auto"/>
              </w:rPr>
            </w:pPr>
          </w:p>
        </w:tc>
      </w:tr>
      <w:tr>
        <w:trPr>
          <w:trHeight w:val="139"/>
        </w:trPr>
        <w:tc>
          <w:tcPr>
            <w:tcW w:w="1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Loss on contract abandonment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1,240 (6)</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Loss upon realization of</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cumul ative trans lation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adjustment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962 (7)</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Restructuring charges</w:t>
            </w:r>
          </w:p>
        </w:tc>
        <w:tc>
          <w:tcPr>
            <w:tcW w:w="20" w:type="dxa"/>
            <w:vAlign w:val="bottom"/>
          </w:tcPr>
          <w:p>
            <w:pPr>
              <w:spacing w:after="0"/>
              <w:rPr>
                <w:sz w:val="11"/>
                <w:szCs w:val="11"/>
                <w:color w:val="auto"/>
              </w:rPr>
            </w:pPr>
          </w:p>
        </w:tc>
        <w:tc>
          <w:tcPr>
            <w:tcW w:w="20" w:type="dxa"/>
            <w:vAlign w:val="bottom"/>
            <w:tcBorders>
              <w:bottom w:val="single" w:sz="8" w:color="585454"/>
            </w:tcBorders>
          </w:tcPr>
          <w:p>
            <w:pPr>
              <w:spacing w:after="0"/>
              <w:rPr>
                <w:sz w:val="11"/>
                <w:szCs w:val="11"/>
                <w:color w:val="auto"/>
              </w:rPr>
            </w:pPr>
          </w:p>
        </w:tc>
        <w:tc>
          <w:tcPr>
            <w:tcW w:w="560" w:type="dxa"/>
            <w:vAlign w:val="bottom"/>
            <w:tcBorders>
              <w:bottom w:val="single" w:sz="8" w:color="585454"/>
            </w:tcBorders>
          </w:tcPr>
          <w:p>
            <w:pPr>
              <w:spacing w:after="0"/>
              <w:rPr>
                <w:sz w:val="11"/>
                <w:szCs w:val="11"/>
                <w:color w:val="auto"/>
              </w:rPr>
            </w:pPr>
          </w:p>
        </w:tc>
        <w:tc>
          <w:tcPr>
            <w:tcW w:w="120" w:type="dxa"/>
            <w:vAlign w:val="bottom"/>
            <w:tcBorders>
              <w:bottom w:val="single" w:sz="8" w:color="585454"/>
            </w:tcBorders>
          </w:tcPr>
          <w:p>
            <w:pPr>
              <w:spacing w:after="0"/>
              <w:rPr>
                <w:sz w:val="11"/>
                <w:szCs w:val="11"/>
                <w:color w:val="auto"/>
              </w:rPr>
            </w:pPr>
          </w:p>
        </w:tc>
        <w:tc>
          <w:tcPr>
            <w:tcW w:w="480" w:type="dxa"/>
            <w:vAlign w:val="bottom"/>
            <w:tcBorders>
              <w:bottom w:val="single" w:sz="8" w:color="585454"/>
            </w:tcBorders>
          </w:tcPr>
          <w:p>
            <w:pPr>
              <w:spacing w:after="0"/>
              <w:rPr>
                <w:sz w:val="11"/>
                <w:szCs w:val="11"/>
                <w:color w:val="auto"/>
              </w:rPr>
            </w:pPr>
          </w:p>
        </w:tc>
        <w:tc>
          <w:tcPr>
            <w:tcW w:w="120" w:type="dxa"/>
            <w:vAlign w:val="bottom"/>
            <w:tcBorders>
              <w:bottom w:val="single" w:sz="8" w:color="585454"/>
            </w:tcBorders>
          </w:tcPr>
          <w:p>
            <w:pPr>
              <w:spacing w:after="0"/>
              <w:rPr>
                <w:sz w:val="11"/>
                <w:szCs w:val="11"/>
                <w:color w:val="auto"/>
              </w:rPr>
            </w:pPr>
          </w:p>
        </w:tc>
        <w:tc>
          <w:tcPr>
            <w:tcW w:w="400" w:type="dxa"/>
            <w:vAlign w:val="bottom"/>
            <w:tcBorders>
              <w:bottom w:val="single" w:sz="8" w:color="585454"/>
            </w:tcBorders>
          </w:tcPr>
          <w:p>
            <w:pPr>
              <w:spacing w:after="0"/>
              <w:rPr>
                <w:sz w:val="11"/>
                <w:szCs w:val="11"/>
                <w:color w:val="auto"/>
              </w:rPr>
            </w:pPr>
          </w:p>
        </w:tc>
        <w:tc>
          <w:tcPr>
            <w:tcW w:w="40" w:type="dxa"/>
            <w:vAlign w:val="bottom"/>
            <w:tcBorders>
              <w:bottom w:val="single" w:sz="8" w:color="585454"/>
            </w:tcBorders>
          </w:tcPr>
          <w:p>
            <w:pPr>
              <w:spacing w:after="0"/>
              <w:rPr>
                <w:sz w:val="11"/>
                <w:szCs w:val="11"/>
                <w:color w:val="auto"/>
              </w:rPr>
            </w:pPr>
          </w:p>
        </w:tc>
        <w:tc>
          <w:tcPr>
            <w:tcW w:w="40" w:type="dxa"/>
            <w:vAlign w:val="bottom"/>
            <w:tcBorders>
              <w:bottom w:val="single" w:sz="8" w:color="585454"/>
            </w:tcBorders>
          </w:tcPr>
          <w:p>
            <w:pPr>
              <w:spacing w:after="0"/>
              <w:rPr>
                <w:sz w:val="11"/>
                <w:szCs w:val="11"/>
                <w:color w:val="auto"/>
              </w:rPr>
            </w:pPr>
          </w:p>
        </w:tc>
        <w:tc>
          <w:tcPr>
            <w:tcW w:w="160" w:type="dxa"/>
            <w:vAlign w:val="bottom"/>
            <w:tcBorders>
              <w:bottom w:val="single" w:sz="8" w:color="585454"/>
            </w:tcBorders>
          </w:tcPr>
          <w:p>
            <w:pPr>
              <w:spacing w:after="0"/>
              <w:rPr>
                <w:sz w:val="11"/>
                <w:szCs w:val="11"/>
                <w:color w:val="auto"/>
              </w:rPr>
            </w:pPr>
          </w:p>
        </w:tc>
        <w:tc>
          <w:tcPr>
            <w:tcW w:w="720" w:type="dxa"/>
            <w:vAlign w:val="bottom"/>
            <w:tcBorders>
              <w:bottom w:val="single" w:sz="8" w:color="585454"/>
            </w:tcBorders>
          </w:tcPr>
          <w:p>
            <w:pPr>
              <w:spacing w:after="0"/>
              <w:rPr>
                <w:sz w:val="11"/>
                <w:szCs w:val="11"/>
                <w:color w:val="auto"/>
              </w:rPr>
            </w:pPr>
          </w:p>
        </w:tc>
        <w:tc>
          <w:tcPr>
            <w:tcW w:w="120" w:type="dxa"/>
            <w:vAlign w:val="bottom"/>
            <w:tcBorders>
              <w:bottom w:val="single" w:sz="8" w:color="585454"/>
            </w:tcBorders>
          </w:tcPr>
          <w:p>
            <w:pPr>
              <w:spacing w:after="0"/>
              <w:rPr>
                <w:sz w:val="11"/>
                <w:szCs w:val="11"/>
                <w:color w:val="auto"/>
              </w:rPr>
            </w:pPr>
          </w:p>
        </w:tc>
        <w:tc>
          <w:tcPr>
            <w:tcW w:w="62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440  8</w:t>
            </w:r>
          </w:p>
        </w:tc>
        <w:tc>
          <w:tcPr>
            <w:tcW w:w="20" w:type="dxa"/>
            <w:vAlign w:val="bottom"/>
            <w:tcBorders>
              <w:bottom w:val="single" w:sz="8" w:color="585454"/>
            </w:tcBorders>
          </w:tcPr>
          <w:p>
            <w:pPr>
              <w:spacing w:after="0"/>
              <w:rPr>
                <w:sz w:val="11"/>
                <w:szCs w:val="11"/>
                <w:color w:val="auto"/>
              </w:rPr>
            </w:pPr>
          </w:p>
        </w:tc>
        <w:tc>
          <w:tcPr>
            <w:tcW w:w="120" w:type="dxa"/>
            <w:vAlign w:val="bottom"/>
            <w:tcBorders>
              <w:bottom w:val="single" w:sz="8" w:color="585454"/>
            </w:tcBorders>
          </w:tcPr>
          <w:p>
            <w:pPr>
              <w:spacing w:after="0"/>
              <w:rPr>
                <w:sz w:val="11"/>
                <w:szCs w:val="11"/>
                <w:color w:val="auto"/>
              </w:rPr>
            </w:pPr>
          </w:p>
        </w:tc>
        <w:tc>
          <w:tcPr>
            <w:tcW w:w="500" w:type="dxa"/>
            <w:vAlign w:val="bottom"/>
            <w:tcBorders>
              <w:bottom w:val="single" w:sz="8" w:color="585454"/>
            </w:tcBorders>
          </w:tcPr>
          <w:p>
            <w:pPr>
              <w:spacing w:after="0"/>
              <w:rPr>
                <w:sz w:val="11"/>
                <w:szCs w:val="11"/>
                <w:color w:val="auto"/>
              </w:rPr>
            </w:pPr>
          </w:p>
        </w:tc>
        <w:tc>
          <w:tcPr>
            <w:tcW w:w="120" w:type="dxa"/>
            <w:vAlign w:val="bottom"/>
            <w:tcBorders>
              <w:bottom w:val="single" w:sz="8" w:color="585454"/>
            </w:tcBorders>
          </w:tcPr>
          <w:p>
            <w:pPr>
              <w:spacing w:after="0"/>
              <w:rPr>
                <w:sz w:val="11"/>
                <w:szCs w:val="11"/>
                <w:color w:val="auto"/>
              </w:rPr>
            </w:pPr>
          </w:p>
        </w:tc>
        <w:tc>
          <w:tcPr>
            <w:tcW w:w="58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440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Income (loss) from continuing</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operations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25,357</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(6,604)</w:t>
            </w:r>
          </w:p>
        </w:tc>
        <w:tc>
          <w:tcPr>
            <w:tcW w:w="12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(28,456)</w:t>
            </w:r>
          </w:p>
        </w:tc>
        <w:tc>
          <w:tcPr>
            <w:tcW w:w="160" w:type="dxa"/>
            <w:vAlign w:val="bottom"/>
          </w:tcPr>
          <w:p>
            <w:pPr>
              <w:spacing w:after="0"/>
              <w:rPr>
                <w:sz w:val="12"/>
                <w:szCs w:val="12"/>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1,591</w:t>
            </w:r>
          </w:p>
        </w:tc>
        <w:tc>
          <w:tcPr>
            <w:tcW w:w="120" w:type="dxa"/>
            <w:vAlign w:val="bottom"/>
          </w:tcPr>
          <w:p>
            <w:pPr>
              <w:spacing w:after="0"/>
              <w:rPr>
                <w:sz w:val="12"/>
                <w:szCs w:val="12"/>
                <w:color w:val="auto"/>
              </w:rPr>
            </w:pPr>
          </w:p>
        </w:tc>
        <w:tc>
          <w:tcPr>
            <w:tcW w:w="62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8,157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(16,269)</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2,673</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expense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2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139"/>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Other loss, net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(744)</w:t>
            </w:r>
          </w:p>
        </w:tc>
        <w:tc>
          <w:tcPr>
            <w:tcW w:w="12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(744)</w:t>
            </w:r>
          </w:p>
        </w:tc>
        <w:tc>
          <w:tcPr>
            <w:tcW w:w="0" w:type="dxa"/>
            <w:vAlign w:val="bottom"/>
          </w:tcPr>
          <w:p>
            <w:pPr>
              <w:spacing w:after="0"/>
              <w:rPr>
                <w:sz w:val="1"/>
                <w:szCs w:val="1"/>
                <w:color w:val="auto"/>
              </w:rPr>
            </w:pPr>
          </w:p>
        </w:tc>
      </w:tr>
      <w:tr>
        <w:trPr>
          <w:trHeight w:val="154"/>
        </w:trPr>
        <w:tc>
          <w:tcPr>
            <w:tcW w:w="1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Income (loss) from continuing</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operations before income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taxes</w:t>
            </w:r>
          </w:p>
        </w:tc>
        <w:tc>
          <w:tcPr>
            <w:tcW w:w="20" w:type="dxa"/>
            <w:vAlign w:val="bottom"/>
          </w:tcPr>
          <w:p>
            <w:pPr>
              <w:spacing w:after="0"/>
              <w:rPr>
                <w:sz w:val="12"/>
                <w:szCs w:val="12"/>
                <w:color w:val="auto"/>
              </w:rPr>
            </w:pPr>
          </w:p>
        </w:tc>
        <w:tc>
          <w:tcPr>
            <w:tcW w:w="580" w:type="dxa"/>
            <w:vAlign w:val="bottom"/>
            <w:tcBorders>
              <w:bottom w:val="single" w:sz="8" w:color="585454"/>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25,357</w:t>
            </w:r>
          </w:p>
        </w:tc>
        <w:tc>
          <w:tcPr>
            <w:tcW w:w="12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(6,604)</w:t>
            </w:r>
          </w:p>
        </w:tc>
        <w:tc>
          <w:tcPr>
            <w:tcW w:w="12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bottom w:val="single" w:sz="8" w:color="585454"/>
            </w:tcBorders>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(28,456)</w:t>
            </w:r>
          </w:p>
        </w:tc>
        <w:tc>
          <w:tcPr>
            <w:tcW w:w="16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585454"/>
            </w:tcBorders>
          </w:tcPr>
          <w:p>
            <w:pPr>
              <w:ind w:left="280"/>
              <w:spacing w:after="0"/>
              <w:rPr>
                <w:sz w:val="20"/>
                <w:szCs w:val="20"/>
                <w:color w:val="auto"/>
              </w:rPr>
            </w:pPr>
            <w:r>
              <w:rPr>
                <w:rFonts w:ascii="Times New Roman" w:cs="Times New Roman" w:eastAsia="Times New Roman" w:hAnsi="Times New Roman"/>
                <w:sz w:val="12"/>
                <w:szCs w:val="12"/>
                <w:color w:val="auto"/>
              </w:rPr>
              <w:t>1,59 1</w:t>
            </w:r>
          </w:p>
        </w:tc>
        <w:tc>
          <w:tcPr>
            <w:tcW w:w="12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585454"/>
            </w:tcBorders>
          </w:tcPr>
          <w:p>
            <w:pPr>
              <w:jc w:val="right"/>
              <w:ind w:right="138"/>
              <w:spacing w:after="0"/>
              <w:rPr>
                <w:sz w:val="20"/>
                <w:szCs w:val="20"/>
                <w:color w:val="auto"/>
              </w:rPr>
            </w:pPr>
            <w:r>
              <w:rPr>
                <w:rFonts w:ascii="Times New Roman" w:cs="Times New Roman" w:eastAsia="Times New Roman" w:hAnsi="Times New Roman"/>
                <w:sz w:val="12"/>
                <w:szCs w:val="12"/>
                <w:color w:val="auto"/>
              </w:rPr>
              <w:t>8, 157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1,899</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(14,370)</w:t>
            </w:r>
          </w:p>
        </w:tc>
        <w:tc>
          <w:tcPr>
            <w:tcW w:w="0" w:type="dxa"/>
            <w:vAlign w:val="bottom"/>
          </w:tcPr>
          <w:p>
            <w:pPr>
              <w:spacing w:after="0"/>
              <w:rPr>
                <w:sz w:val="1"/>
                <w:szCs w:val="1"/>
                <w:color w:val="auto"/>
              </w:rPr>
            </w:pPr>
          </w:p>
        </w:tc>
      </w:tr>
      <w:tr>
        <w:trPr>
          <w:trHeight w:val="294"/>
        </w:trPr>
        <w:tc>
          <w:tcPr>
            <w:tcW w:w="1640" w:type="dxa"/>
            <w:vAlign w:val="bottom"/>
          </w:tcPr>
          <w:p>
            <w:pPr>
              <w:spacing w:after="0"/>
              <w:rPr>
                <w:sz w:val="24"/>
                <w:szCs w:val="24"/>
                <w:color w:val="auto"/>
              </w:rPr>
            </w:pPr>
          </w:p>
        </w:tc>
        <w:tc>
          <w:tcPr>
            <w:tcW w:w="20" w:type="dxa"/>
            <w:vAlign w:val="bottom"/>
            <w:tcBorders>
              <w:bottom w:val="single" w:sz="8" w:color="585454"/>
            </w:tcBorders>
          </w:tcPr>
          <w:p>
            <w:pPr>
              <w:spacing w:after="0"/>
              <w:rPr>
                <w:sz w:val="24"/>
                <w:szCs w:val="24"/>
                <w:color w:val="auto"/>
              </w:rPr>
            </w:pPr>
          </w:p>
        </w:tc>
        <w:tc>
          <w:tcPr>
            <w:tcW w:w="20" w:type="dxa"/>
            <w:vAlign w:val="bottom"/>
            <w:tcBorders>
              <w:bottom w:val="single" w:sz="8" w:color="585454"/>
            </w:tcBorders>
          </w:tcPr>
          <w:p>
            <w:pPr>
              <w:spacing w:after="0"/>
              <w:rPr>
                <w:sz w:val="24"/>
                <w:szCs w:val="24"/>
                <w:color w:val="auto"/>
              </w:rPr>
            </w:pPr>
          </w:p>
        </w:tc>
        <w:tc>
          <w:tcPr>
            <w:tcW w:w="560" w:type="dxa"/>
            <w:vAlign w:val="bottom"/>
            <w:tcBorders>
              <w:bottom w:val="single" w:sz="8" w:color="585454"/>
            </w:tcBorders>
          </w:tcPr>
          <w:p>
            <w:pPr>
              <w:spacing w:after="0"/>
              <w:rPr>
                <w:sz w:val="24"/>
                <w:szCs w:val="24"/>
                <w:color w:val="auto"/>
              </w:rPr>
            </w:pPr>
          </w:p>
        </w:tc>
        <w:tc>
          <w:tcPr>
            <w:tcW w:w="120" w:type="dxa"/>
            <w:vAlign w:val="bottom"/>
            <w:tcBorders>
              <w:bottom w:val="single" w:sz="8" w:color="585454"/>
            </w:tcBorders>
          </w:tcPr>
          <w:p>
            <w:pPr>
              <w:spacing w:after="0"/>
              <w:rPr>
                <w:sz w:val="24"/>
                <w:szCs w:val="24"/>
                <w:color w:val="auto"/>
              </w:rPr>
            </w:pPr>
          </w:p>
        </w:tc>
        <w:tc>
          <w:tcPr>
            <w:tcW w:w="480" w:type="dxa"/>
            <w:vAlign w:val="bottom"/>
            <w:tcBorders>
              <w:bottom w:val="single" w:sz="8" w:color="585454"/>
            </w:tcBorders>
          </w:tcPr>
          <w:p>
            <w:pPr>
              <w:spacing w:after="0"/>
              <w:rPr>
                <w:sz w:val="24"/>
                <w:szCs w:val="24"/>
                <w:color w:val="auto"/>
              </w:rPr>
            </w:pPr>
          </w:p>
        </w:tc>
        <w:tc>
          <w:tcPr>
            <w:tcW w:w="120" w:type="dxa"/>
            <w:vAlign w:val="bottom"/>
            <w:tcBorders>
              <w:bottom w:val="single" w:sz="8" w:color="585454"/>
            </w:tcBorders>
          </w:tcPr>
          <w:p>
            <w:pPr>
              <w:spacing w:after="0"/>
              <w:rPr>
                <w:sz w:val="24"/>
                <w:szCs w:val="24"/>
                <w:color w:val="auto"/>
              </w:rPr>
            </w:pPr>
          </w:p>
        </w:tc>
        <w:tc>
          <w:tcPr>
            <w:tcW w:w="2120" w:type="dxa"/>
            <w:vAlign w:val="bottom"/>
            <w:tcBorders>
              <w:bottom w:val="single" w:sz="8" w:color="585454"/>
            </w:tcBorders>
            <w:gridSpan w:val="8"/>
          </w:tcPr>
          <w:p>
            <w:pPr>
              <w:jc w:val="right"/>
              <w:ind w:right="240"/>
              <w:spacing w:after="0"/>
              <w:rPr>
                <w:sz w:val="20"/>
                <w:szCs w:val="20"/>
                <w:color w:val="auto"/>
              </w:rPr>
            </w:pPr>
            <w:r>
              <w:rPr>
                <w:rFonts w:ascii="Times New Roman" w:cs="Times New Roman" w:eastAsia="Times New Roman" w:hAnsi="Times New Roman"/>
                <w:sz w:val="12"/>
                <w:szCs w:val="12"/>
                <w:color w:val="auto"/>
              </w:rPr>
              <w:t>Year Ended November 25,2023</w:t>
            </w:r>
          </w:p>
        </w:tc>
        <w:tc>
          <w:tcPr>
            <w:tcW w:w="120" w:type="dxa"/>
            <w:vAlign w:val="bottom"/>
            <w:tcBorders>
              <w:bottom w:val="single" w:sz="8" w:color="585454"/>
            </w:tcBorders>
          </w:tcPr>
          <w:p>
            <w:pPr>
              <w:spacing w:after="0"/>
              <w:rPr>
                <w:sz w:val="24"/>
                <w:szCs w:val="24"/>
                <w:color w:val="auto"/>
              </w:rPr>
            </w:pPr>
          </w:p>
        </w:tc>
        <w:tc>
          <w:tcPr>
            <w:tcW w:w="500" w:type="dxa"/>
            <w:vAlign w:val="bottom"/>
            <w:tcBorders>
              <w:bottom w:val="single" w:sz="8" w:color="585454"/>
            </w:tcBorders>
          </w:tcPr>
          <w:p>
            <w:pPr>
              <w:spacing w:after="0"/>
              <w:rPr>
                <w:sz w:val="24"/>
                <w:szCs w:val="24"/>
                <w:color w:val="auto"/>
              </w:rPr>
            </w:pPr>
          </w:p>
        </w:tc>
        <w:tc>
          <w:tcPr>
            <w:tcW w:w="120" w:type="dxa"/>
            <w:vAlign w:val="bottom"/>
            <w:tcBorders>
              <w:bottom w:val="single" w:sz="8" w:color="585454"/>
            </w:tcBorders>
          </w:tcPr>
          <w:p>
            <w:pPr>
              <w:spacing w:after="0"/>
              <w:rPr>
                <w:sz w:val="24"/>
                <w:szCs w:val="24"/>
                <w:color w:val="auto"/>
              </w:rPr>
            </w:pPr>
          </w:p>
        </w:tc>
        <w:tc>
          <w:tcPr>
            <w:tcW w:w="580" w:type="dxa"/>
            <w:vAlign w:val="bottom"/>
            <w:tcBorders>
              <w:bottom w:val="single" w:sz="8" w:color="585454"/>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ind w:right="58"/>
              <w:spacing w:after="0" w:line="132" w:lineRule="exact"/>
              <w:rPr>
                <w:sz w:val="20"/>
                <w:szCs w:val="20"/>
                <w:color w:val="auto"/>
              </w:rPr>
            </w:pPr>
            <w:r>
              <w:rPr>
                <w:rFonts w:ascii="Times New Roman" w:cs="Times New Roman" w:eastAsia="Times New Roman" w:hAnsi="Times New Roman"/>
                <w:sz w:val="12"/>
                <w:szCs w:val="12"/>
                <w:color w:val="auto"/>
              </w:rPr>
              <w:t>GAAP</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20" w:type="dxa"/>
            <w:vAlign w:val="bottom"/>
            <w:tcBorders>
              <w:bottom w:val="single" w:sz="8" w:color="201C20"/>
            </w:tcBorders>
          </w:tcPr>
          <w:p>
            <w:pPr>
              <w:spacing w:after="0"/>
              <w:rPr>
                <w:sz w:val="12"/>
                <w:szCs w:val="12"/>
                <w:color w:val="auto"/>
              </w:rPr>
            </w:pPr>
          </w:p>
        </w:tc>
        <w:tc>
          <w:tcPr>
            <w:tcW w:w="20" w:type="dxa"/>
            <w:vAlign w:val="bottom"/>
            <w:tcBorders>
              <w:bottom w:val="single" w:sz="8" w:color="201C20"/>
            </w:tcBorders>
          </w:tcPr>
          <w:p>
            <w:pPr>
              <w:spacing w:after="0"/>
              <w:rPr>
                <w:sz w:val="12"/>
                <w:szCs w:val="12"/>
                <w:color w:val="auto"/>
              </w:rPr>
            </w:pPr>
          </w:p>
        </w:tc>
        <w:tc>
          <w:tcPr>
            <w:tcW w:w="1680" w:type="dxa"/>
            <w:vAlign w:val="bottom"/>
            <w:tcBorders>
              <w:bottom w:val="single" w:sz="8" w:color="201C20"/>
            </w:tcBorders>
            <w:gridSpan w:val="5"/>
          </w:tcPr>
          <w:p>
            <w:pPr>
              <w:jc w:val="right"/>
              <w:ind w:right="178"/>
              <w:spacing w:after="0"/>
              <w:rPr>
                <w:sz w:val="20"/>
                <w:szCs w:val="20"/>
                <w:color w:val="auto"/>
              </w:rPr>
            </w:pPr>
            <w:r>
              <w:rPr>
                <w:rFonts w:ascii="Times New Roman" w:cs="Times New Roman" w:eastAsia="Times New Roman" w:hAnsi="Times New Roman"/>
                <w:sz w:val="12"/>
                <w:szCs w:val="12"/>
                <w:color w:val="auto"/>
              </w:rPr>
              <w:t>Non-GAAP Presentation</w:t>
            </w:r>
          </w:p>
        </w:tc>
        <w:tc>
          <w:tcPr>
            <w:tcW w:w="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rPr>
              <w:t>Presentation</w:t>
            </w:r>
          </w:p>
        </w:tc>
        <w:tc>
          <w:tcPr>
            <w:tcW w:w="0" w:type="dxa"/>
            <w:vAlign w:val="bottom"/>
          </w:tcPr>
          <w:p>
            <w:pPr>
              <w:spacing w:after="0"/>
              <w:rPr>
                <w:sz w:val="1"/>
                <w:szCs w:val="1"/>
                <w:color w:val="auto"/>
              </w:rPr>
            </w:pPr>
          </w:p>
        </w:tc>
      </w:tr>
      <w:tr>
        <w:trPr>
          <w:trHeight w:val="131"/>
        </w:trPr>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4"/>
          </w:tcPr>
          <w:p>
            <w:pPr>
              <w:spacing w:after="0" w:line="131" w:lineRule="exact"/>
              <w:rPr>
                <w:sz w:val="20"/>
                <w:szCs w:val="20"/>
                <w:color w:val="auto"/>
              </w:rPr>
            </w:pPr>
            <w:r>
              <w:rPr>
                <w:rFonts w:ascii="Times New Roman" w:cs="Times New Roman" w:eastAsia="Times New Roman" w:hAnsi="Times New Roman"/>
                <w:sz w:val="12"/>
                <w:szCs w:val="12"/>
                <w:color w:val="auto"/>
              </w:rPr>
              <w:t>Corporate</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3"/>
          </w:tcPr>
          <w:p>
            <w:pPr>
              <w:jc w:val="right"/>
              <w:ind w:right="340"/>
              <w:spacing w:after="0" w:line="131" w:lineRule="exact"/>
              <w:rPr>
                <w:sz w:val="20"/>
                <w:szCs w:val="20"/>
                <w:color w:val="auto"/>
              </w:rPr>
            </w:pPr>
            <w:r>
              <w:rPr>
                <w:rFonts w:ascii="Times New Roman" w:cs="Times New Roman" w:eastAsia="Times New Roman" w:hAnsi="Times New Roman"/>
                <w:sz w:val="12"/>
                <w:szCs w:val="12"/>
                <w:color w:val="auto"/>
              </w:rPr>
              <w:t>Special</w:t>
            </w:r>
          </w:p>
        </w:tc>
        <w:tc>
          <w:tcPr>
            <w:tcW w:w="120" w:type="dxa"/>
            <w:vAlign w:val="bottom"/>
          </w:tcPr>
          <w:p>
            <w:pPr>
              <w:spacing w:after="0"/>
              <w:rPr>
                <w:sz w:val="11"/>
                <w:szCs w:val="11"/>
                <w:color w:val="auto"/>
              </w:rPr>
            </w:pPr>
          </w:p>
        </w:tc>
        <w:tc>
          <w:tcPr>
            <w:tcW w:w="500" w:type="dxa"/>
            <w:vAlign w:val="bottom"/>
          </w:tcPr>
          <w:p>
            <w:pPr>
              <w:jc w:val="center"/>
              <w:ind w:right="78"/>
              <w:spacing w:after="0" w:line="131" w:lineRule="exact"/>
              <w:rPr>
                <w:sz w:val="20"/>
                <w:szCs w:val="20"/>
                <w:color w:val="auto"/>
              </w:rPr>
            </w:pPr>
            <w:r>
              <w:rPr>
                <w:rFonts w:ascii="Times New Roman" w:cs="Times New Roman" w:eastAsia="Times New Roman" w:hAnsi="Times New Roman"/>
                <w:sz w:val="12"/>
                <w:szCs w:val="12"/>
                <w:color w:val="auto"/>
                <w:w w:val="97"/>
              </w:rPr>
              <w:t>Non-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8"/>
              </w:rPr>
              <w:t>Wholesale</w:t>
            </w:r>
          </w:p>
        </w:tc>
        <w:tc>
          <w:tcPr>
            <w:tcW w:w="120" w:type="dxa"/>
            <w:vAlign w:val="bottom"/>
          </w:tcPr>
          <w:p>
            <w:pPr>
              <w:spacing w:after="0"/>
              <w:rPr>
                <w:sz w:val="12"/>
                <w:szCs w:val="12"/>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Retail</w:t>
            </w:r>
          </w:p>
        </w:tc>
        <w:tc>
          <w:tcPr>
            <w:tcW w:w="60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&amp; Other</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Eliminations</w:t>
            </w: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Items</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Operating</w:t>
            </w: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color w:val="auto"/>
                <w:w w:val="99"/>
              </w:rPr>
              <w:t>Conso lidated</w:t>
            </w:r>
          </w:p>
        </w:tc>
        <w:tc>
          <w:tcPr>
            <w:tcW w:w="0" w:type="dxa"/>
            <w:vAlign w:val="bottom"/>
          </w:tcPr>
          <w:p>
            <w:pPr>
              <w:spacing w:after="0"/>
              <w:rPr>
                <w:sz w:val="1"/>
                <w:szCs w:val="1"/>
                <w:color w:val="auto"/>
              </w:rPr>
            </w:pPr>
          </w:p>
        </w:tc>
      </w:tr>
      <w:tr>
        <w:trPr>
          <w:trHeight w:val="131"/>
        </w:trPr>
        <w:tc>
          <w:tcPr>
            <w:tcW w:w="164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Net sales of furniture and</w:t>
            </w:r>
          </w:p>
        </w:tc>
        <w:tc>
          <w:tcPr>
            <w:tcW w:w="20" w:type="dxa"/>
            <w:vAlign w:val="bottom"/>
            <w:tcBorders>
              <w:top w:val="single" w:sz="8" w:color="201C20"/>
            </w:tcBorders>
          </w:tcPr>
          <w:p>
            <w:pPr>
              <w:spacing w:after="0"/>
              <w:rPr>
                <w:sz w:val="11"/>
                <w:szCs w:val="11"/>
                <w:color w:val="auto"/>
              </w:rPr>
            </w:pPr>
          </w:p>
        </w:tc>
        <w:tc>
          <w:tcPr>
            <w:tcW w:w="20" w:type="dxa"/>
            <w:vAlign w:val="bottom"/>
            <w:tcBorders>
              <w:top w:val="single" w:sz="8" w:color="201C20"/>
            </w:tcBorders>
          </w:tcPr>
          <w:p>
            <w:pPr>
              <w:spacing w:after="0"/>
              <w:rPr>
                <w:sz w:val="11"/>
                <w:szCs w:val="11"/>
                <w:color w:val="auto"/>
              </w:rPr>
            </w:pPr>
          </w:p>
        </w:tc>
        <w:tc>
          <w:tcPr>
            <w:tcW w:w="560" w:type="dxa"/>
            <w:vAlign w:val="bottom"/>
            <w:tcBorders>
              <w:top w:val="single" w:sz="8" w:color="201C20"/>
            </w:tcBorders>
          </w:tcPr>
          <w:p>
            <w:pPr>
              <w:spacing w:after="0"/>
              <w:rPr>
                <w:sz w:val="11"/>
                <w:szCs w:val="11"/>
                <w:color w:val="auto"/>
              </w:rPr>
            </w:pPr>
          </w:p>
        </w:tc>
        <w:tc>
          <w:tcPr>
            <w:tcW w:w="120" w:type="dxa"/>
            <w:vAlign w:val="bottom"/>
            <w:tcBorders>
              <w:top w:val="single" w:sz="8" w:color="201C20"/>
            </w:tcBorders>
          </w:tcPr>
          <w:p>
            <w:pPr>
              <w:spacing w:after="0"/>
              <w:rPr>
                <w:sz w:val="11"/>
                <w:szCs w:val="11"/>
                <w:color w:val="auto"/>
              </w:rPr>
            </w:pPr>
          </w:p>
        </w:tc>
        <w:tc>
          <w:tcPr>
            <w:tcW w:w="480" w:type="dxa"/>
            <w:vAlign w:val="bottom"/>
            <w:tcBorders>
              <w:top w:val="single" w:sz="8" w:color="201C20"/>
            </w:tcBorders>
          </w:tcPr>
          <w:p>
            <w:pPr>
              <w:spacing w:after="0"/>
              <w:rPr>
                <w:sz w:val="11"/>
                <w:szCs w:val="11"/>
                <w:color w:val="auto"/>
              </w:rPr>
            </w:pPr>
          </w:p>
        </w:tc>
        <w:tc>
          <w:tcPr>
            <w:tcW w:w="120" w:type="dxa"/>
            <w:vAlign w:val="bottom"/>
            <w:tcBorders>
              <w:top w:val="single" w:sz="8" w:color="201C20"/>
            </w:tcBorders>
          </w:tcPr>
          <w:p>
            <w:pPr>
              <w:spacing w:after="0"/>
              <w:rPr>
                <w:sz w:val="11"/>
                <w:szCs w:val="11"/>
                <w:color w:val="auto"/>
              </w:rPr>
            </w:pPr>
          </w:p>
        </w:tc>
        <w:tc>
          <w:tcPr>
            <w:tcW w:w="400" w:type="dxa"/>
            <w:vAlign w:val="bottom"/>
            <w:tcBorders>
              <w:top w:val="single" w:sz="8" w:color="201C20"/>
            </w:tcBorders>
          </w:tcPr>
          <w:p>
            <w:pPr>
              <w:spacing w:after="0"/>
              <w:rPr>
                <w:sz w:val="11"/>
                <w:szCs w:val="11"/>
                <w:color w:val="auto"/>
              </w:rPr>
            </w:pPr>
          </w:p>
        </w:tc>
        <w:tc>
          <w:tcPr>
            <w:tcW w:w="40" w:type="dxa"/>
            <w:vAlign w:val="bottom"/>
            <w:tcBorders>
              <w:top w:val="single" w:sz="8" w:color="201C20"/>
            </w:tcBorders>
          </w:tcPr>
          <w:p>
            <w:pPr>
              <w:spacing w:after="0"/>
              <w:rPr>
                <w:sz w:val="11"/>
                <w:szCs w:val="11"/>
                <w:color w:val="auto"/>
              </w:rPr>
            </w:pPr>
          </w:p>
        </w:tc>
        <w:tc>
          <w:tcPr>
            <w:tcW w:w="40" w:type="dxa"/>
            <w:vAlign w:val="bottom"/>
            <w:tcBorders>
              <w:top w:val="single" w:sz="8" w:color="201C20"/>
            </w:tcBorders>
          </w:tcPr>
          <w:p>
            <w:pPr>
              <w:spacing w:after="0"/>
              <w:rPr>
                <w:sz w:val="11"/>
                <w:szCs w:val="11"/>
                <w:color w:val="auto"/>
              </w:rPr>
            </w:pPr>
          </w:p>
        </w:tc>
        <w:tc>
          <w:tcPr>
            <w:tcW w:w="160" w:type="dxa"/>
            <w:vAlign w:val="bottom"/>
            <w:tcBorders>
              <w:top w:val="single" w:sz="8" w:color="201C20"/>
            </w:tcBorders>
          </w:tcPr>
          <w:p>
            <w:pPr>
              <w:spacing w:after="0"/>
              <w:rPr>
                <w:sz w:val="11"/>
                <w:szCs w:val="11"/>
                <w:color w:val="auto"/>
              </w:rPr>
            </w:pPr>
          </w:p>
        </w:tc>
        <w:tc>
          <w:tcPr>
            <w:tcW w:w="720" w:type="dxa"/>
            <w:vAlign w:val="bottom"/>
            <w:tcBorders>
              <w:top w:val="single" w:sz="8" w:color="201C20"/>
            </w:tcBorders>
          </w:tcPr>
          <w:p>
            <w:pPr>
              <w:spacing w:after="0"/>
              <w:rPr>
                <w:sz w:val="11"/>
                <w:szCs w:val="11"/>
                <w:color w:val="auto"/>
              </w:rPr>
            </w:pPr>
          </w:p>
        </w:tc>
        <w:tc>
          <w:tcPr>
            <w:tcW w:w="120" w:type="dxa"/>
            <w:vAlign w:val="bottom"/>
            <w:tcBorders>
              <w:top w:val="single" w:sz="8" w:color="201C20"/>
            </w:tcBorders>
          </w:tcPr>
          <w:p>
            <w:pPr>
              <w:spacing w:after="0"/>
              <w:rPr>
                <w:sz w:val="11"/>
                <w:szCs w:val="11"/>
                <w:color w:val="auto"/>
              </w:rPr>
            </w:pPr>
          </w:p>
        </w:tc>
        <w:tc>
          <w:tcPr>
            <w:tcW w:w="620" w:type="dxa"/>
            <w:vAlign w:val="bottom"/>
            <w:tcBorders>
              <w:top w:val="single" w:sz="8" w:color="201C20"/>
            </w:tcBorders>
          </w:tcPr>
          <w:p>
            <w:pPr>
              <w:spacing w:after="0"/>
              <w:rPr>
                <w:sz w:val="11"/>
                <w:szCs w:val="11"/>
                <w:color w:val="auto"/>
              </w:rPr>
            </w:pPr>
          </w:p>
        </w:tc>
        <w:tc>
          <w:tcPr>
            <w:tcW w:w="20" w:type="dxa"/>
            <w:vAlign w:val="bottom"/>
            <w:tcBorders>
              <w:top w:val="single" w:sz="8" w:color="201C20"/>
            </w:tcBorders>
          </w:tcPr>
          <w:p>
            <w:pPr>
              <w:spacing w:after="0"/>
              <w:rPr>
                <w:sz w:val="11"/>
                <w:szCs w:val="11"/>
                <w:color w:val="auto"/>
              </w:rPr>
            </w:pPr>
          </w:p>
        </w:tc>
        <w:tc>
          <w:tcPr>
            <w:tcW w:w="120" w:type="dxa"/>
            <w:vAlign w:val="bottom"/>
            <w:tcBorders>
              <w:top w:val="single" w:sz="8" w:color="201C20"/>
            </w:tcBorders>
          </w:tcPr>
          <w:p>
            <w:pPr>
              <w:spacing w:after="0"/>
              <w:rPr>
                <w:sz w:val="11"/>
                <w:szCs w:val="11"/>
                <w:color w:val="auto"/>
              </w:rPr>
            </w:pPr>
          </w:p>
        </w:tc>
        <w:tc>
          <w:tcPr>
            <w:tcW w:w="500" w:type="dxa"/>
            <w:vAlign w:val="bottom"/>
            <w:tcBorders>
              <w:top w:val="single" w:sz="8" w:color="201C20"/>
            </w:tcBorders>
          </w:tcPr>
          <w:p>
            <w:pPr>
              <w:spacing w:after="0"/>
              <w:rPr>
                <w:sz w:val="11"/>
                <w:szCs w:val="11"/>
                <w:color w:val="auto"/>
              </w:rPr>
            </w:pPr>
          </w:p>
        </w:tc>
        <w:tc>
          <w:tcPr>
            <w:tcW w:w="120" w:type="dxa"/>
            <w:vAlign w:val="bottom"/>
            <w:tcBorders>
              <w:top w:val="single" w:sz="8" w:color="201C20"/>
            </w:tcBorders>
          </w:tcPr>
          <w:p>
            <w:pPr>
              <w:spacing w:after="0"/>
              <w:rPr>
                <w:sz w:val="11"/>
                <w:szCs w:val="11"/>
                <w:color w:val="auto"/>
              </w:rPr>
            </w:pPr>
          </w:p>
        </w:tc>
        <w:tc>
          <w:tcPr>
            <w:tcW w:w="580" w:type="dxa"/>
            <w:vAlign w:val="bottom"/>
            <w:tcBorders>
              <w:top w:val="single" w:sz="8" w:color="201C2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accessories</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248,911</w:t>
            </w:r>
          </w:p>
        </w:tc>
        <w:tc>
          <w:tcPr>
            <w:tcW w:w="600" w:type="dxa"/>
            <w:vAlign w:val="bottom"/>
            <w:gridSpan w:val="2"/>
          </w:tcPr>
          <w:p>
            <w:pPr>
              <w:jc w:val="right"/>
              <w:ind w:right="18"/>
              <w:spacing w:after="0"/>
              <w:rPr>
                <w:sz w:val="20"/>
                <w:szCs w:val="20"/>
                <w:color w:val="auto"/>
              </w:rPr>
            </w:pPr>
            <w:r>
              <w:rPr>
                <w:rFonts w:ascii="Times New Roman" w:cs="Times New Roman" w:eastAsia="Times New Roman" w:hAnsi="Times New Roman"/>
                <w:sz w:val="12"/>
                <w:szCs w:val="12"/>
                <w:color w:val="auto"/>
              </w:rPr>
              <w:t>$235,940</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8,804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center"/>
              <w:spacing w:after="0"/>
              <w:rPr>
                <w:sz w:val="20"/>
                <w:szCs w:val="20"/>
                <w:color w:val="auto"/>
              </w:rPr>
            </w:pPr>
            <w:r>
              <w:rPr>
                <w:rFonts w:ascii="Arial" w:cs="Arial" w:eastAsia="Arial" w:hAnsi="Arial"/>
                <w:sz w:val="12"/>
                <w:szCs w:val="12"/>
                <w:color w:val="auto"/>
              </w:rPr>
              <w:t xml:space="preserve">(I </w:t>
            </w:r>
            <w:r>
              <w:rPr>
                <w:rFonts w:ascii="Times New Roman" w:cs="Times New Roman" w:eastAsia="Times New Roman" w:hAnsi="Times New Roman"/>
                <w:sz w:val="12"/>
                <w:szCs w:val="12"/>
                <w:color w:val="auto"/>
              </w:rPr>
              <w:t>03,519)(1)</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390, 136</w:t>
            </w:r>
          </w:p>
        </w:tc>
        <w:tc>
          <w:tcPr>
            <w:tcW w:w="0" w:type="dxa"/>
            <w:vAlign w:val="bottom"/>
          </w:tcPr>
          <w:p>
            <w:pPr>
              <w:spacing w:after="0"/>
              <w:rPr>
                <w:sz w:val="1"/>
                <w:szCs w:val="1"/>
                <w:color w:val="auto"/>
              </w:rPr>
            </w:pPr>
          </w:p>
        </w:tc>
      </w:tr>
      <w:tr>
        <w:trPr>
          <w:trHeight w:val="139"/>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Cost of furniture and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accessories so ld</w:t>
            </w:r>
          </w:p>
        </w:tc>
        <w:tc>
          <w:tcPr>
            <w:tcW w:w="600" w:type="dxa"/>
            <w:vAlign w:val="bottom"/>
            <w:tcBorders>
              <w:bottom w:val="single" w:sz="8" w:color="201C20"/>
            </w:tcBorders>
            <w:gridSpan w:val="3"/>
          </w:tcPr>
          <w:p>
            <w:pPr>
              <w:jc w:val="right"/>
              <w:spacing w:after="0"/>
              <w:rPr>
                <w:sz w:val="20"/>
                <w:szCs w:val="20"/>
                <w:color w:val="auto"/>
              </w:rPr>
            </w:pPr>
            <w:r>
              <w:rPr>
                <w:rFonts w:ascii="Times New Roman" w:cs="Times New Roman" w:eastAsia="Times New Roman" w:hAnsi="Times New Roman"/>
                <w:sz w:val="12"/>
                <w:szCs w:val="12"/>
                <w:color w:val="auto"/>
              </w:rPr>
              <w:t>171 ,394</w:t>
            </w:r>
          </w:p>
        </w:tc>
        <w:tc>
          <w:tcPr>
            <w:tcW w:w="120" w:type="dxa"/>
            <w:vAlign w:val="bottom"/>
            <w:tcBorders>
              <w:bottom w:val="single" w:sz="8" w:color="201C20"/>
            </w:tcBorders>
          </w:tcPr>
          <w:p>
            <w:pPr>
              <w:spacing w:after="0"/>
              <w:rPr>
                <w:sz w:val="12"/>
                <w:szCs w:val="12"/>
                <w:color w:val="auto"/>
              </w:rPr>
            </w:pPr>
          </w:p>
        </w:tc>
        <w:tc>
          <w:tcPr>
            <w:tcW w:w="480" w:type="dxa"/>
            <w:vAlign w:val="bottom"/>
            <w:tcBorders>
              <w:bottom w:val="single" w:sz="8" w:color="201C20"/>
            </w:tcBorders>
          </w:tcPr>
          <w:p>
            <w:pPr>
              <w:jc w:val="right"/>
              <w:ind w:right="18"/>
              <w:spacing w:after="0"/>
              <w:rPr>
                <w:sz w:val="20"/>
                <w:szCs w:val="20"/>
                <w:color w:val="auto"/>
              </w:rPr>
            </w:pPr>
            <w:r>
              <w:rPr>
                <w:rFonts w:ascii="Times New Roman" w:cs="Times New Roman" w:eastAsia="Times New Roman" w:hAnsi="Times New Roman"/>
                <w:sz w:val="12"/>
                <w:szCs w:val="12"/>
                <w:color w:val="auto"/>
                <w:w w:val="90"/>
              </w:rPr>
              <w:t>111 ,769</w:t>
            </w:r>
          </w:p>
        </w:tc>
        <w:tc>
          <w:tcPr>
            <w:tcW w:w="120" w:type="dxa"/>
            <w:vAlign w:val="bottom"/>
            <w:tcBorders>
              <w:bottom w:val="single" w:sz="8" w:color="201C20"/>
            </w:tcBorders>
          </w:tcPr>
          <w:p>
            <w:pPr>
              <w:spacing w:after="0"/>
              <w:rPr>
                <w:sz w:val="12"/>
                <w:szCs w:val="12"/>
                <w:color w:val="auto"/>
              </w:rPr>
            </w:pPr>
          </w:p>
        </w:tc>
        <w:tc>
          <w:tcPr>
            <w:tcW w:w="40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12"/>
                <w:szCs w:val="12"/>
                <w:color w:val="auto"/>
              </w:rPr>
              <w:t>4,002</w:t>
            </w:r>
          </w:p>
        </w:tc>
        <w:tc>
          <w:tcPr>
            <w:tcW w:w="40" w:type="dxa"/>
            <w:vAlign w:val="bottom"/>
            <w:tcBorders>
              <w:bottom w:val="single" w:sz="8" w:color="201C20"/>
            </w:tcBorders>
          </w:tcPr>
          <w:p>
            <w:pPr>
              <w:spacing w:after="0"/>
              <w:rPr>
                <w:sz w:val="12"/>
                <w:szCs w:val="12"/>
                <w:color w:val="auto"/>
              </w:rPr>
            </w:pPr>
          </w:p>
        </w:tc>
        <w:tc>
          <w:tcPr>
            <w:tcW w:w="40" w:type="dxa"/>
            <w:vAlign w:val="bottom"/>
            <w:tcBorders>
              <w:bottom w:val="single" w:sz="8" w:color="201C20"/>
            </w:tcBorders>
          </w:tcPr>
          <w:p>
            <w:pPr>
              <w:spacing w:after="0"/>
              <w:rPr>
                <w:sz w:val="12"/>
                <w:szCs w:val="12"/>
                <w:color w:val="auto"/>
              </w:rPr>
            </w:pPr>
          </w:p>
        </w:tc>
        <w:tc>
          <w:tcPr>
            <w:tcW w:w="160" w:type="dxa"/>
            <w:vAlign w:val="bottom"/>
            <w:tcBorders>
              <w:bottom w:val="single" w:sz="8" w:color="201C20"/>
            </w:tcBorders>
          </w:tcPr>
          <w:p>
            <w:pPr>
              <w:spacing w:after="0"/>
              <w:rPr>
                <w:sz w:val="12"/>
                <w:szCs w:val="12"/>
                <w:color w:val="auto"/>
              </w:rPr>
            </w:pPr>
          </w:p>
        </w:tc>
        <w:tc>
          <w:tcPr>
            <w:tcW w:w="720" w:type="dxa"/>
            <w:vAlign w:val="bottom"/>
            <w:tcBorders>
              <w:bottom w:val="single" w:sz="8" w:color="201C20"/>
            </w:tcBorders>
          </w:tcPr>
          <w:p>
            <w:pPr>
              <w:jc w:val="center"/>
              <w:spacing w:after="0"/>
              <w:rPr>
                <w:sz w:val="20"/>
                <w:szCs w:val="20"/>
                <w:color w:val="auto"/>
              </w:rPr>
            </w:pPr>
            <w:r>
              <w:rPr>
                <w:rFonts w:ascii="Arial" w:cs="Arial" w:eastAsia="Arial" w:hAnsi="Arial"/>
                <w:sz w:val="12"/>
                <w:szCs w:val="12"/>
                <w:color w:val="auto"/>
              </w:rPr>
              <w:t xml:space="preserve">(I </w:t>
            </w:r>
            <w:r>
              <w:rPr>
                <w:rFonts w:ascii="Times New Roman" w:cs="Times New Roman" w:eastAsia="Times New Roman" w:hAnsi="Times New Roman"/>
                <w:sz w:val="12"/>
                <w:szCs w:val="12"/>
                <w:color w:val="auto"/>
              </w:rPr>
              <w:t>03,517)(2)</w:t>
            </w:r>
          </w:p>
        </w:tc>
        <w:tc>
          <w:tcPr>
            <w:tcW w:w="120" w:type="dxa"/>
            <w:vAlign w:val="bottom"/>
            <w:tcBorders>
              <w:bottom w:val="single" w:sz="8" w:color="201C20"/>
            </w:tcBorders>
          </w:tcPr>
          <w:p>
            <w:pPr>
              <w:spacing w:after="0"/>
              <w:rPr>
                <w:sz w:val="12"/>
                <w:szCs w:val="12"/>
                <w:color w:val="auto"/>
              </w:rPr>
            </w:pPr>
          </w:p>
        </w:tc>
        <w:tc>
          <w:tcPr>
            <w:tcW w:w="620" w:type="dxa"/>
            <w:vAlign w:val="bottom"/>
            <w:tcBorders>
              <w:bottom w:val="single" w:sz="8" w:color="201C20"/>
            </w:tcBorders>
          </w:tcPr>
          <w:p>
            <w:pPr>
              <w:spacing w:after="0"/>
              <w:rPr>
                <w:sz w:val="12"/>
                <w:szCs w:val="12"/>
                <w:color w:val="auto"/>
              </w:rPr>
            </w:pPr>
          </w:p>
        </w:tc>
        <w:tc>
          <w:tcPr>
            <w:tcW w:w="20" w:type="dxa"/>
            <w:vAlign w:val="bottom"/>
            <w:tcBorders>
              <w:bottom w:val="single" w:sz="8" w:color="201C20"/>
            </w:tcBorders>
          </w:tcPr>
          <w:p>
            <w:pPr>
              <w:spacing w:after="0"/>
              <w:rPr>
                <w:sz w:val="12"/>
                <w:szCs w:val="12"/>
                <w:color w:val="auto"/>
              </w:rPr>
            </w:pPr>
          </w:p>
        </w:tc>
        <w:tc>
          <w:tcPr>
            <w:tcW w:w="120" w:type="dxa"/>
            <w:vAlign w:val="bottom"/>
            <w:tcBorders>
              <w:bottom w:val="single" w:sz="8" w:color="201C20"/>
            </w:tcBorders>
          </w:tcPr>
          <w:p>
            <w:pPr>
              <w:spacing w:after="0"/>
              <w:rPr>
                <w:sz w:val="12"/>
                <w:szCs w:val="12"/>
                <w:color w:val="auto"/>
              </w:rPr>
            </w:pPr>
          </w:p>
        </w:tc>
        <w:tc>
          <w:tcPr>
            <w:tcW w:w="500" w:type="dxa"/>
            <w:vAlign w:val="bottom"/>
            <w:tcBorders>
              <w:bottom w:val="single" w:sz="8" w:color="201C20"/>
            </w:tcBorders>
          </w:tcPr>
          <w:p>
            <w:pPr>
              <w:spacing w:after="0"/>
              <w:rPr>
                <w:sz w:val="12"/>
                <w:szCs w:val="12"/>
                <w:color w:val="auto"/>
              </w:rPr>
            </w:pPr>
          </w:p>
        </w:tc>
        <w:tc>
          <w:tcPr>
            <w:tcW w:w="120" w:type="dxa"/>
            <w:vAlign w:val="bottom"/>
            <w:tcBorders>
              <w:bottom w:val="single" w:sz="8" w:color="201C20"/>
            </w:tcBorders>
          </w:tcPr>
          <w:p>
            <w:pPr>
              <w:spacing w:after="0"/>
              <w:rPr>
                <w:sz w:val="12"/>
                <w:szCs w:val="12"/>
                <w:color w:val="auto"/>
              </w:rPr>
            </w:pPr>
          </w:p>
        </w:tc>
        <w:tc>
          <w:tcPr>
            <w:tcW w:w="58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12"/>
                <w:szCs w:val="12"/>
                <w:color w:val="auto"/>
              </w:rPr>
              <w:t>183,648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40" w:type="dxa"/>
            <w:vAlign w:val="bottom"/>
          </w:tcPr>
          <w:p>
            <w:pPr>
              <w:ind w:left="240"/>
              <w:spacing w:after="0" w:line="131" w:lineRule="exact"/>
              <w:rPr>
                <w:sz w:val="20"/>
                <w:szCs w:val="20"/>
                <w:color w:val="auto"/>
              </w:rPr>
            </w:pPr>
            <w:r>
              <w:rPr>
                <w:rFonts w:ascii="Times New Roman" w:cs="Times New Roman" w:eastAsia="Times New Roman" w:hAnsi="Times New Roman"/>
                <w:sz w:val="12"/>
                <w:szCs w:val="12"/>
                <w:color w:val="auto"/>
              </w:rPr>
              <w:t>Gross profit</w:t>
            </w:r>
          </w:p>
        </w:tc>
        <w:tc>
          <w:tcPr>
            <w:tcW w:w="60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2"/>
                <w:szCs w:val="12"/>
                <w:color w:val="auto"/>
              </w:rPr>
              <w:t>77,5 17</w:t>
            </w:r>
          </w:p>
        </w:tc>
        <w:tc>
          <w:tcPr>
            <w:tcW w:w="120" w:type="dxa"/>
            <w:vAlign w:val="bottom"/>
          </w:tcPr>
          <w:p>
            <w:pPr>
              <w:spacing w:after="0"/>
              <w:rPr>
                <w:sz w:val="11"/>
                <w:szCs w:val="11"/>
                <w:color w:val="auto"/>
              </w:rPr>
            </w:pPr>
          </w:p>
        </w:tc>
        <w:tc>
          <w:tcPr>
            <w:tcW w:w="48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124, 171</w:t>
            </w:r>
          </w:p>
        </w:tc>
        <w:tc>
          <w:tcPr>
            <w:tcW w:w="120" w:type="dxa"/>
            <w:vAlign w:val="bottom"/>
          </w:tcPr>
          <w:p>
            <w:pPr>
              <w:spacing w:after="0"/>
              <w:rPr>
                <w:sz w:val="11"/>
                <w:szCs w:val="11"/>
                <w:color w:val="auto"/>
              </w:rPr>
            </w:pPr>
          </w:p>
        </w:tc>
        <w:tc>
          <w:tcPr>
            <w:tcW w:w="4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4,802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(2)(3)</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206,488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SG&amp;A expense</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46,8 18</w:t>
            </w:r>
          </w:p>
        </w:tc>
        <w:tc>
          <w:tcPr>
            <w:tcW w:w="120" w:type="dxa"/>
            <w:vAlign w:val="bottom"/>
          </w:tcPr>
          <w:p>
            <w:pPr>
              <w:spacing w:after="0"/>
              <w:rPr>
                <w:sz w:val="12"/>
                <w:szCs w:val="12"/>
                <w:color w:val="auto"/>
              </w:rPr>
            </w:pPr>
          </w:p>
        </w:tc>
        <w:tc>
          <w:tcPr>
            <w:tcW w:w="4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7"/>
              </w:rPr>
              <w:t>124,707</w:t>
            </w: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34,728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( 1,026)(4)</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205,227</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Goodwi ll impainnent charge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5,409 (9)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5,409</w:t>
            </w:r>
          </w:p>
        </w:tc>
        <w:tc>
          <w:tcPr>
            <w:tcW w:w="0" w:type="dxa"/>
            <w:vAlign w:val="bottom"/>
          </w:tcPr>
          <w:p>
            <w:pPr>
              <w:spacing w:after="0"/>
              <w:rPr>
                <w:sz w:val="1"/>
                <w:szCs w:val="1"/>
                <w:color w:val="auto"/>
              </w:rPr>
            </w:pPr>
          </w:p>
        </w:tc>
      </w:tr>
      <w:tr>
        <w:trPr>
          <w:trHeight w:val="139"/>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Gain on revaluation of</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 xml:space="preserve">.!,Q!l </w:t>
            </w:r>
            <w:r>
              <w:rPr>
                <w:rFonts w:ascii="Times New Roman" w:cs="Times New Roman" w:eastAsia="Times New Roman" w:hAnsi="Times New Roman"/>
                <w:sz w:val="11"/>
                <w:szCs w:val="11"/>
                <w:color w:val="auto"/>
              </w:rPr>
              <w:t>(10)</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contingent consideration</w:t>
            </w:r>
          </w:p>
        </w:tc>
        <w:tc>
          <w:tcPr>
            <w:tcW w:w="20" w:type="dxa"/>
            <w:vAlign w:val="bottom"/>
            <w:tcBorders>
              <w:bottom w:val="single" w:sz="8" w:color="3C383C"/>
            </w:tcBorders>
          </w:tcPr>
          <w:p>
            <w:pPr>
              <w:spacing w:after="0"/>
              <w:rPr>
                <w:sz w:val="12"/>
                <w:szCs w:val="12"/>
                <w:color w:val="auto"/>
              </w:rPr>
            </w:pPr>
          </w:p>
        </w:tc>
        <w:tc>
          <w:tcPr>
            <w:tcW w:w="20" w:type="dxa"/>
            <w:vAlign w:val="bottom"/>
            <w:tcBorders>
              <w:bottom w:val="single" w:sz="8" w:color="3C383C"/>
            </w:tcBorders>
          </w:tcPr>
          <w:p>
            <w:pPr>
              <w:spacing w:after="0"/>
              <w:rPr>
                <w:sz w:val="12"/>
                <w:szCs w:val="12"/>
                <w:color w:val="auto"/>
              </w:rPr>
            </w:pPr>
          </w:p>
        </w:tc>
        <w:tc>
          <w:tcPr>
            <w:tcW w:w="560" w:type="dxa"/>
            <w:vAlign w:val="bottom"/>
            <w:tcBorders>
              <w:bottom w:val="single" w:sz="8" w:color="3C383C"/>
            </w:tcBorders>
          </w:tcPr>
          <w:p>
            <w:pPr>
              <w:spacing w:after="0"/>
              <w:rPr>
                <w:sz w:val="12"/>
                <w:szCs w:val="12"/>
                <w:color w:val="auto"/>
              </w:rPr>
            </w:pPr>
          </w:p>
        </w:tc>
        <w:tc>
          <w:tcPr>
            <w:tcW w:w="120" w:type="dxa"/>
            <w:vAlign w:val="bottom"/>
            <w:tcBorders>
              <w:bottom w:val="single" w:sz="8" w:color="3C383C"/>
            </w:tcBorders>
          </w:tcPr>
          <w:p>
            <w:pPr>
              <w:spacing w:after="0"/>
              <w:rPr>
                <w:sz w:val="12"/>
                <w:szCs w:val="12"/>
                <w:color w:val="auto"/>
              </w:rPr>
            </w:pPr>
          </w:p>
        </w:tc>
        <w:tc>
          <w:tcPr>
            <w:tcW w:w="480" w:type="dxa"/>
            <w:vAlign w:val="bottom"/>
            <w:tcBorders>
              <w:bottom w:val="single" w:sz="8" w:color="3C383C"/>
            </w:tcBorders>
          </w:tcPr>
          <w:p>
            <w:pPr>
              <w:spacing w:after="0"/>
              <w:rPr>
                <w:sz w:val="12"/>
                <w:szCs w:val="12"/>
                <w:color w:val="auto"/>
              </w:rPr>
            </w:pPr>
          </w:p>
        </w:tc>
        <w:tc>
          <w:tcPr>
            <w:tcW w:w="120" w:type="dxa"/>
            <w:vAlign w:val="bottom"/>
            <w:tcBorders>
              <w:bottom w:val="single" w:sz="8" w:color="3C383C"/>
            </w:tcBorders>
          </w:tcPr>
          <w:p>
            <w:pPr>
              <w:spacing w:after="0"/>
              <w:rPr>
                <w:sz w:val="12"/>
                <w:szCs w:val="12"/>
                <w:color w:val="auto"/>
              </w:rPr>
            </w:pPr>
          </w:p>
        </w:tc>
        <w:tc>
          <w:tcPr>
            <w:tcW w:w="400" w:type="dxa"/>
            <w:vAlign w:val="bottom"/>
            <w:tcBorders>
              <w:bottom w:val="single" w:sz="8" w:color="3C383C"/>
            </w:tcBorders>
          </w:tcPr>
          <w:p>
            <w:pPr>
              <w:spacing w:after="0"/>
              <w:rPr>
                <w:sz w:val="12"/>
                <w:szCs w:val="12"/>
                <w:color w:val="auto"/>
              </w:rPr>
            </w:pPr>
          </w:p>
        </w:tc>
        <w:tc>
          <w:tcPr>
            <w:tcW w:w="40" w:type="dxa"/>
            <w:vAlign w:val="bottom"/>
            <w:tcBorders>
              <w:bottom w:val="single" w:sz="8" w:color="3C383C"/>
            </w:tcBorders>
          </w:tcPr>
          <w:p>
            <w:pPr>
              <w:spacing w:after="0"/>
              <w:rPr>
                <w:sz w:val="12"/>
                <w:szCs w:val="12"/>
                <w:color w:val="auto"/>
              </w:rPr>
            </w:pPr>
          </w:p>
        </w:tc>
        <w:tc>
          <w:tcPr>
            <w:tcW w:w="40" w:type="dxa"/>
            <w:vAlign w:val="bottom"/>
            <w:tcBorders>
              <w:bottom w:val="single" w:sz="8" w:color="3C383C"/>
            </w:tcBorders>
          </w:tcPr>
          <w:p>
            <w:pPr>
              <w:spacing w:after="0"/>
              <w:rPr>
                <w:sz w:val="12"/>
                <w:szCs w:val="12"/>
                <w:color w:val="auto"/>
              </w:rPr>
            </w:pPr>
          </w:p>
        </w:tc>
        <w:tc>
          <w:tcPr>
            <w:tcW w:w="160" w:type="dxa"/>
            <w:vAlign w:val="bottom"/>
            <w:tcBorders>
              <w:bottom w:val="single" w:sz="8" w:color="3C383C"/>
            </w:tcBorders>
          </w:tcPr>
          <w:p>
            <w:pPr>
              <w:spacing w:after="0"/>
              <w:rPr>
                <w:sz w:val="12"/>
                <w:szCs w:val="12"/>
                <w:color w:val="auto"/>
              </w:rPr>
            </w:pPr>
          </w:p>
        </w:tc>
        <w:tc>
          <w:tcPr>
            <w:tcW w:w="720" w:type="dxa"/>
            <w:vAlign w:val="bottom"/>
            <w:tcBorders>
              <w:bottom w:val="single" w:sz="8" w:color="3C383C"/>
            </w:tcBorders>
          </w:tcPr>
          <w:p>
            <w:pPr>
              <w:spacing w:after="0"/>
              <w:rPr>
                <w:sz w:val="12"/>
                <w:szCs w:val="12"/>
                <w:color w:val="auto"/>
              </w:rPr>
            </w:pPr>
          </w:p>
        </w:tc>
        <w:tc>
          <w:tcPr>
            <w:tcW w:w="120" w:type="dxa"/>
            <w:vAlign w:val="bottom"/>
            <w:tcBorders>
              <w:bottom w:val="single" w:sz="8" w:color="3C383C"/>
            </w:tcBorders>
          </w:tcPr>
          <w:p>
            <w:pPr>
              <w:spacing w:after="0"/>
              <w:rPr>
                <w:sz w:val="12"/>
                <w:szCs w:val="12"/>
                <w:color w:val="auto"/>
              </w:rPr>
            </w:pPr>
          </w:p>
        </w:tc>
        <w:tc>
          <w:tcPr>
            <w:tcW w:w="640" w:type="dxa"/>
            <w:vAlign w:val="bottom"/>
            <w:tcBorders>
              <w:bottom w:val="single" w:sz="8" w:color="3C383C"/>
            </w:tcBorders>
            <w:gridSpan w:val="2"/>
            <w:vMerge w:val="continue"/>
          </w:tcPr>
          <w:p>
            <w:pPr>
              <w:spacing w:after="0"/>
              <w:rPr>
                <w:sz w:val="12"/>
                <w:szCs w:val="12"/>
                <w:color w:val="auto"/>
              </w:rPr>
            </w:pPr>
          </w:p>
        </w:tc>
        <w:tc>
          <w:tcPr>
            <w:tcW w:w="120" w:type="dxa"/>
            <w:vAlign w:val="bottom"/>
            <w:tcBorders>
              <w:bottom w:val="single" w:sz="8" w:color="3C383C"/>
            </w:tcBorders>
          </w:tcPr>
          <w:p>
            <w:pPr>
              <w:spacing w:after="0"/>
              <w:rPr>
                <w:sz w:val="12"/>
                <w:szCs w:val="12"/>
                <w:color w:val="auto"/>
              </w:rPr>
            </w:pPr>
          </w:p>
        </w:tc>
        <w:tc>
          <w:tcPr>
            <w:tcW w:w="500" w:type="dxa"/>
            <w:vAlign w:val="bottom"/>
            <w:tcBorders>
              <w:bottom w:val="single" w:sz="8" w:color="3C383C"/>
            </w:tcBorders>
          </w:tcPr>
          <w:p>
            <w:pPr>
              <w:spacing w:after="0"/>
              <w:rPr>
                <w:sz w:val="12"/>
                <w:szCs w:val="12"/>
                <w:color w:val="auto"/>
              </w:rPr>
            </w:pPr>
          </w:p>
        </w:tc>
        <w:tc>
          <w:tcPr>
            <w:tcW w:w="120" w:type="dxa"/>
            <w:vAlign w:val="bottom"/>
            <w:tcBorders>
              <w:bottom w:val="single" w:sz="8" w:color="3C383C"/>
            </w:tcBorders>
          </w:tcPr>
          <w:p>
            <w:pPr>
              <w:spacing w:after="0"/>
              <w:rPr>
                <w:sz w:val="12"/>
                <w:szCs w:val="12"/>
                <w:color w:val="auto"/>
              </w:rPr>
            </w:pPr>
          </w:p>
        </w:tc>
        <w:tc>
          <w:tcPr>
            <w:tcW w:w="580" w:type="dxa"/>
            <w:vAlign w:val="bottom"/>
            <w:tcBorders>
              <w:bottom w:val="single" w:sz="8" w:color="3C383C"/>
            </w:tcBorders>
          </w:tcPr>
          <w:p>
            <w:pPr>
              <w:jc w:val="right"/>
              <w:spacing w:after="0"/>
              <w:rPr>
                <w:sz w:val="20"/>
                <w:szCs w:val="20"/>
                <w:color w:val="auto"/>
              </w:rPr>
            </w:pPr>
            <w:r>
              <w:rPr>
                <w:rFonts w:ascii="Times New Roman" w:cs="Times New Roman" w:eastAsia="Times New Roman" w:hAnsi="Times New Roman"/>
                <w:sz w:val="12"/>
                <w:szCs w:val="12"/>
                <w:color w:val="auto"/>
              </w:rPr>
              <w:t>1,013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4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Income (loss) from continuing</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operations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30,699</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w:t>
            </w:r>
          </w:p>
        </w:tc>
        <w:tc>
          <w:tcPr>
            <w:tcW w:w="120" w:type="dxa"/>
            <w:vAlign w:val="bottom"/>
          </w:tcPr>
          <w:p>
            <w:pPr>
              <w:spacing w:after="0"/>
              <w:rPr>
                <w:sz w:val="12"/>
                <w:szCs w:val="12"/>
                <w:color w:val="auto"/>
              </w:rPr>
            </w:pP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(29,926)</w:t>
            </w:r>
          </w:p>
        </w:tc>
        <w:tc>
          <w:tcPr>
            <w:tcW w:w="160" w:type="dxa"/>
            <w:vAlign w:val="bottom"/>
          </w:tcPr>
          <w:p>
            <w:pPr>
              <w:spacing w:after="0"/>
              <w:rPr>
                <w:sz w:val="12"/>
                <w:szCs w:val="12"/>
                <w:color w:val="auto"/>
              </w:rPr>
            </w:pPr>
          </w:p>
        </w:tc>
        <w:tc>
          <w:tcPr>
            <w:tcW w:w="720" w:type="dxa"/>
            <w:vAlign w:val="bottom"/>
          </w:tcPr>
          <w:p>
            <w:pPr>
              <w:jc w:val="right"/>
              <w:ind w:right="158"/>
              <w:spacing w:after="0"/>
              <w:rPr>
                <w:sz w:val="20"/>
                <w:szCs w:val="20"/>
                <w:color w:val="auto"/>
              </w:rPr>
            </w:pPr>
            <w:r>
              <w:rPr>
                <w:rFonts w:ascii="Times New Roman" w:cs="Times New Roman" w:eastAsia="Times New Roman" w:hAnsi="Times New Roman"/>
                <w:sz w:val="12"/>
                <w:szCs w:val="12"/>
                <w:color w:val="auto"/>
              </w:rPr>
              <w:t>1,024</w:t>
            </w:r>
          </w:p>
        </w:tc>
        <w:tc>
          <w:tcPr>
            <w:tcW w:w="120" w:type="dxa"/>
            <w:vAlign w:val="bottom"/>
          </w:tcPr>
          <w:p>
            <w:pPr>
              <w:spacing w:after="0"/>
              <w:rPr>
                <w:sz w:val="12"/>
                <w:szCs w:val="12"/>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4,396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(3,135)</w:t>
            </w:r>
          </w:p>
        </w:tc>
        <w:tc>
          <w:tcPr>
            <w:tcW w:w="0" w:type="dxa"/>
            <w:vAlign w:val="bottom"/>
          </w:tcPr>
          <w:p>
            <w:pPr>
              <w:spacing w:after="0"/>
              <w:rPr>
                <w:sz w:val="1"/>
                <w:szCs w:val="1"/>
                <w:color w:val="auto"/>
              </w:rPr>
            </w:pPr>
          </w:p>
        </w:tc>
      </w:tr>
      <w:tr>
        <w:trPr>
          <w:trHeight w:val="139"/>
        </w:trPr>
        <w:tc>
          <w:tcPr>
            <w:tcW w:w="1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income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2,528</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2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137"/>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Other loss, net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(1,859)</w:t>
            </w:r>
          </w:p>
        </w:tc>
        <w:tc>
          <w:tcPr>
            <w:tcW w:w="12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( 1,859)</w:t>
            </w:r>
          </w:p>
        </w:tc>
        <w:tc>
          <w:tcPr>
            <w:tcW w:w="0" w:type="dxa"/>
            <w:vAlign w:val="bottom"/>
          </w:tcPr>
          <w:p>
            <w:pPr>
              <w:spacing w:after="0"/>
              <w:rPr>
                <w:sz w:val="1"/>
                <w:szCs w:val="1"/>
                <w:color w:val="auto"/>
              </w:rPr>
            </w:pPr>
          </w:p>
        </w:tc>
      </w:tr>
      <w:tr>
        <w:trPr>
          <w:trHeight w:val="136"/>
        </w:trPr>
        <w:tc>
          <w:tcPr>
            <w:tcW w:w="164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Income (loss) from continuing</w:t>
            </w:r>
          </w:p>
        </w:tc>
        <w:tc>
          <w:tcPr>
            <w:tcW w:w="20" w:type="dxa"/>
            <w:vAlign w:val="bottom"/>
            <w:tcBorders>
              <w:top w:val="single" w:sz="8" w:color="585454"/>
            </w:tcBorders>
          </w:tcPr>
          <w:p>
            <w:pPr>
              <w:spacing w:after="0"/>
              <w:rPr>
                <w:sz w:val="11"/>
                <w:szCs w:val="11"/>
                <w:color w:val="auto"/>
              </w:rPr>
            </w:pPr>
          </w:p>
        </w:tc>
        <w:tc>
          <w:tcPr>
            <w:tcW w:w="20" w:type="dxa"/>
            <w:vAlign w:val="bottom"/>
            <w:tcBorders>
              <w:top w:val="single" w:sz="8" w:color="585454"/>
            </w:tcBorders>
          </w:tcPr>
          <w:p>
            <w:pPr>
              <w:spacing w:after="0"/>
              <w:rPr>
                <w:sz w:val="11"/>
                <w:szCs w:val="11"/>
                <w:color w:val="auto"/>
              </w:rPr>
            </w:pPr>
          </w:p>
        </w:tc>
        <w:tc>
          <w:tcPr>
            <w:tcW w:w="560" w:type="dxa"/>
            <w:vAlign w:val="bottom"/>
            <w:tcBorders>
              <w:top w:val="single" w:sz="8" w:color="585454"/>
            </w:tcBorders>
          </w:tcPr>
          <w:p>
            <w:pPr>
              <w:spacing w:after="0"/>
              <w:rPr>
                <w:sz w:val="11"/>
                <w:szCs w:val="11"/>
                <w:color w:val="auto"/>
              </w:rPr>
            </w:pPr>
          </w:p>
        </w:tc>
        <w:tc>
          <w:tcPr>
            <w:tcW w:w="120" w:type="dxa"/>
            <w:vAlign w:val="bottom"/>
            <w:tcBorders>
              <w:top w:val="single" w:sz="8" w:color="585454"/>
            </w:tcBorders>
          </w:tcPr>
          <w:p>
            <w:pPr>
              <w:spacing w:after="0"/>
              <w:rPr>
                <w:sz w:val="11"/>
                <w:szCs w:val="11"/>
                <w:color w:val="auto"/>
              </w:rPr>
            </w:pPr>
          </w:p>
        </w:tc>
        <w:tc>
          <w:tcPr>
            <w:tcW w:w="480" w:type="dxa"/>
            <w:vAlign w:val="bottom"/>
            <w:tcBorders>
              <w:top w:val="single" w:sz="8" w:color="585454"/>
            </w:tcBorders>
          </w:tcPr>
          <w:p>
            <w:pPr>
              <w:spacing w:after="0"/>
              <w:rPr>
                <w:sz w:val="11"/>
                <w:szCs w:val="11"/>
                <w:color w:val="auto"/>
              </w:rPr>
            </w:pPr>
          </w:p>
        </w:tc>
        <w:tc>
          <w:tcPr>
            <w:tcW w:w="120" w:type="dxa"/>
            <w:vAlign w:val="bottom"/>
            <w:tcBorders>
              <w:top w:val="single" w:sz="8" w:color="585454"/>
            </w:tcBorders>
          </w:tcPr>
          <w:p>
            <w:pPr>
              <w:spacing w:after="0"/>
              <w:rPr>
                <w:sz w:val="11"/>
                <w:szCs w:val="11"/>
                <w:color w:val="auto"/>
              </w:rPr>
            </w:pPr>
          </w:p>
        </w:tc>
        <w:tc>
          <w:tcPr>
            <w:tcW w:w="400" w:type="dxa"/>
            <w:vAlign w:val="bottom"/>
            <w:tcBorders>
              <w:top w:val="single" w:sz="8" w:color="585454"/>
            </w:tcBorders>
          </w:tcPr>
          <w:p>
            <w:pPr>
              <w:spacing w:after="0"/>
              <w:rPr>
                <w:sz w:val="11"/>
                <w:szCs w:val="11"/>
                <w:color w:val="auto"/>
              </w:rPr>
            </w:pPr>
          </w:p>
        </w:tc>
        <w:tc>
          <w:tcPr>
            <w:tcW w:w="40" w:type="dxa"/>
            <w:vAlign w:val="bottom"/>
            <w:tcBorders>
              <w:top w:val="single" w:sz="8" w:color="585454"/>
            </w:tcBorders>
          </w:tcPr>
          <w:p>
            <w:pPr>
              <w:spacing w:after="0"/>
              <w:rPr>
                <w:sz w:val="11"/>
                <w:szCs w:val="11"/>
                <w:color w:val="auto"/>
              </w:rPr>
            </w:pPr>
          </w:p>
        </w:tc>
        <w:tc>
          <w:tcPr>
            <w:tcW w:w="40" w:type="dxa"/>
            <w:vAlign w:val="bottom"/>
            <w:tcBorders>
              <w:top w:val="single" w:sz="8" w:color="585454"/>
            </w:tcBorders>
          </w:tcPr>
          <w:p>
            <w:pPr>
              <w:spacing w:after="0"/>
              <w:rPr>
                <w:sz w:val="11"/>
                <w:szCs w:val="11"/>
                <w:color w:val="auto"/>
              </w:rPr>
            </w:pPr>
          </w:p>
        </w:tc>
        <w:tc>
          <w:tcPr>
            <w:tcW w:w="160" w:type="dxa"/>
            <w:vAlign w:val="bottom"/>
            <w:tcBorders>
              <w:top w:val="single" w:sz="8" w:color="585454"/>
            </w:tcBorders>
          </w:tcPr>
          <w:p>
            <w:pPr>
              <w:spacing w:after="0"/>
              <w:rPr>
                <w:sz w:val="11"/>
                <w:szCs w:val="11"/>
                <w:color w:val="auto"/>
              </w:rPr>
            </w:pPr>
          </w:p>
        </w:tc>
        <w:tc>
          <w:tcPr>
            <w:tcW w:w="720" w:type="dxa"/>
            <w:vAlign w:val="bottom"/>
            <w:tcBorders>
              <w:top w:val="single" w:sz="8" w:color="585454"/>
            </w:tcBorders>
          </w:tcPr>
          <w:p>
            <w:pPr>
              <w:spacing w:after="0"/>
              <w:rPr>
                <w:sz w:val="11"/>
                <w:szCs w:val="11"/>
                <w:color w:val="auto"/>
              </w:rPr>
            </w:pPr>
          </w:p>
        </w:tc>
        <w:tc>
          <w:tcPr>
            <w:tcW w:w="120" w:type="dxa"/>
            <w:vAlign w:val="bottom"/>
            <w:tcBorders>
              <w:top w:val="single" w:sz="8" w:color="585454"/>
            </w:tcBorders>
          </w:tcPr>
          <w:p>
            <w:pPr>
              <w:spacing w:after="0"/>
              <w:rPr>
                <w:sz w:val="11"/>
                <w:szCs w:val="11"/>
                <w:color w:val="auto"/>
              </w:rPr>
            </w:pPr>
          </w:p>
        </w:tc>
        <w:tc>
          <w:tcPr>
            <w:tcW w:w="620" w:type="dxa"/>
            <w:vAlign w:val="bottom"/>
            <w:tcBorders>
              <w:top w:val="single" w:sz="8" w:color="585454"/>
            </w:tcBorders>
          </w:tcPr>
          <w:p>
            <w:pPr>
              <w:spacing w:after="0"/>
              <w:rPr>
                <w:sz w:val="11"/>
                <w:szCs w:val="11"/>
                <w:color w:val="auto"/>
              </w:rPr>
            </w:pPr>
          </w:p>
        </w:tc>
        <w:tc>
          <w:tcPr>
            <w:tcW w:w="20" w:type="dxa"/>
            <w:vAlign w:val="bottom"/>
            <w:tcBorders>
              <w:top w:val="single" w:sz="8" w:color="585454"/>
            </w:tcBorders>
          </w:tcPr>
          <w:p>
            <w:pPr>
              <w:spacing w:after="0"/>
              <w:rPr>
                <w:sz w:val="11"/>
                <w:szCs w:val="11"/>
                <w:color w:val="auto"/>
              </w:rPr>
            </w:pPr>
          </w:p>
        </w:tc>
        <w:tc>
          <w:tcPr>
            <w:tcW w:w="120" w:type="dxa"/>
            <w:vAlign w:val="bottom"/>
            <w:tcBorders>
              <w:top w:val="single" w:sz="8" w:color="585454"/>
            </w:tcBorders>
          </w:tcPr>
          <w:p>
            <w:pPr>
              <w:spacing w:after="0"/>
              <w:rPr>
                <w:sz w:val="11"/>
                <w:szCs w:val="11"/>
                <w:color w:val="auto"/>
              </w:rPr>
            </w:pPr>
          </w:p>
        </w:tc>
        <w:tc>
          <w:tcPr>
            <w:tcW w:w="500" w:type="dxa"/>
            <w:vAlign w:val="bottom"/>
            <w:tcBorders>
              <w:top w:val="single" w:sz="8" w:color="585454"/>
            </w:tcBorders>
          </w:tcPr>
          <w:p>
            <w:pPr>
              <w:spacing w:after="0"/>
              <w:rPr>
                <w:sz w:val="11"/>
                <w:szCs w:val="11"/>
                <w:color w:val="auto"/>
              </w:rPr>
            </w:pPr>
          </w:p>
        </w:tc>
        <w:tc>
          <w:tcPr>
            <w:tcW w:w="120" w:type="dxa"/>
            <w:vAlign w:val="bottom"/>
            <w:tcBorders>
              <w:top w:val="single" w:sz="8" w:color="585454"/>
            </w:tcBorders>
          </w:tcPr>
          <w:p>
            <w:pPr>
              <w:spacing w:after="0"/>
              <w:rPr>
                <w:sz w:val="11"/>
                <w:szCs w:val="11"/>
                <w:color w:val="auto"/>
              </w:rPr>
            </w:pPr>
          </w:p>
        </w:tc>
        <w:tc>
          <w:tcPr>
            <w:tcW w:w="580" w:type="dxa"/>
            <w:vAlign w:val="bottom"/>
            <w:tcBorders>
              <w:top w:val="single" w:sz="8" w:color="585454"/>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operations before income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taxes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30,699</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(29,926)</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8"/>
              </w:rPr>
              <w:t>1,024</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4,396</w:t>
            </w:r>
          </w:p>
        </w:tc>
        <w:tc>
          <w:tcPr>
            <w:tcW w:w="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647</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Management's Discussion and Ana lysis of Financial Cond ition and Results of Operations - Continued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(Amounts in thou sands except share and per share data)</w:t>
      </w:r>
    </w:p>
    <w:p>
      <w:pPr>
        <w:spacing w:after="0" w:line="15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Year Ended November 26,2022</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GAAP</w:t>
            </w:r>
          </w:p>
        </w:tc>
      </w:tr>
      <w:tr>
        <w:trPr>
          <w:trHeight w:val="147"/>
        </w:trPr>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Borders>
              <w:bottom w:val="single" w:sz="8" w:color="585454"/>
            </w:tcBorders>
            <w:gridSpan w:val="4"/>
          </w:tcPr>
          <w:p>
            <w:pPr>
              <w:jc w:val="right"/>
              <w:ind w:right="138"/>
              <w:spacing w:after="0"/>
              <w:rPr>
                <w:sz w:val="20"/>
                <w:szCs w:val="20"/>
                <w:color w:val="auto"/>
              </w:rPr>
            </w:pPr>
            <w:r>
              <w:rPr>
                <w:rFonts w:ascii="Times New Roman" w:cs="Times New Roman" w:eastAsia="Times New Roman" w:hAnsi="Times New Roman"/>
                <w:sz w:val="12"/>
                <w:szCs w:val="12"/>
                <w:color w:val="auto"/>
              </w:rPr>
              <w:t>Non-G AAP Presentation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Presentation</w:t>
            </w:r>
          </w:p>
        </w:tc>
      </w:tr>
      <w:tr>
        <w:trPr>
          <w:trHeight w:val="140"/>
        </w:trPr>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Corporate</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gridSpan w:val="2"/>
          </w:tcPr>
          <w:p>
            <w:pPr>
              <w:jc w:val="center"/>
              <w:ind w:right="199"/>
              <w:spacing w:after="0"/>
              <w:rPr>
                <w:sz w:val="20"/>
                <w:szCs w:val="20"/>
                <w:color w:val="auto"/>
              </w:rPr>
            </w:pPr>
            <w:r>
              <w:rPr>
                <w:rFonts w:ascii="Times New Roman" w:cs="Times New Roman" w:eastAsia="Times New Roman" w:hAnsi="Times New Roman"/>
                <w:sz w:val="12"/>
                <w:szCs w:val="12"/>
                <w:color w:val="auto"/>
              </w:rPr>
              <w:t>Special</w:t>
            </w:r>
          </w:p>
        </w:tc>
        <w:tc>
          <w:tcPr>
            <w:tcW w:w="100" w:type="dxa"/>
            <w:vAlign w:val="bottom"/>
          </w:tcPr>
          <w:p>
            <w:pPr>
              <w:spacing w:after="0"/>
              <w:rPr>
                <w:sz w:val="12"/>
                <w:szCs w:val="12"/>
                <w:color w:val="auto"/>
              </w:rPr>
            </w:pPr>
          </w:p>
        </w:tc>
        <w:tc>
          <w:tcPr>
            <w:tcW w:w="48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Non-</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Wholesale</w:t>
            </w:r>
          </w:p>
        </w:tc>
        <w:tc>
          <w:tcPr>
            <w:tcW w:w="120" w:type="dxa"/>
            <w:vAlign w:val="bottom"/>
          </w:tcPr>
          <w:p>
            <w:pPr>
              <w:spacing w:after="0"/>
              <w:rPr>
                <w:sz w:val="12"/>
                <w:szCs w:val="12"/>
                <w:color w:val="auto"/>
              </w:rPr>
            </w:pPr>
          </w:p>
        </w:tc>
        <w:tc>
          <w:tcPr>
            <w:tcW w:w="46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Retail</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&amp;Other</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Eliminations</w:t>
            </w:r>
          </w:p>
        </w:tc>
        <w:tc>
          <w:tcPr>
            <w:tcW w:w="120" w:type="dxa"/>
            <w:vAlign w:val="bottom"/>
          </w:tcPr>
          <w:p>
            <w:pPr>
              <w:spacing w:after="0"/>
              <w:rPr>
                <w:sz w:val="12"/>
                <w:szCs w:val="12"/>
                <w:color w:val="auto"/>
              </w:rPr>
            </w:pPr>
          </w:p>
        </w:tc>
        <w:tc>
          <w:tcPr>
            <w:tcW w:w="680" w:type="dxa"/>
            <w:vAlign w:val="bottom"/>
          </w:tcPr>
          <w:p>
            <w:pPr>
              <w:jc w:val="center"/>
              <w:ind w:right="299"/>
              <w:spacing w:after="0"/>
              <w:rPr>
                <w:sz w:val="20"/>
                <w:szCs w:val="20"/>
                <w:color w:val="auto"/>
              </w:rPr>
            </w:pPr>
            <w:r>
              <w:rPr>
                <w:rFonts w:ascii="Times New Roman" w:cs="Times New Roman" w:eastAsia="Times New Roman" w:hAnsi="Times New Roman"/>
                <w:sz w:val="12"/>
                <w:szCs w:val="12"/>
                <w:color w:val="auto"/>
              </w:rPr>
              <w:t>Items</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Operating</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Consolidated</w:t>
            </w:r>
          </w:p>
        </w:tc>
      </w:tr>
      <w:tr>
        <w:trPr>
          <w:trHeight w:val="140"/>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sa les of furniture and</w:t>
            </w:r>
          </w:p>
        </w:tc>
        <w:tc>
          <w:tcPr>
            <w:tcW w:w="560" w:type="dxa"/>
            <w:vAlign w:val="bottom"/>
            <w:tcBorders>
              <w:top w:val="single" w:sz="8" w:color="585454"/>
            </w:tcBorders>
          </w:tcPr>
          <w:p>
            <w:pPr>
              <w:spacing w:after="0"/>
              <w:rPr>
                <w:sz w:val="12"/>
                <w:szCs w:val="12"/>
                <w:color w:val="auto"/>
              </w:rPr>
            </w:pPr>
          </w:p>
        </w:tc>
        <w:tc>
          <w:tcPr>
            <w:tcW w:w="120" w:type="dxa"/>
            <w:vAlign w:val="bottom"/>
            <w:tcBorders>
              <w:top w:val="single" w:sz="8" w:color="585454"/>
            </w:tcBorders>
          </w:tcPr>
          <w:p>
            <w:pPr>
              <w:spacing w:after="0"/>
              <w:rPr>
                <w:sz w:val="12"/>
                <w:szCs w:val="12"/>
                <w:color w:val="auto"/>
              </w:rPr>
            </w:pPr>
          </w:p>
        </w:tc>
        <w:tc>
          <w:tcPr>
            <w:tcW w:w="460" w:type="dxa"/>
            <w:vAlign w:val="bottom"/>
            <w:tcBorders>
              <w:top w:val="single" w:sz="8" w:color="585454"/>
            </w:tcBorders>
          </w:tcPr>
          <w:p>
            <w:pPr>
              <w:spacing w:after="0"/>
              <w:rPr>
                <w:sz w:val="12"/>
                <w:szCs w:val="12"/>
                <w:color w:val="auto"/>
              </w:rPr>
            </w:pPr>
          </w:p>
        </w:tc>
        <w:tc>
          <w:tcPr>
            <w:tcW w:w="540" w:type="dxa"/>
            <w:vAlign w:val="bottom"/>
            <w:tcBorders>
              <w:top w:val="single" w:sz="8" w:color="585454"/>
            </w:tcBorders>
          </w:tcPr>
          <w:p>
            <w:pPr>
              <w:spacing w:after="0"/>
              <w:rPr>
                <w:sz w:val="12"/>
                <w:szCs w:val="12"/>
                <w:color w:val="auto"/>
              </w:rPr>
            </w:pPr>
          </w:p>
        </w:tc>
        <w:tc>
          <w:tcPr>
            <w:tcW w:w="80" w:type="dxa"/>
            <w:vAlign w:val="bottom"/>
            <w:tcBorders>
              <w:top w:val="single" w:sz="8" w:color="585454"/>
            </w:tcBorders>
          </w:tcPr>
          <w:p>
            <w:pPr>
              <w:spacing w:after="0"/>
              <w:rPr>
                <w:sz w:val="12"/>
                <w:szCs w:val="12"/>
                <w:color w:val="auto"/>
              </w:rPr>
            </w:pPr>
          </w:p>
        </w:tc>
        <w:tc>
          <w:tcPr>
            <w:tcW w:w="140" w:type="dxa"/>
            <w:vAlign w:val="bottom"/>
            <w:tcBorders>
              <w:top w:val="single" w:sz="8" w:color="585454"/>
            </w:tcBorders>
          </w:tcPr>
          <w:p>
            <w:pPr>
              <w:spacing w:after="0"/>
              <w:rPr>
                <w:sz w:val="12"/>
                <w:szCs w:val="12"/>
                <w:color w:val="auto"/>
              </w:rPr>
            </w:pPr>
          </w:p>
        </w:tc>
        <w:tc>
          <w:tcPr>
            <w:tcW w:w="740" w:type="dxa"/>
            <w:vAlign w:val="bottom"/>
            <w:tcBorders>
              <w:top w:val="single" w:sz="8" w:color="585454"/>
            </w:tcBorders>
          </w:tcPr>
          <w:p>
            <w:pPr>
              <w:spacing w:after="0"/>
              <w:rPr>
                <w:sz w:val="12"/>
                <w:szCs w:val="12"/>
                <w:color w:val="auto"/>
              </w:rPr>
            </w:pPr>
          </w:p>
        </w:tc>
        <w:tc>
          <w:tcPr>
            <w:tcW w:w="120" w:type="dxa"/>
            <w:vAlign w:val="bottom"/>
            <w:tcBorders>
              <w:top w:val="single" w:sz="8" w:color="585454"/>
            </w:tcBorders>
          </w:tcPr>
          <w:p>
            <w:pPr>
              <w:spacing w:after="0"/>
              <w:rPr>
                <w:sz w:val="12"/>
                <w:szCs w:val="12"/>
                <w:color w:val="auto"/>
              </w:rPr>
            </w:pPr>
          </w:p>
        </w:tc>
        <w:tc>
          <w:tcPr>
            <w:tcW w:w="680" w:type="dxa"/>
            <w:vAlign w:val="bottom"/>
            <w:tcBorders>
              <w:top w:val="single" w:sz="8" w:color="585454"/>
            </w:tcBorders>
          </w:tcPr>
          <w:p>
            <w:pPr>
              <w:spacing w:after="0"/>
              <w:rPr>
                <w:sz w:val="12"/>
                <w:szCs w:val="12"/>
                <w:color w:val="auto"/>
              </w:rPr>
            </w:pPr>
          </w:p>
        </w:tc>
        <w:tc>
          <w:tcPr>
            <w:tcW w:w="100" w:type="dxa"/>
            <w:vAlign w:val="bottom"/>
            <w:tcBorders>
              <w:top w:val="single" w:sz="8" w:color="585454"/>
            </w:tcBorders>
          </w:tcPr>
          <w:p>
            <w:pPr>
              <w:spacing w:after="0"/>
              <w:rPr>
                <w:sz w:val="12"/>
                <w:szCs w:val="12"/>
                <w:color w:val="auto"/>
              </w:rPr>
            </w:pPr>
          </w:p>
        </w:tc>
        <w:tc>
          <w:tcPr>
            <w:tcW w:w="480" w:type="dxa"/>
            <w:vAlign w:val="bottom"/>
            <w:tcBorders>
              <w:top w:val="single" w:sz="8" w:color="585454"/>
            </w:tcBorders>
          </w:tcPr>
          <w:p>
            <w:pPr>
              <w:spacing w:after="0"/>
              <w:rPr>
                <w:sz w:val="12"/>
                <w:szCs w:val="12"/>
                <w:color w:val="auto"/>
              </w:rPr>
            </w:pPr>
          </w:p>
        </w:tc>
        <w:tc>
          <w:tcPr>
            <w:tcW w:w="140" w:type="dxa"/>
            <w:vAlign w:val="bottom"/>
            <w:tcBorders>
              <w:top w:val="single" w:sz="8" w:color="585454"/>
            </w:tcBorders>
          </w:tcPr>
          <w:p>
            <w:pPr>
              <w:spacing w:after="0"/>
              <w:rPr>
                <w:sz w:val="12"/>
                <w:szCs w:val="12"/>
                <w:color w:val="auto"/>
              </w:rPr>
            </w:pPr>
          </w:p>
        </w:tc>
        <w:tc>
          <w:tcPr>
            <w:tcW w:w="580" w:type="dxa"/>
            <w:vAlign w:val="bottom"/>
            <w:tcBorders>
              <w:top w:val="single" w:sz="8" w:color="585454"/>
            </w:tcBorders>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accessories</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324,569</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8"/>
              </w:rPr>
              <w:t>285, 11 9</w:t>
            </w:r>
          </w:p>
        </w:tc>
        <w:tc>
          <w:tcPr>
            <w:tcW w:w="5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(124,087)(1)</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485,60 I</w:t>
            </w:r>
          </w:p>
        </w:tc>
      </w:tr>
      <w:tr>
        <w:trPr>
          <w:trHeight w:val="149"/>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Cost of furniture and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accessories so ld</w:t>
            </w:r>
          </w:p>
        </w:tc>
        <w:tc>
          <w:tcPr>
            <w:tcW w:w="56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225,300</w:t>
            </w:r>
          </w:p>
        </w:tc>
        <w:tc>
          <w:tcPr>
            <w:tcW w:w="120" w:type="dxa"/>
            <w:vAlign w:val="bottom"/>
            <w:tcBorders>
              <w:bottom w:val="single" w:sz="8" w:color="585454"/>
            </w:tcBorders>
          </w:tcPr>
          <w:p>
            <w:pPr>
              <w:spacing w:after="0"/>
              <w:rPr>
                <w:sz w:val="12"/>
                <w:szCs w:val="12"/>
                <w:color w:val="auto"/>
              </w:rPr>
            </w:pPr>
          </w:p>
        </w:tc>
        <w:tc>
          <w:tcPr>
            <w:tcW w:w="46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135,699</w:t>
            </w:r>
          </w:p>
        </w:tc>
        <w:tc>
          <w:tcPr>
            <w:tcW w:w="540" w:type="dxa"/>
            <w:vAlign w:val="bottom"/>
            <w:tcBorders>
              <w:bottom w:val="single" w:sz="8" w:color="585454"/>
            </w:tcBorders>
          </w:tcPr>
          <w:p>
            <w:pPr>
              <w:spacing w:after="0"/>
              <w:rPr>
                <w:sz w:val="12"/>
                <w:szCs w:val="12"/>
                <w:color w:val="auto"/>
              </w:rPr>
            </w:pPr>
          </w:p>
        </w:tc>
        <w:tc>
          <w:tcPr>
            <w:tcW w:w="80" w:type="dxa"/>
            <w:vAlign w:val="bottom"/>
            <w:tcBorders>
              <w:bottom w:val="single" w:sz="8" w:color="585454"/>
            </w:tcBorders>
          </w:tcPr>
          <w:p>
            <w:pPr>
              <w:spacing w:after="0"/>
              <w:rPr>
                <w:sz w:val="12"/>
                <w:szCs w:val="12"/>
                <w:color w:val="auto"/>
              </w:rPr>
            </w:pPr>
          </w:p>
        </w:tc>
        <w:tc>
          <w:tcPr>
            <w:tcW w:w="140" w:type="dxa"/>
            <w:vAlign w:val="bottom"/>
            <w:tcBorders>
              <w:bottom w:val="single" w:sz="8" w:color="585454"/>
            </w:tcBorders>
          </w:tcPr>
          <w:p>
            <w:pPr>
              <w:spacing w:after="0"/>
              <w:rPr>
                <w:sz w:val="12"/>
                <w:szCs w:val="12"/>
                <w:color w:val="auto"/>
              </w:rPr>
            </w:pPr>
          </w:p>
        </w:tc>
        <w:tc>
          <w:tcPr>
            <w:tcW w:w="74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(123,737)(2)</w:t>
            </w:r>
          </w:p>
        </w:tc>
        <w:tc>
          <w:tcPr>
            <w:tcW w:w="120" w:type="dxa"/>
            <w:vAlign w:val="bottom"/>
            <w:tcBorders>
              <w:bottom w:val="single" w:sz="8" w:color="585454"/>
            </w:tcBorders>
          </w:tcPr>
          <w:p>
            <w:pPr>
              <w:spacing w:after="0"/>
              <w:rPr>
                <w:sz w:val="12"/>
                <w:szCs w:val="12"/>
                <w:color w:val="auto"/>
              </w:rPr>
            </w:pPr>
          </w:p>
        </w:tc>
        <w:tc>
          <w:tcPr>
            <w:tcW w:w="680" w:type="dxa"/>
            <w:vAlign w:val="bottom"/>
            <w:tcBorders>
              <w:bottom w:val="single" w:sz="8" w:color="585454"/>
            </w:tcBorders>
          </w:tcPr>
          <w:p>
            <w:pPr>
              <w:spacing w:after="0"/>
              <w:rPr>
                <w:sz w:val="12"/>
                <w:szCs w:val="12"/>
                <w:color w:val="auto"/>
              </w:rPr>
            </w:pPr>
          </w:p>
        </w:tc>
        <w:tc>
          <w:tcPr>
            <w:tcW w:w="100" w:type="dxa"/>
            <w:vAlign w:val="bottom"/>
            <w:tcBorders>
              <w:bottom w:val="single" w:sz="8" w:color="585454"/>
            </w:tcBorders>
          </w:tcPr>
          <w:p>
            <w:pPr>
              <w:spacing w:after="0"/>
              <w:rPr>
                <w:sz w:val="12"/>
                <w:szCs w:val="12"/>
                <w:color w:val="auto"/>
              </w:rPr>
            </w:pPr>
          </w:p>
        </w:tc>
        <w:tc>
          <w:tcPr>
            <w:tcW w:w="480" w:type="dxa"/>
            <w:vAlign w:val="bottom"/>
            <w:tcBorders>
              <w:bottom w:val="single" w:sz="8" w:color="585454"/>
            </w:tcBorders>
          </w:tcPr>
          <w:p>
            <w:pPr>
              <w:spacing w:after="0"/>
              <w:rPr>
                <w:sz w:val="12"/>
                <w:szCs w:val="12"/>
                <w:color w:val="auto"/>
              </w:rPr>
            </w:pPr>
          </w:p>
        </w:tc>
        <w:tc>
          <w:tcPr>
            <w:tcW w:w="140" w:type="dxa"/>
            <w:vAlign w:val="bottom"/>
            <w:tcBorders>
              <w:bottom w:val="single" w:sz="8" w:color="585454"/>
            </w:tcBorders>
          </w:tcPr>
          <w:p>
            <w:pPr>
              <w:spacing w:after="0"/>
              <w:rPr>
                <w:sz w:val="12"/>
                <w:szCs w:val="12"/>
                <w:color w:val="auto"/>
              </w:rPr>
            </w:pPr>
          </w:p>
        </w:tc>
        <w:tc>
          <w:tcPr>
            <w:tcW w:w="58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237,262</w:t>
            </w:r>
          </w:p>
        </w:tc>
        <w:tc>
          <w:tcPr>
            <w:tcW w:w="40" w:type="dxa"/>
            <w:vAlign w:val="bottom"/>
          </w:tcPr>
          <w:p>
            <w:pPr>
              <w:spacing w:after="0"/>
              <w:rPr>
                <w:sz w:val="12"/>
                <w:szCs w:val="12"/>
                <w:color w:val="auto"/>
              </w:rPr>
            </w:pPr>
          </w:p>
        </w:tc>
      </w:tr>
      <w:tr>
        <w:trPr>
          <w:trHeight w:val="140"/>
        </w:trPr>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Gross profit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99,269</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149,420</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(350)(3)</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248,339</w:t>
            </w:r>
          </w:p>
        </w:tc>
        <w:tc>
          <w:tcPr>
            <w:tcW w:w="40" w:type="dxa"/>
            <w:vAlign w:val="bottom"/>
          </w:tcPr>
          <w:p>
            <w:pPr>
              <w:spacing w:after="0"/>
              <w:rPr>
                <w:sz w:val="12"/>
                <w:szCs w:val="12"/>
                <w:color w:val="auto"/>
              </w:rPr>
            </w:pPr>
          </w:p>
        </w:tc>
      </w:tr>
      <w:tr>
        <w:trPr>
          <w:trHeight w:val="149"/>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SG&amp;A expense</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57,290</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130,068</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24,829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5,882 (4)</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218,069</w:t>
            </w:r>
          </w:p>
        </w:tc>
        <w:tc>
          <w:tcPr>
            <w:tcW w:w="40" w:type="dxa"/>
            <w:vAlign w:val="bottom"/>
          </w:tcPr>
          <w:p>
            <w:pPr>
              <w:spacing w:after="0"/>
              <w:rPr>
                <w:sz w:val="12"/>
                <w:szCs w:val="12"/>
                <w:color w:val="auto"/>
              </w:rPr>
            </w:pPr>
          </w:p>
        </w:tc>
      </w:tr>
      <w:tr>
        <w:trPr>
          <w:trHeight w:val="147"/>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Gain on sa le of real estate</w:t>
            </w:r>
          </w:p>
        </w:tc>
        <w:tc>
          <w:tcPr>
            <w:tcW w:w="560" w:type="dxa"/>
            <w:vAlign w:val="bottom"/>
            <w:tcBorders>
              <w:bottom w:val="single" w:sz="8" w:color="585454"/>
            </w:tcBorders>
          </w:tcPr>
          <w:p>
            <w:pPr>
              <w:spacing w:after="0"/>
              <w:rPr>
                <w:sz w:val="12"/>
                <w:szCs w:val="12"/>
                <w:color w:val="auto"/>
              </w:rPr>
            </w:pPr>
          </w:p>
        </w:tc>
        <w:tc>
          <w:tcPr>
            <w:tcW w:w="120" w:type="dxa"/>
            <w:vAlign w:val="bottom"/>
            <w:tcBorders>
              <w:bottom w:val="single" w:sz="8" w:color="585454"/>
            </w:tcBorders>
          </w:tcPr>
          <w:p>
            <w:pPr>
              <w:spacing w:after="0"/>
              <w:rPr>
                <w:sz w:val="12"/>
                <w:szCs w:val="12"/>
                <w:color w:val="auto"/>
              </w:rPr>
            </w:pPr>
          </w:p>
        </w:tc>
        <w:tc>
          <w:tcPr>
            <w:tcW w:w="460" w:type="dxa"/>
            <w:vAlign w:val="bottom"/>
            <w:tcBorders>
              <w:bottom w:val="single" w:sz="8" w:color="585454"/>
            </w:tcBorders>
          </w:tcPr>
          <w:p>
            <w:pPr>
              <w:spacing w:after="0"/>
              <w:rPr>
                <w:sz w:val="12"/>
                <w:szCs w:val="12"/>
                <w:color w:val="auto"/>
              </w:rPr>
            </w:pPr>
          </w:p>
        </w:tc>
        <w:tc>
          <w:tcPr>
            <w:tcW w:w="540" w:type="dxa"/>
            <w:vAlign w:val="bottom"/>
            <w:tcBorders>
              <w:bottom w:val="single" w:sz="8" w:color="585454"/>
            </w:tcBorders>
          </w:tcPr>
          <w:p>
            <w:pPr>
              <w:spacing w:after="0"/>
              <w:rPr>
                <w:sz w:val="12"/>
                <w:szCs w:val="12"/>
                <w:color w:val="auto"/>
              </w:rPr>
            </w:pPr>
          </w:p>
        </w:tc>
        <w:tc>
          <w:tcPr>
            <w:tcW w:w="80" w:type="dxa"/>
            <w:vAlign w:val="bottom"/>
            <w:tcBorders>
              <w:bottom w:val="single" w:sz="8" w:color="585454"/>
            </w:tcBorders>
          </w:tcPr>
          <w:p>
            <w:pPr>
              <w:spacing w:after="0"/>
              <w:rPr>
                <w:sz w:val="12"/>
                <w:szCs w:val="12"/>
                <w:color w:val="auto"/>
              </w:rPr>
            </w:pPr>
          </w:p>
        </w:tc>
        <w:tc>
          <w:tcPr>
            <w:tcW w:w="140" w:type="dxa"/>
            <w:vAlign w:val="bottom"/>
            <w:tcBorders>
              <w:bottom w:val="single" w:sz="8" w:color="585454"/>
            </w:tcBorders>
          </w:tcPr>
          <w:p>
            <w:pPr>
              <w:spacing w:after="0"/>
              <w:rPr>
                <w:sz w:val="12"/>
                <w:szCs w:val="12"/>
                <w:color w:val="auto"/>
              </w:rPr>
            </w:pPr>
          </w:p>
        </w:tc>
        <w:tc>
          <w:tcPr>
            <w:tcW w:w="740" w:type="dxa"/>
            <w:vAlign w:val="bottom"/>
            <w:tcBorders>
              <w:bottom w:val="single" w:sz="8" w:color="585454"/>
            </w:tcBorders>
          </w:tcPr>
          <w:p>
            <w:pPr>
              <w:spacing w:after="0"/>
              <w:rPr>
                <w:sz w:val="12"/>
                <w:szCs w:val="12"/>
                <w:color w:val="auto"/>
              </w:rPr>
            </w:pPr>
          </w:p>
        </w:tc>
        <w:tc>
          <w:tcPr>
            <w:tcW w:w="120" w:type="dxa"/>
            <w:vAlign w:val="bottom"/>
            <w:tcBorders>
              <w:bottom w:val="single" w:sz="8" w:color="585454"/>
            </w:tcBorders>
          </w:tcPr>
          <w:p>
            <w:pPr>
              <w:spacing w:after="0"/>
              <w:rPr>
                <w:sz w:val="12"/>
                <w:szCs w:val="12"/>
                <w:color w:val="auto"/>
              </w:rPr>
            </w:pPr>
          </w:p>
        </w:tc>
        <w:tc>
          <w:tcPr>
            <w:tcW w:w="680" w:type="dxa"/>
            <w:vAlign w:val="bottom"/>
            <w:tcBorders>
              <w:bottom w:val="single" w:sz="8" w:color="585454"/>
            </w:tcBorders>
          </w:tcPr>
          <w:p>
            <w:pPr>
              <w:ind w:left="100"/>
              <w:spacing w:after="0"/>
              <w:rPr>
                <w:sz w:val="20"/>
                <w:szCs w:val="20"/>
                <w:color w:val="auto"/>
              </w:rPr>
            </w:pPr>
            <w:r>
              <w:rPr>
                <w:rFonts w:ascii="Times New Roman" w:cs="Times New Roman" w:eastAsia="Times New Roman" w:hAnsi="Times New Roman"/>
                <w:sz w:val="12"/>
                <w:szCs w:val="12"/>
                <w:color w:val="auto"/>
              </w:rPr>
              <w:t>4,595</w:t>
            </w:r>
          </w:p>
        </w:tc>
        <w:tc>
          <w:tcPr>
            <w:tcW w:w="100" w:type="dxa"/>
            <w:vAlign w:val="bottom"/>
            <w:tcBorders>
              <w:bottom w:val="single" w:sz="8" w:color="585454"/>
            </w:tcBorders>
          </w:tcPr>
          <w:p>
            <w:pPr>
              <w:spacing w:after="0"/>
              <w:rPr>
                <w:sz w:val="12"/>
                <w:szCs w:val="12"/>
                <w:color w:val="auto"/>
              </w:rPr>
            </w:pPr>
          </w:p>
        </w:tc>
        <w:tc>
          <w:tcPr>
            <w:tcW w:w="480" w:type="dxa"/>
            <w:vAlign w:val="bottom"/>
            <w:tcBorders>
              <w:bottom w:val="single" w:sz="8" w:color="585454"/>
            </w:tcBorders>
          </w:tcPr>
          <w:p>
            <w:pPr>
              <w:spacing w:after="0"/>
              <w:rPr>
                <w:sz w:val="12"/>
                <w:szCs w:val="12"/>
                <w:color w:val="auto"/>
              </w:rPr>
            </w:pPr>
          </w:p>
        </w:tc>
        <w:tc>
          <w:tcPr>
            <w:tcW w:w="140" w:type="dxa"/>
            <w:vAlign w:val="bottom"/>
            <w:tcBorders>
              <w:bottom w:val="single" w:sz="8" w:color="585454"/>
            </w:tcBorders>
          </w:tcPr>
          <w:p>
            <w:pPr>
              <w:spacing w:after="0"/>
              <w:rPr>
                <w:sz w:val="12"/>
                <w:szCs w:val="12"/>
                <w:color w:val="auto"/>
              </w:rPr>
            </w:pPr>
          </w:p>
        </w:tc>
        <w:tc>
          <w:tcPr>
            <w:tcW w:w="58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4,595</w:t>
            </w:r>
          </w:p>
        </w:tc>
        <w:tc>
          <w:tcPr>
            <w:tcW w:w="40" w:type="dxa"/>
            <w:vAlign w:val="bottom"/>
          </w:tcPr>
          <w:p>
            <w:pPr>
              <w:spacing w:after="0"/>
              <w:rPr>
                <w:sz w:val="12"/>
                <w:szCs w:val="12"/>
                <w:color w:val="auto"/>
              </w:rPr>
            </w:pPr>
          </w:p>
        </w:tc>
      </w:tr>
      <w:tr>
        <w:trPr>
          <w:trHeight w:val="140"/>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 come (loss) from continuing</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41,979</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19,352</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(24,829)</w:t>
            </w:r>
          </w:p>
        </w:tc>
        <w:tc>
          <w:tcPr>
            <w:tcW w:w="140" w:type="dxa"/>
            <w:vAlign w:val="bottom"/>
          </w:tcPr>
          <w:p>
            <w:pPr>
              <w:spacing w:after="0"/>
              <w:rPr>
                <w:sz w:val="12"/>
                <w:szCs w:val="12"/>
                <w:color w:val="auto"/>
              </w:rPr>
            </w:pPr>
          </w:p>
        </w:tc>
        <w:tc>
          <w:tcPr>
            <w:tcW w:w="7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(6,232)</w:t>
            </w:r>
          </w:p>
        </w:tc>
        <w:tc>
          <w:tcPr>
            <w:tcW w:w="120" w:type="dxa"/>
            <w:vAlign w:val="bottom"/>
          </w:tcPr>
          <w:p>
            <w:pPr>
              <w:spacing w:after="0"/>
              <w:rPr>
                <w:sz w:val="12"/>
                <w:szCs w:val="1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4,595 (II)</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34,865</w:t>
            </w:r>
          </w:p>
        </w:tc>
        <w:tc>
          <w:tcPr>
            <w:tcW w:w="40" w:type="dxa"/>
            <w:vAlign w:val="bottom"/>
          </w:tcPr>
          <w:p>
            <w:pPr>
              <w:spacing w:after="0"/>
              <w:rPr>
                <w:sz w:val="12"/>
                <w:szCs w:val="12"/>
                <w:color w:val="auto"/>
              </w:rPr>
            </w:pPr>
          </w:p>
        </w:tc>
      </w:tr>
      <w:tr>
        <w:trPr>
          <w:trHeight w:val="149"/>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Interest income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40" w:type="dxa"/>
            <w:vAlign w:val="bottom"/>
          </w:tcPr>
          <w:p>
            <w:pPr>
              <w:spacing w:after="0"/>
              <w:rPr>
                <w:sz w:val="12"/>
                <w:szCs w:val="12"/>
                <w:color w:val="auto"/>
              </w:rPr>
            </w:pPr>
          </w:p>
        </w:tc>
      </w:tr>
      <w:tr>
        <w:trPr>
          <w:trHeight w:val="149"/>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Interest expense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4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47"/>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loss, net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(1,067)</w:t>
            </w:r>
          </w:p>
        </w:tc>
        <w:tc>
          <w:tcPr>
            <w:tcW w:w="14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(1,067)</w:t>
            </w:r>
          </w:p>
        </w:tc>
      </w:tr>
      <w:tr>
        <w:trPr>
          <w:trHeight w:val="140"/>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 come (loss) from continuing</w:t>
            </w:r>
          </w:p>
        </w:tc>
        <w:tc>
          <w:tcPr>
            <w:tcW w:w="560" w:type="dxa"/>
            <w:vAlign w:val="bottom"/>
            <w:tcBorders>
              <w:top w:val="single" w:sz="8" w:color="585454"/>
            </w:tcBorders>
          </w:tcPr>
          <w:p>
            <w:pPr>
              <w:spacing w:after="0"/>
              <w:rPr>
                <w:sz w:val="12"/>
                <w:szCs w:val="12"/>
                <w:color w:val="auto"/>
              </w:rPr>
            </w:pPr>
          </w:p>
        </w:tc>
        <w:tc>
          <w:tcPr>
            <w:tcW w:w="120" w:type="dxa"/>
            <w:vAlign w:val="bottom"/>
            <w:tcBorders>
              <w:top w:val="single" w:sz="8" w:color="585454"/>
            </w:tcBorders>
          </w:tcPr>
          <w:p>
            <w:pPr>
              <w:spacing w:after="0"/>
              <w:rPr>
                <w:sz w:val="12"/>
                <w:szCs w:val="12"/>
                <w:color w:val="auto"/>
              </w:rPr>
            </w:pPr>
          </w:p>
        </w:tc>
        <w:tc>
          <w:tcPr>
            <w:tcW w:w="460" w:type="dxa"/>
            <w:vAlign w:val="bottom"/>
            <w:tcBorders>
              <w:top w:val="single" w:sz="8" w:color="585454"/>
            </w:tcBorders>
          </w:tcPr>
          <w:p>
            <w:pPr>
              <w:spacing w:after="0"/>
              <w:rPr>
                <w:sz w:val="12"/>
                <w:szCs w:val="12"/>
                <w:color w:val="auto"/>
              </w:rPr>
            </w:pPr>
          </w:p>
        </w:tc>
        <w:tc>
          <w:tcPr>
            <w:tcW w:w="540" w:type="dxa"/>
            <w:vAlign w:val="bottom"/>
            <w:tcBorders>
              <w:top w:val="single" w:sz="8" w:color="585454"/>
            </w:tcBorders>
          </w:tcPr>
          <w:p>
            <w:pPr>
              <w:spacing w:after="0"/>
              <w:rPr>
                <w:sz w:val="12"/>
                <w:szCs w:val="12"/>
                <w:color w:val="auto"/>
              </w:rPr>
            </w:pPr>
          </w:p>
        </w:tc>
        <w:tc>
          <w:tcPr>
            <w:tcW w:w="80" w:type="dxa"/>
            <w:vAlign w:val="bottom"/>
            <w:tcBorders>
              <w:top w:val="single" w:sz="8" w:color="585454"/>
            </w:tcBorders>
          </w:tcPr>
          <w:p>
            <w:pPr>
              <w:spacing w:after="0"/>
              <w:rPr>
                <w:sz w:val="12"/>
                <w:szCs w:val="12"/>
                <w:color w:val="auto"/>
              </w:rPr>
            </w:pPr>
          </w:p>
        </w:tc>
        <w:tc>
          <w:tcPr>
            <w:tcW w:w="140" w:type="dxa"/>
            <w:vAlign w:val="bottom"/>
            <w:tcBorders>
              <w:top w:val="single" w:sz="8" w:color="585454"/>
            </w:tcBorders>
          </w:tcPr>
          <w:p>
            <w:pPr>
              <w:spacing w:after="0"/>
              <w:rPr>
                <w:sz w:val="12"/>
                <w:szCs w:val="12"/>
                <w:color w:val="auto"/>
              </w:rPr>
            </w:pPr>
          </w:p>
        </w:tc>
        <w:tc>
          <w:tcPr>
            <w:tcW w:w="740" w:type="dxa"/>
            <w:vAlign w:val="bottom"/>
            <w:tcBorders>
              <w:top w:val="single" w:sz="8" w:color="585454"/>
            </w:tcBorders>
          </w:tcPr>
          <w:p>
            <w:pPr>
              <w:spacing w:after="0"/>
              <w:rPr>
                <w:sz w:val="12"/>
                <w:szCs w:val="12"/>
                <w:color w:val="auto"/>
              </w:rPr>
            </w:pPr>
          </w:p>
        </w:tc>
        <w:tc>
          <w:tcPr>
            <w:tcW w:w="120" w:type="dxa"/>
            <w:vAlign w:val="bottom"/>
            <w:tcBorders>
              <w:top w:val="single" w:sz="8" w:color="585454"/>
            </w:tcBorders>
          </w:tcPr>
          <w:p>
            <w:pPr>
              <w:spacing w:after="0"/>
              <w:rPr>
                <w:sz w:val="12"/>
                <w:szCs w:val="12"/>
                <w:color w:val="auto"/>
              </w:rPr>
            </w:pPr>
          </w:p>
        </w:tc>
        <w:tc>
          <w:tcPr>
            <w:tcW w:w="680" w:type="dxa"/>
            <w:vAlign w:val="bottom"/>
            <w:tcBorders>
              <w:top w:val="single" w:sz="8" w:color="585454"/>
            </w:tcBorders>
          </w:tcPr>
          <w:p>
            <w:pPr>
              <w:spacing w:after="0"/>
              <w:rPr>
                <w:sz w:val="12"/>
                <w:szCs w:val="12"/>
                <w:color w:val="auto"/>
              </w:rPr>
            </w:pPr>
          </w:p>
        </w:tc>
        <w:tc>
          <w:tcPr>
            <w:tcW w:w="100" w:type="dxa"/>
            <w:vAlign w:val="bottom"/>
            <w:tcBorders>
              <w:top w:val="single" w:sz="8" w:color="585454"/>
            </w:tcBorders>
          </w:tcPr>
          <w:p>
            <w:pPr>
              <w:spacing w:after="0"/>
              <w:rPr>
                <w:sz w:val="12"/>
                <w:szCs w:val="12"/>
                <w:color w:val="auto"/>
              </w:rPr>
            </w:pPr>
          </w:p>
        </w:tc>
        <w:tc>
          <w:tcPr>
            <w:tcW w:w="480" w:type="dxa"/>
            <w:vAlign w:val="bottom"/>
            <w:tcBorders>
              <w:top w:val="single" w:sz="8" w:color="585454"/>
            </w:tcBorders>
          </w:tcPr>
          <w:p>
            <w:pPr>
              <w:spacing w:after="0"/>
              <w:rPr>
                <w:sz w:val="12"/>
                <w:szCs w:val="12"/>
                <w:color w:val="auto"/>
              </w:rPr>
            </w:pPr>
          </w:p>
        </w:tc>
        <w:tc>
          <w:tcPr>
            <w:tcW w:w="140" w:type="dxa"/>
            <w:vAlign w:val="bottom"/>
            <w:tcBorders>
              <w:top w:val="single" w:sz="8" w:color="585454"/>
            </w:tcBorders>
          </w:tcPr>
          <w:p>
            <w:pPr>
              <w:spacing w:after="0"/>
              <w:rPr>
                <w:sz w:val="12"/>
                <w:szCs w:val="12"/>
                <w:color w:val="auto"/>
              </w:rPr>
            </w:pPr>
          </w:p>
        </w:tc>
        <w:tc>
          <w:tcPr>
            <w:tcW w:w="580" w:type="dxa"/>
            <w:vAlign w:val="bottom"/>
            <w:tcBorders>
              <w:top w:val="single" w:sz="8" w:color="585454"/>
            </w:tcBorders>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operations before income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6"/>
        </w:trPr>
        <w:tc>
          <w:tcPr>
            <w:tcW w:w="1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taxes</w:t>
            </w:r>
          </w:p>
        </w:tc>
        <w:tc>
          <w:tcPr>
            <w:tcW w:w="20" w:type="dxa"/>
            <w:vAlign w:val="bottom"/>
            <w:tcBorders>
              <w:bottom w:val="single" w:sz="8" w:color="585454"/>
            </w:tcBorders>
          </w:tcPr>
          <w:p>
            <w:pPr>
              <w:spacing w:after="0"/>
              <w:rPr>
                <w:sz w:val="12"/>
                <w:szCs w:val="12"/>
                <w:color w:val="auto"/>
              </w:rPr>
            </w:pPr>
          </w:p>
        </w:tc>
        <w:tc>
          <w:tcPr>
            <w:tcW w:w="56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41,979</w:t>
            </w:r>
          </w:p>
        </w:tc>
        <w:tc>
          <w:tcPr>
            <w:tcW w:w="12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19,352</w:t>
            </w:r>
          </w:p>
        </w:tc>
        <w:tc>
          <w:tcPr>
            <w:tcW w:w="620" w:type="dxa"/>
            <w:vAlign w:val="bottom"/>
            <w:tcBorders>
              <w:bottom w:val="single" w:sz="8" w:color="585454"/>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 (24,829)</w:t>
            </w:r>
          </w:p>
        </w:tc>
        <w:tc>
          <w:tcPr>
            <w:tcW w:w="140" w:type="dxa"/>
            <w:vAlign w:val="bottom"/>
            <w:tcBorders>
              <w:bottom w:val="single" w:sz="8" w:color="585454"/>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585454"/>
            </w:tcBorders>
          </w:tcPr>
          <w:p>
            <w:pPr>
              <w:jc w:val="right"/>
              <w:ind w:right="98"/>
              <w:spacing w:after="0"/>
              <w:rPr>
                <w:sz w:val="20"/>
                <w:szCs w:val="20"/>
                <w:color w:val="auto"/>
              </w:rPr>
            </w:pPr>
            <w:r>
              <w:rPr>
                <w:rFonts w:ascii="Times New Roman" w:cs="Times New Roman" w:eastAsia="Times New Roman" w:hAnsi="Times New Roman"/>
                <w:sz w:val="12"/>
                <w:szCs w:val="12"/>
                <w:color w:val="auto"/>
              </w:rPr>
              <w:t>(6,232)</w:t>
            </w:r>
          </w:p>
        </w:tc>
        <w:tc>
          <w:tcPr>
            <w:tcW w:w="12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585454"/>
            </w:tcBorders>
          </w:tcPr>
          <w:p>
            <w:pPr>
              <w:ind w:left="100"/>
              <w:spacing w:after="0"/>
              <w:rPr>
                <w:sz w:val="20"/>
                <w:szCs w:val="20"/>
                <w:color w:val="auto"/>
              </w:rPr>
            </w:pPr>
            <w:r>
              <w:rPr>
                <w:rFonts w:ascii="Times New Roman" w:cs="Times New Roman" w:eastAsia="Times New Roman" w:hAnsi="Times New Roman"/>
                <w:sz w:val="12"/>
                <w:szCs w:val="12"/>
                <w:color w:val="auto"/>
              </w:rPr>
              <w:t>4,595</w:t>
            </w:r>
          </w:p>
        </w:tc>
        <w:tc>
          <w:tcPr>
            <w:tcW w:w="100" w:type="dxa"/>
            <w:vAlign w:val="bottom"/>
            <w:tcBorders>
              <w:bottom w:val="single" w:sz="8" w:color="585454"/>
            </w:tcBorders>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(803)</w:t>
            </w:r>
          </w:p>
        </w:tc>
        <w:tc>
          <w:tcPr>
            <w:tcW w:w="14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34,062</w:t>
            </w:r>
          </w:p>
        </w:tc>
        <w:tc>
          <w:tcPr>
            <w:tcW w:w="40" w:type="dxa"/>
            <w:vAlign w:val="bottom"/>
          </w:tcPr>
          <w:p>
            <w:pPr>
              <w:spacing w:after="0"/>
              <w:rPr>
                <w:sz w:val="12"/>
                <w:szCs w:val="12"/>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Notes to Segment Conso lidation Table:</w:t>
      </w:r>
    </w:p>
    <w:p>
      <w:pPr>
        <w:spacing w:after="0" w:line="116" w:lineRule="exact"/>
        <w:rPr>
          <w:sz w:val="20"/>
          <w:szCs w:val="20"/>
          <w:color w:val="auto"/>
        </w:rPr>
      </w:pPr>
    </w:p>
    <w:p>
      <w:pPr>
        <w:ind w:left="240" w:hanging="233"/>
        <w:spacing w:after="0"/>
        <w:tabs>
          <w:tab w:leader="none" w:pos="2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 e elimination of sa les from our wholesale segment to our Company-owned BHF stores.</w:t>
      </w:r>
    </w:p>
    <w:p>
      <w:pPr>
        <w:spacing w:after="0" w:line="10" w:lineRule="exact"/>
        <w:rPr>
          <w:rFonts w:ascii="Times New Roman" w:cs="Times New Roman" w:eastAsia="Times New Roman" w:hAnsi="Times New Roman"/>
          <w:sz w:val="12"/>
          <w:szCs w:val="12"/>
          <w:color w:val="auto"/>
        </w:rPr>
      </w:pPr>
    </w:p>
    <w:p>
      <w:pPr>
        <w:ind w:left="240" w:hanging="233"/>
        <w:spacing w:after="0"/>
        <w:tabs>
          <w:tab w:leader="none" w:pos="2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 e elimin ation of purchases by our Company-owned BHF stores from our wholesale segment.</w:t>
      </w:r>
    </w:p>
    <w:p>
      <w:pPr>
        <w:spacing w:after="0" w:line="10" w:lineRule="exact"/>
        <w:rPr>
          <w:rFonts w:ascii="Times New Roman" w:cs="Times New Roman" w:eastAsia="Times New Roman" w:hAnsi="Times New Roman"/>
          <w:sz w:val="12"/>
          <w:szCs w:val="12"/>
          <w:color w:val="auto"/>
        </w:rPr>
      </w:pPr>
    </w:p>
    <w:p>
      <w:pPr>
        <w:ind w:left="240" w:hanging="233"/>
        <w:spacing w:after="0"/>
        <w:tabs>
          <w:tab w:leader="none" w:pos="2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 e change in the elimin ation of intercompany profit in inventory.</w:t>
      </w:r>
    </w:p>
    <w:p>
      <w:pPr>
        <w:spacing w:after="0" w:line="10" w:lineRule="exact"/>
        <w:rPr>
          <w:rFonts w:ascii="Times New Roman" w:cs="Times New Roman" w:eastAsia="Times New Roman" w:hAnsi="Times New Roman"/>
          <w:sz w:val="12"/>
          <w:szCs w:val="12"/>
          <w:color w:val="auto"/>
        </w:rPr>
      </w:pPr>
    </w:p>
    <w:p>
      <w:pPr>
        <w:ind w:left="240" w:hanging="233"/>
        <w:spacing w:after="0"/>
        <w:tabs>
          <w:tab w:leader="none" w:pos="2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elimination of rent paid by our retail stores occupying Company -owned rea l estate.</w:t>
      </w:r>
    </w:p>
    <w:p>
      <w:pPr>
        <w:spacing w:after="0" w:line="12" w:lineRule="exact"/>
        <w:rPr>
          <w:rFonts w:ascii="Times New Roman" w:cs="Times New Roman" w:eastAsia="Times New Roman" w:hAnsi="Times New Roman"/>
          <w:sz w:val="12"/>
          <w:szCs w:val="12"/>
          <w:color w:val="auto"/>
        </w:rPr>
      </w:pPr>
    </w:p>
    <w:p>
      <w:pPr>
        <w:jc w:val="both"/>
        <w:ind w:left="240" w:right="20" w:hanging="233"/>
        <w:spacing w:after="0" w:line="257" w:lineRule="auto"/>
        <w:tabs>
          <w:tab w:leader="none" w:pos="245"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asset impairment charges of$2,887 and $727 in our retail and wholesale segments, respectively, a $1,827 charge for th e impairment of th e Noa Hom e trade nam e intangible asset, and a $74 charge for the impairment of Noa Home customized software.</w:t>
      </w:r>
    </w:p>
    <w:p>
      <w:pPr>
        <w:spacing w:after="0" w:line="7" w:lineRule="exact"/>
        <w:rPr>
          <w:rFonts w:ascii="Times New Roman" w:cs="Times New Roman" w:eastAsia="Times New Roman" w:hAnsi="Times New Roman"/>
          <w:sz w:val="12"/>
          <w:szCs w:val="12"/>
          <w:color w:val="auto"/>
        </w:rPr>
      </w:pPr>
    </w:p>
    <w:p>
      <w:pPr>
        <w:ind w:left="240" w:right="20" w:hanging="233"/>
        <w:spacing w:after="0" w:line="248" w:lineRule="auto"/>
        <w:tabs>
          <w:tab w:leader="none" w:pos="25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charge for accruing th e remaining minimum pay ments under a contract for log istical servi ces in Riverside, CA which is no longer utili zed.</w:t>
      </w:r>
    </w:p>
    <w:p>
      <w:pPr>
        <w:spacing w:after="0" w:line="12" w:lineRule="exact"/>
        <w:rPr>
          <w:rFonts w:ascii="Times New Roman" w:cs="Times New Roman" w:eastAsia="Times New Roman" w:hAnsi="Times New Roman"/>
          <w:sz w:val="12"/>
          <w:szCs w:val="12"/>
          <w:color w:val="auto"/>
        </w:rPr>
      </w:pPr>
    </w:p>
    <w:p>
      <w:pPr>
        <w:ind w:left="240" w:right="40" w:hanging="233"/>
        <w:spacing w:after="0" w:line="248" w:lineRule="auto"/>
        <w:tabs>
          <w:tab w:leader="none" w:pos="245"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charge for the rea li zation ofNoa Home's cumu lative translation losses prev iously record ed in accumulated other comprehensive incom e due to the closure and substantially complete liquidation of that business.</w:t>
      </w:r>
    </w:p>
    <w:p>
      <w:pPr>
        <w:spacing w:after="0" w:line="12" w:lineRule="exact"/>
        <w:rPr>
          <w:rFonts w:ascii="Times New Roman" w:cs="Times New Roman" w:eastAsia="Times New Roman" w:hAnsi="Times New Roman"/>
          <w:sz w:val="12"/>
          <w:szCs w:val="12"/>
          <w:color w:val="auto"/>
        </w:rPr>
      </w:pPr>
    </w:p>
    <w:p>
      <w:pPr>
        <w:ind w:left="240" w:right="20" w:hanging="233"/>
        <w:spacing w:after="0" w:line="248" w:lineRule="auto"/>
        <w:tabs>
          <w:tab w:leader="none" w:pos="246"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charge for the accrual of severance pay due to restructuring. This is expected to be paid out through the second quarter offiscal 2025.</w:t>
      </w:r>
    </w:p>
    <w:p>
      <w:pPr>
        <w:spacing w:after="0" w:line="6" w:lineRule="exact"/>
        <w:rPr>
          <w:rFonts w:ascii="Times New Roman" w:cs="Times New Roman" w:eastAsia="Times New Roman" w:hAnsi="Times New Roman"/>
          <w:sz w:val="12"/>
          <w:szCs w:val="12"/>
          <w:color w:val="auto"/>
        </w:rPr>
      </w:pPr>
    </w:p>
    <w:p>
      <w:pPr>
        <w:ind w:left="240" w:hanging="233"/>
        <w:spacing w:after="0"/>
        <w:tabs>
          <w:tab w:leader="none" w:pos="2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 e charge for th e full impairment of the goodwi ll associated with Noa Home.</w:t>
      </w:r>
    </w:p>
    <w:p>
      <w:pPr>
        <w:spacing w:after="0" w:line="17" w:lineRule="exact"/>
        <w:rPr>
          <w:sz w:val="20"/>
          <w:szCs w:val="20"/>
          <w:color w:val="auto"/>
        </w:rPr>
      </w:pPr>
    </w:p>
    <w:p>
      <w:pPr>
        <w:ind w:left="240" w:right="20" w:hanging="240"/>
        <w:spacing w:after="0" w:line="244" w:lineRule="auto"/>
        <w:rPr>
          <w:sz w:val="20"/>
          <w:szCs w:val="20"/>
          <w:color w:val="auto"/>
        </w:rPr>
      </w:pPr>
      <w:r>
        <w:rPr>
          <w:rFonts w:ascii="Times New Roman" w:cs="Times New Roman" w:eastAsia="Times New Roman" w:hAnsi="Times New Roman"/>
          <w:sz w:val="12"/>
          <w:szCs w:val="12"/>
          <w:color w:val="auto"/>
        </w:rPr>
        <w:t>(1 0) Represents the ga in resulting from th e write-down of th e contingent consideration payable on th e acquisition of Noa Home.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(11) Represents the gain on th e sa le of the rea l estate at a former retail location.</w:t>
      </w: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Wltolesale Segment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sa les, gross profit, SG&amp;A expense and operating income for our Who lesale Segment were as follows for the fiscal years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ended November 30, 2024, November 25, 2023 and November 26, 2022:</w:t>
      </w:r>
    </w:p>
    <w:p>
      <w:pPr>
        <w:spacing w:after="0" w:line="1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3"/>
          <w:szCs w:val="13"/>
          <w:color w:val="auto"/>
        </w:rPr>
        <w:t>Comparative C hange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2024 vs 2023</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2023 vs 2022</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60" w:type="dxa"/>
            <w:vAlign w:val="bottom"/>
            <w:tcBorders>
              <w:bottom w:val="single" w:sz="8" w:color="3C383C"/>
            </w:tcBorders>
          </w:tcPr>
          <w:p>
            <w:pPr>
              <w:spacing w:after="0"/>
              <w:rPr>
                <w:sz w:val="13"/>
                <w:szCs w:val="13"/>
                <w:color w:val="auto"/>
              </w:rPr>
            </w:pPr>
          </w:p>
        </w:tc>
        <w:tc>
          <w:tcPr>
            <w:tcW w:w="540" w:type="dxa"/>
            <w:vAlign w:val="bottom"/>
            <w:tcBorders>
              <w:bottom w:val="single" w:sz="8" w:color="3C383C"/>
            </w:tcBorders>
          </w:tcPr>
          <w:p>
            <w:pPr>
              <w:jc w:val="right"/>
              <w:spacing w:after="0"/>
              <w:rPr>
                <w:sz w:val="20"/>
                <w:szCs w:val="20"/>
                <w:color w:val="auto"/>
              </w:rPr>
            </w:pPr>
            <w:r>
              <w:rPr>
                <w:rFonts w:ascii="Times New Roman" w:cs="Times New Roman" w:eastAsia="Times New Roman" w:hAnsi="Times New Roman"/>
                <w:sz w:val="12"/>
                <w:szCs w:val="12"/>
                <w:color w:val="auto"/>
              </w:rPr>
              <w:t>2024*</w:t>
            </w:r>
          </w:p>
        </w:tc>
        <w:tc>
          <w:tcPr>
            <w:tcW w:w="260" w:type="dxa"/>
            <w:vAlign w:val="bottom"/>
            <w:tcBorders>
              <w:bottom w:val="single" w:sz="8" w:color="3C383C"/>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3C383C"/>
            </w:tcBorders>
          </w:tcPr>
          <w:p>
            <w:pPr>
              <w:spacing w:after="0"/>
              <w:rPr>
                <w:sz w:val="13"/>
                <w:szCs w:val="13"/>
                <w:color w:val="auto"/>
              </w:rPr>
            </w:pPr>
          </w:p>
        </w:tc>
        <w:tc>
          <w:tcPr>
            <w:tcW w:w="520" w:type="dxa"/>
            <w:vAlign w:val="bottom"/>
            <w:tcBorders>
              <w:bottom w:val="single" w:sz="8" w:color="3C383C"/>
            </w:tcBorders>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280" w:type="dxa"/>
            <w:vAlign w:val="bottom"/>
            <w:tcBorders>
              <w:bottom w:val="single" w:sz="8" w:color="3C383C"/>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3C383C"/>
            </w:tcBorders>
          </w:tcPr>
          <w:p>
            <w:pPr>
              <w:spacing w:after="0"/>
              <w:rPr>
                <w:sz w:val="13"/>
                <w:szCs w:val="13"/>
                <w:color w:val="auto"/>
              </w:rPr>
            </w:pPr>
          </w:p>
        </w:tc>
        <w:tc>
          <w:tcPr>
            <w:tcW w:w="520" w:type="dxa"/>
            <w:vAlign w:val="bottom"/>
            <w:tcBorders>
              <w:bottom w:val="single" w:sz="8" w:color="3C383C"/>
            </w:tcBorders>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300" w:type="dxa"/>
            <w:vAlign w:val="bottom"/>
            <w:tcBorders>
              <w:bottom w:val="single" w:sz="8" w:color="3C383C"/>
            </w:tcBorders>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8"/>
              <w:spacing w:after="0"/>
              <w:rPr>
                <w:sz w:val="20"/>
                <w:szCs w:val="20"/>
                <w:color w:val="auto"/>
              </w:rPr>
            </w:pPr>
            <w:r>
              <w:rPr>
                <w:rFonts w:ascii="Times New Roman" w:cs="Times New Roman" w:eastAsia="Times New Roman" w:hAnsi="Times New Roman"/>
                <w:sz w:val="12"/>
                <w:szCs w:val="12"/>
                <w:color w:val="auto"/>
              </w:rPr>
              <w:t>Dollars</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Percent</w:t>
            </w:r>
          </w:p>
        </w:tc>
        <w:tc>
          <w:tcPr>
            <w:tcW w:w="52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Dollars</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Percent</w:t>
            </w:r>
          </w:p>
        </w:tc>
        <w:tc>
          <w:tcPr>
            <w:tcW w:w="0" w:type="dxa"/>
            <w:vAlign w:val="bottom"/>
          </w:tcPr>
          <w:p>
            <w:pPr>
              <w:spacing w:after="0"/>
              <w:rPr>
                <w:sz w:val="1"/>
                <w:szCs w:val="1"/>
                <w:color w:val="auto"/>
              </w:rPr>
            </w:pPr>
          </w:p>
        </w:tc>
      </w:tr>
      <w:tr>
        <w:trPr>
          <w:trHeight w:val="287"/>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Net sa les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207,462</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7"/>
              </w:rPr>
              <w:t>100.0%</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7"/>
              </w:rPr>
              <w:t>248,911</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324,569</w:t>
            </w: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 xml:space="preserve">I </w:t>
            </w:r>
            <w:r>
              <w:rPr>
                <w:rFonts w:ascii="Times New Roman" w:cs="Times New Roman" w:eastAsia="Times New Roman" w:hAnsi="Times New Roman"/>
                <w:sz w:val="12"/>
                <w:szCs w:val="12"/>
                <w:color w:val="auto"/>
              </w:rPr>
              <w:t>00.0%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5"/>
              </w:rPr>
              <w:t>$(41 ,449)</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-16.7% $(75 ,658)</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-23.3%</w:t>
            </w: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xml:space="preserve">Gross profit </w:t>
            </w:r>
            <w:r>
              <w:rPr>
                <w:rFonts w:ascii="Arial" w:cs="Arial" w:eastAsia="Arial" w:hAnsi="Arial"/>
                <w:sz w:val="12"/>
                <w:szCs w:val="12"/>
                <w:color w:val="auto"/>
              </w:rPr>
              <w:t>(I)</w:t>
            </w:r>
          </w:p>
        </w:tc>
        <w:tc>
          <w:tcPr>
            <w:tcW w:w="60" w:type="dxa"/>
            <w:vAlign w:val="bottom"/>
            <w:shd w:val="clear" w:color="auto" w:fill="585458"/>
          </w:tcPr>
          <w:p>
            <w:pPr>
              <w:spacing w:after="0" w:line="20" w:lineRule="exact"/>
              <w:rPr>
                <w:sz w:val="1"/>
                <w:szCs w:val="1"/>
                <w:color w:val="auto"/>
              </w:rPr>
            </w:pPr>
          </w:p>
        </w:tc>
        <w:tc>
          <w:tcPr>
            <w:tcW w:w="540" w:type="dxa"/>
            <w:vAlign w:val="bottom"/>
            <w:shd w:val="clear" w:color="auto" w:fill="585458"/>
          </w:tcPr>
          <w:p>
            <w:pPr>
              <w:spacing w:after="0" w:line="20" w:lineRule="exact"/>
              <w:rPr>
                <w:sz w:val="1"/>
                <w:szCs w:val="1"/>
                <w:color w:val="auto"/>
              </w:rPr>
            </w:pPr>
          </w:p>
        </w:tc>
        <w:tc>
          <w:tcPr>
            <w:tcW w:w="260" w:type="dxa"/>
            <w:vAlign w:val="bottom"/>
            <w:shd w:val="clear" w:color="auto" w:fill="58545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585458"/>
          </w:tcPr>
          <w:p>
            <w:pPr>
              <w:spacing w:after="0" w:line="20" w:lineRule="exact"/>
              <w:rPr>
                <w:sz w:val="1"/>
                <w:szCs w:val="1"/>
                <w:color w:val="auto"/>
              </w:rPr>
            </w:pPr>
          </w:p>
        </w:tc>
        <w:tc>
          <w:tcPr>
            <w:tcW w:w="520" w:type="dxa"/>
            <w:vAlign w:val="bottom"/>
            <w:shd w:val="clear" w:color="auto" w:fill="585458"/>
          </w:tcPr>
          <w:p>
            <w:pPr>
              <w:spacing w:after="0" w:line="20" w:lineRule="exact"/>
              <w:rPr>
                <w:sz w:val="1"/>
                <w:szCs w:val="1"/>
                <w:color w:val="auto"/>
              </w:rPr>
            </w:pPr>
          </w:p>
        </w:tc>
        <w:tc>
          <w:tcPr>
            <w:tcW w:w="280" w:type="dxa"/>
            <w:vAlign w:val="bottom"/>
            <w:shd w:val="clear" w:color="auto" w:fill="58545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585454"/>
          </w:tcPr>
          <w:p>
            <w:pPr>
              <w:spacing w:after="0" w:line="20" w:lineRule="exact"/>
              <w:rPr>
                <w:sz w:val="1"/>
                <w:szCs w:val="1"/>
                <w:color w:val="auto"/>
              </w:rPr>
            </w:pPr>
          </w:p>
        </w:tc>
        <w:tc>
          <w:tcPr>
            <w:tcW w:w="440" w:type="dxa"/>
            <w:vAlign w:val="bottom"/>
            <w:shd w:val="clear" w:color="auto" w:fill="58545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2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68,069</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32.8%</w:t>
            </w:r>
          </w:p>
        </w:tc>
        <w:tc>
          <w:tcPr>
            <w:tcW w:w="80" w:type="dxa"/>
            <w:vAlign w:val="bottom"/>
          </w:tcPr>
          <w:p>
            <w:pPr>
              <w:spacing w:after="0"/>
              <w:rPr>
                <w:sz w:val="12"/>
                <w:szCs w:val="12"/>
                <w:color w:val="auto"/>
              </w:rPr>
            </w:pPr>
          </w:p>
        </w:tc>
        <w:tc>
          <w:tcPr>
            <w:tcW w:w="52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77,517</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31.1%</w:t>
            </w:r>
          </w:p>
        </w:tc>
        <w:tc>
          <w:tcPr>
            <w:tcW w:w="60" w:type="dxa"/>
            <w:vAlign w:val="bottom"/>
          </w:tcPr>
          <w:p>
            <w:pPr>
              <w:spacing w:after="0"/>
              <w:rPr>
                <w:sz w:val="12"/>
                <w:szCs w:val="12"/>
                <w:color w:val="auto"/>
              </w:rPr>
            </w:pPr>
          </w:p>
        </w:tc>
        <w:tc>
          <w:tcPr>
            <w:tcW w:w="52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99,269</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30.6%</w:t>
            </w:r>
          </w:p>
        </w:tc>
        <w:tc>
          <w:tcPr>
            <w:tcW w:w="100" w:type="dxa"/>
            <w:vAlign w:val="bottom"/>
          </w:tcPr>
          <w:p>
            <w:pPr>
              <w:spacing w:after="0"/>
              <w:rPr>
                <w:sz w:val="12"/>
                <w:szCs w:val="12"/>
                <w:color w:val="auto"/>
              </w:rPr>
            </w:pPr>
          </w:p>
        </w:tc>
        <w:tc>
          <w:tcPr>
            <w:tcW w:w="4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(9,448)</w:t>
            </w:r>
          </w:p>
        </w:tc>
        <w:tc>
          <w:tcPr>
            <w:tcW w:w="58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-12.2%</w:t>
            </w:r>
          </w:p>
        </w:tc>
        <w:tc>
          <w:tcPr>
            <w:tcW w:w="5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(21 ,752)</w:t>
            </w:r>
          </w:p>
        </w:tc>
        <w:tc>
          <w:tcPr>
            <w:tcW w:w="5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2"/>
                <w:szCs w:val="12"/>
                <w:color w:val="auto"/>
              </w:rPr>
              <w:t>-21.9%</w:t>
            </w:r>
          </w:p>
        </w:tc>
        <w:tc>
          <w:tcPr>
            <w:tcW w:w="0" w:type="dxa"/>
            <w:vAlign w:val="bottom"/>
          </w:tcPr>
          <w:p>
            <w:pPr>
              <w:spacing w:after="0"/>
              <w:rPr>
                <w:sz w:val="1"/>
                <w:szCs w:val="1"/>
                <w:color w:val="auto"/>
              </w:rPr>
            </w:pPr>
          </w:p>
        </w:tc>
      </w:tr>
      <w:tr>
        <w:trPr>
          <w:trHeight w:val="147"/>
        </w:trPr>
        <w:tc>
          <w:tcPr>
            <w:tcW w:w="1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SG&amp;A</w:t>
            </w:r>
          </w:p>
        </w:tc>
        <w:tc>
          <w:tcPr>
            <w:tcW w:w="60" w:type="dxa"/>
            <w:vAlign w:val="bottom"/>
          </w:tcPr>
          <w:p>
            <w:pPr>
              <w:spacing w:after="0"/>
              <w:rPr>
                <w:sz w:val="12"/>
                <w:szCs w:val="12"/>
                <w:color w:val="auto"/>
              </w:rPr>
            </w:pPr>
          </w:p>
        </w:tc>
        <w:tc>
          <w:tcPr>
            <w:tcW w:w="54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42,712</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20.6%</w:t>
            </w:r>
          </w:p>
        </w:tc>
        <w:tc>
          <w:tcPr>
            <w:tcW w:w="80" w:type="dxa"/>
            <w:vAlign w:val="bottom"/>
          </w:tcPr>
          <w:p>
            <w:pPr>
              <w:spacing w:after="0"/>
              <w:rPr>
                <w:sz w:val="12"/>
                <w:szCs w:val="12"/>
                <w:color w:val="auto"/>
              </w:rPr>
            </w:pPr>
          </w:p>
        </w:tc>
        <w:tc>
          <w:tcPr>
            <w:tcW w:w="5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46,818</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18.8%</w:t>
            </w:r>
          </w:p>
        </w:tc>
        <w:tc>
          <w:tcPr>
            <w:tcW w:w="60" w:type="dxa"/>
            <w:vAlign w:val="bottom"/>
          </w:tcPr>
          <w:p>
            <w:pPr>
              <w:spacing w:after="0"/>
              <w:rPr>
                <w:sz w:val="12"/>
                <w:szCs w:val="12"/>
                <w:color w:val="auto"/>
              </w:rPr>
            </w:pPr>
          </w:p>
        </w:tc>
        <w:tc>
          <w:tcPr>
            <w:tcW w:w="52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57,290</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17.7%</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(4, 106)</w:t>
            </w:r>
          </w:p>
        </w:tc>
        <w:tc>
          <w:tcPr>
            <w:tcW w:w="1660" w:type="dxa"/>
            <w:vAlign w:val="bottom"/>
            <w:gridSpan w:val="5"/>
          </w:tcPr>
          <w:p>
            <w:pPr>
              <w:jc w:val="right"/>
              <w:spacing w:after="0"/>
              <w:rPr>
                <w:sz w:val="20"/>
                <w:szCs w:val="20"/>
                <w:color w:val="auto"/>
              </w:rPr>
            </w:pPr>
            <w:r>
              <w:rPr>
                <w:rFonts w:ascii="Arial" w:cs="Arial" w:eastAsia="Arial" w:hAnsi="Arial"/>
                <w:sz w:val="10"/>
                <w:szCs w:val="10"/>
                <w:color w:val="auto"/>
              </w:rPr>
              <w:t xml:space="preserve">-8.8%~  </w:t>
            </w:r>
            <w:r>
              <w:rPr>
                <w:rFonts w:ascii="Times New Roman" w:cs="Times New Roman" w:eastAsia="Times New Roman" w:hAnsi="Times New Roman"/>
                <w:sz w:val="12"/>
                <w:szCs w:val="12"/>
                <w:color w:val="auto"/>
              </w:rPr>
              <w:t>-18.3 %</w:t>
            </w:r>
          </w:p>
        </w:tc>
        <w:tc>
          <w:tcPr>
            <w:tcW w:w="0" w:type="dxa"/>
            <w:vAlign w:val="bottom"/>
          </w:tcPr>
          <w:p>
            <w:pPr>
              <w:spacing w:after="0"/>
              <w:rPr>
                <w:sz w:val="1"/>
                <w:szCs w:val="1"/>
                <w:color w:val="auto"/>
              </w:rPr>
            </w:pPr>
          </w:p>
        </w:tc>
      </w:tr>
      <w:tr>
        <w:trPr>
          <w:trHeight w:val="140"/>
        </w:trPr>
        <w:tc>
          <w:tcPr>
            <w:tcW w:w="1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xml:space="preserve">Income </w:t>
            </w:r>
            <w:r>
              <w:rPr>
                <w:rFonts w:ascii="Arial" w:cs="Arial" w:eastAsia="Arial" w:hAnsi="Arial"/>
                <w:sz w:val="11"/>
                <w:szCs w:val="11"/>
                <w:i w:val="1"/>
                <w:iCs w:val="1"/>
                <w:color w:val="auto"/>
              </w:rPr>
              <w:t>from</w:t>
            </w:r>
          </w:p>
        </w:tc>
        <w:tc>
          <w:tcPr>
            <w:tcW w:w="60" w:type="dxa"/>
            <w:vAlign w:val="bottom"/>
            <w:tcBorders>
              <w:top w:val="single" w:sz="8" w:color="585458"/>
            </w:tcBorders>
          </w:tcPr>
          <w:p>
            <w:pPr>
              <w:spacing w:after="0"/>
              <w:rPr>
                <w:sz w:val="12"/>
                <w:szCs w:val="12"/>
                <w:color w:val="auto"/>
              </w:rPr>
            </w:pPr>
          </w:p>
        </w:tc>
        <w:tc>
          <w:tcPr>
            <w:tcW w:w="540" w:type="dxa"/>
            <w:vAlign w:val="bottom"/>
            <w:tcBorders>
              <w:top w:val="single" w:sz="8" w:color="585458"/>
            </w:tcBorders>
          </w:tcPr>
          <w:p>
            <w:pPr>
              <w:spacing w:after="0"/>
              <w:rPr>
                <w:sz w:val="12"/>
                <w:szCs w:val="12"/>
                <w:color w:val="auto"/>
              </w:rPr>
            </w:pPr>
          </w:p>
        </w:tc>
        <w:tc>
          <w:tcPr>
            <w:tcW w:w="260" w:type="dxa"/>
            <w:vAlign w:val="bottom"/>
            <w:tcBorders>
              <w:top w:val="single" w:sz="8" w:color="585458"/>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585458"/>
            </w:tcBorders>
          </w:tcPr>
          <w:p>
            <w:pPr>
              <w:spacing w:after="0"/>
              <w:rPr>
                <w:sz w:val="12"/>
                <w:szCs w:val="12"/>
                <w:color w:val="auto"/>
              </w:rPr>
            </w:pPr>
          </w:p>
        </w:tc>
        <w:tc>
          <w:tcPr>
            <w:tcW w:w="520" w:type="dxa"/>
            <w:vAlign w:val="bottom"/>
            <w:tcBorders>
              <w:top w:val="single" w:sz="8" w:color="585458"/>
            </w:tcBorders>
          </w:tcPr>
          <w:p>
            <w:pPr>
              <w:spacing w:after="0"/>
              <w:rPr>
                <w:sz w:val="12"/>
                <w:szCs w:val="12"/>
                <w:color w:val="auto"/>
              </w:rPr>
            </w:pPr>
          </w:p>
        </w:tc>
        <w:tc>
          <w:tcPr>
            <w:tcW w:w="280" w:type="dxa"/>
            <w:vAlign w:val="bottom"/>
            <w:tcBorders>
              <w:top w:val="single" w:sz="8" w:color="585458"/>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585458"/>
            </w:tcBorders>
          </w:tcPr>
          <w:p>
            <w:pPr>
              <w:spacing w:after="0"/>
              <w:rPr>
                <w:sz w:val="12"/>
                <w:szCs w:val="12"/>
                <w:color w:val="auto"/>
              </w:rPr>
            </w:pPr>
          </w:p>
        </w:tc>
        <w:tc>
          <w:tcPr>
            <w:tcW w:w="520" w:type="dxa"/>
            <w:vAlign w:val="bottom"/>
            <w:tcBorders>
              <w:top w:val="single" w:sz="8" w:color="585458"/>
            </w:tcBorders>
          </w:tcPr>
          <w:p>
            <w:pPr>
              <w:spacing w:after="0"/>
              <w:rPr>
                <w:sz w:val="12"/>
                <w:szCs w:val="12"/>
                <w:color w:val="auto"/>
              </w:rPr>
            </w:pPr>
          </w:p>
        </w:tc>
        <w:tc>
          <w:tcPr>
            <w:tcW w:w="300" w:type="dxa"/>
            <w:vAlign w:val="bottom"/>
            <w:tcBorders>
              <w:top w:val="single" w:sz="8" w:color="585458"/>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585454"/>
            </w:tcBorders>
          </w:tcPr>
          <w:p>
            <w:pPr>
              <w:spacing w:after="0"/>
              <w:rPr>
                <w:sz w:val="12"/>
                <w:szCs w:val="12"/>
                <w:color w:val="auto"/>
              </w:rPr>
            </w:pPr>
          </w:p>
        </w:tc>
        <w:tc>
          <w:tcPr>
            <w:tcW w:w="420" w:type="dxa"/>
            <w:vAlign w:val="bottom"/>
            <w:tcBorders>
              <w:top w:val="single" w:sz="8" w:color="585454"/>
            </w:tcBorders>
          </w:tcPr>
          <w:p>
            <w:pPr>
              <w:spacing w:after="0"/>
              <w:rPr>
                <w:sz w:val="12"/>
                <w:szCs w:val="12"/>
                <w:color w:val="auto"/>
              </w:rPr>
            </w:pPr>
          </w:p>
        </w:tc>
        <w:tc>
          <w:tcPr>
            <w:tcW w:w="440" w:type="dxa"/>
            <w:vAlign w:val="bottom"/>
            <w:tcBorders>
              <w:top w:val="single" w:sz="8" w:color="585454"/>
            </w:tcBorders>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operations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25,357</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12.2%</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30,699</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52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4 1,979</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(5,342)</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-17.4% $( 11 ,280)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-26.9%</w:t>
            </w:r>
          </w:p>
        </w:tc>
        <w:tc>
          <w:tcPr>
            <w:tcW w:w="0" w:type="dxa"/>
            <w:vAlign w:val="bottom"/>
          </w:tcPr>
          <w:p>
            <w:pPr>
              <w:spacing w:after="0"/>
              <w:rPr>
                <w:sz w:val="1"/>
                <w:szCs w:val="1"/>
                <w:color w:val="auto"/>
              </w:rPr>
            </w:pPr>
          </w:p>
        </w:tc>
      </w:tr>
      <w:tr>
        <w:trPr>
          <w:trHeight w:val="29"/>
        </w:trPr>
        <w:tc>
          <w:tcPr>
            <w:tcW w:w="1220" w:type="dxa"/>
            <w:vAlign w:val="bottom"/>
            <w:tcBorders>
              <w:right w:val="single" w:sz="8" w:color="585454"/>
            </w:tcBorders>
          </w:tcPr>
          <w:p>
            <w:pPr>
              <w:spacing w:after="0"/>
              <w:rPr>
                <w:sz w:val="2"/>
                <w:szCs w:val="2"/>
                <w:color w:val="auto"/>
              </w:rPr>
            </w:pPr>
          </w:p>
        </w:tc>
        <w:tc>
          <w:tcPr>
            <w:tcW w:w="60" w:type="dxa"/>
            <w:vAlign w:val="bottom"/>
            <w:shd w:val="clear" w:color="auto" w:fill="585454"/>
          </w:tcPr>
          <w:p>
            <w:pPr>
              <w:spacing w:after="0"/>
              <w:rPr>
                <w:sz w:val="2"/>
                <w:szCs w:val="2"/>
                <w:color w:val="auto"/>
              </w:rPr>
            </w:pPr>
          </w:p>
        </w:tc>
        <w:tc>
          <w:tcPr>
            <w:tcW w:w="540" w:type="dxa"/>
            <w:vAlign w:val="bottom"/>
            <w:shd w:val="clear" w:color="auto" w:fill="585454"/>
          </w:tcPr>
          <w:p>
            <w:pPr>
              <w:spacing w:after="0"/>
              <w:rPr>
                <w:sz w:val="2"/>
                <w:szCs w:val="2"/>
                <w:color w:val="auto"/>
              </w:rPr>
            </w:pPr>
          </w:p>
        </w:tc>
        <w:tc>
          <w:tcPr>
            <w:tcW w:w="260" w:type="dxa"/>
            <w:vAlign w:val="bottom"/>
            <w:shd w:val="clear" w:color="auto" w:fill="585454"/>
          </w:tcPr>
          <w:p>
            <w:pPr>
              <w:spacing w:after="0"/>
              <w:rPr>
                <w:sz w:val="2"/>
                <w:szCs w:val="2"/>
                <w:color w:val="auto"/>
              </w:rPr>
            </w:pPr>
          </w:p>
        </w:tc>
        <w:tc>
          <w:tcPr>
            <w:tcW w:w="140" w:type="dxa"/>
            <w:vAlign w:val="bottom"/>
            <w:tcBorders>
              <w:left w:val="single" w:sz="8" w:color="585454"/>
              <w:right w:val="single" w:sz="8" w:color="585454"/>
            </w:tcBorders>
          </w:tcPr>
          <w:p>
            <w:pPr>
              <w:spacing w:after="0"/>
              <w:rPr>
                <w:sz w:val="2"/>
                <w:szCs w:val="2"/>
                <w:color w:val="auto"/>
              </w:rPr>
            </w:pPr>
          </w:p>
        </w:tc>
        <w:tc>
          <w:tcPr>
            <w:tcW w:w="80" w:type="dxa"/>
            <w:vAlign w:val="bottom"/>
            <w:shd w:val="clear" w:color="auto" w:fill="585454"/>
          </w:tcPr>
          <w:p>
            <w:pPr>
              <w:spacing w:after="0"/>
              <w:rPr>
                <w:sz w:val="2"/>
                <w:szCs w:val="2"/>
                <w:color w:val="auto"/>
              </w:rPr>
            </w:pPr>
          </w:p>
        </w:tc>
        <w:tc>
          <w:tcPr>
            <w:tcW w:w="520" w:type="dxa"/>
            <w:vAlign w:val="bottom"/>
            <w:shd w:val="clear" w:color="auto" w:fill="585454"/>
          </w:tcPr>
          <w:p>
            <w:pPr>
              <w:spacing w:after="0"/>
              <w:rPr>
                <w:sz w:val="2"/>
                <w:szCs w:val="2"/>
                <w:color w:val="auto"/>
              </w:rPr>
            </w:pPr>
          </w:p>
        </w:tc>
        <w:tc>
          <w:tcPr>
            <w:tcW w:w="280" w:type="dxa"/>
            <w:vAlign w:val="bottom"/>
            <w:shd w:val="clear" w:color="auto" w:fill="585454"/>
          </w:tcPr>
          <w:p>
            <w:pPr>
              <w:spacing w:after="0"/>
              <w:rPr>
                <w:sz w:val="2"/>
                <w:szCs w:val="2"/>
                <w:color w:val="auto"/>
              </w:rPr>
            </w:pPr>
          </w:p>
        </w:tc>
        <w:tc>
          <w:tcPr>
            <w:tcW w:w="140" w:type="dxa"/>
            <w:vAlign w:val="bottom"/>
            <w:tcBorders>
              <w:left w:val="single" w:sz="8" w:color="585454"/>
              <w:right w:val="single" w:sz="8" w:color="585454"/>
            </w:tcBorders>
          </w:tcPr>
          <w:p>
            <w:pPr>
              <w:spacing w:after="0"/>
              <w:rPr>
                <w:sz w:val="2"/>
                <w:szCs w:val="2"/>
                <w:color w:val="auto"/>
              </w:rPr>
            </w:pPr>
          </w:p>
        </w:tc>
        <w:tc>
          <w:tcPr>
            <w:tcW w:w="60" w:type="dxa"/>
            <w:vAlign w:val="bottom"/>
            <w:shd w:val="clear" w:color="auto" w:fill="585454"/>
          </w:tcPr>
          <w:p>
            <w:pPr>
              <w:spacing w:after="0"/>
              <w:rPr>
                <w:sz w:val="2"/>
                <w:szCs w:val="2"/>
                <w:color w:val="auto"/>
              </w:rPr>
            </w:pPr>
          </w:p>
        </w:tc>
        <w:tc>
          <w:tcPr>
            <w:tcW w:w="520" w:type="dxa"/>
            <w:vAlign w:val="bottom"/>
            <w:shd w:val="clear" w:color="auto" w:fill="585454"/>
          </w:tcPr>
          <w:p>
            <w:pPr>
              <w:spacing w:after="0"/>
              <w:rPr>
                <w:sz w:val="2"/>
                <w:szCs w:val="2"/>
                <w:color w:val="auto"/>
              </w:rPr>
            </w:pPr>
          </w:p>
        </w:tc>
        <w:tc>
          <w:tcPr>
            <w:tcW w:w="300" w:type="dxa"/>
            <w:vAlign w:val="bottom"/>
            <w:shd w:val="clear" w:color="auto" w:fill="585454"/>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240" w:hanging="233"/>
        <w:spacing w:after="0" w:line="258" w:lineRule="auto"/>
        <w:tabs>
          <w:tab w:leader="none" w:pos="2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profit at the segment leve l is considered a Non-GAAP financia l measure du e to the included effects of intercompany transactions. Refer to th e reconci liation of segment results to consolidated resu lts of operations presented above .</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*53 weeks for fiscal 2024 as compared with 52 weeks for fiscal 2023 and 2022.</w:t>
      </w:r>
    </w:p>
    <w:p>
      <w:pPr>
        <w:spacing w:after="0" w:line="59" w:lineRule="exact"/>
        <w:rPr>
          <w:sz w:val="20"/>
          <w:szCs w:val="20"/>
          <w:color w:val="auto"/>
        </w:rPr>
      </w:pPr>
    </w:p>
    <w:p>
      <w:pPr>
        <w:sectPr>
          <w:pgSz w:w="15840" w:h="12240" w:orient="landscape"/>
          <w:cols w:equalWidth="0" w:num="2">
            <w:col w:w="7200" w:space="720"/>
            <w:col w:w="6460"/>
          </w:cols>
          <w:pgMar w:left="740" w:top="1440" w:right="720" w:bottom="897" w:gutter="0" w:footer="0" w:header="0"/>
        </w:sectPr>
      </w:pPr>
    </w:p>
    <w:p>
      <w:pPr>
        <w:ind w:left="11100"/>
        <w:spacing w:after="0"/>
        <w:rPr>
          <w:sz w:val="20"/>
          <w:szCs w:val="20"/>
          <w:color w:val="auto"/>
        </w:rPr>
      </w:pPr>
      <w:r>
        <w:rPr>
          <w:rFonts w:ascii="Times New Roman" w:cs="Times New Roman" w:eastAsia="Times New Roman" w:hAnsi="Times New Roman"/>
          <w:sz w:val="12"/>
          <w:szCs w:val="12"/>
          <w:color w:val="auto"/>
        </w:rPr>
        <w:t>6</w:t>
      </w:r>
    </w:p>
    <w:p>
      <w:pPr>
        <w:sectPr>
          <w:pgSz w:w="15840" w:h="12240" w:orient="landscape"/>
          <w:cols w:equalWidth="0" w:num="1">
            <w:col w:w="14380"/>
          </w:cols>
          <w:pgMar w:left="740" w:top="1440" w:right="720" w:bottom="897" w:gutter="0" w:footer="0" w:header="0"/>
          <w:type w:val="continuous"/>
        </w:sectPr>
      </w:pPr>
    </w:p>
    <w:bookmarkStart w:id="7" w:name="page8"/>
    <w:bookmarkEnd w:id="7"/>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0058400" cy="7772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ind w:right="1560" w:firstLine="6"/>
        <w:spacing w:after="0" w:line="227" w:lineRule="auto"/>
        <w:rPr>
          <w:sz w:val="20"/>
          <w:szCs w:val="20"/>
          <w:color w:val="auto"/>
        </w:rPr>
      </w:pPr>
      <w:r>
        <w:rPr>
          <w:rFonts w:ascii="Times New Roman" w:cs="Times New Roman" w:eastAsia="Times New Roman" w:hAnsi="Times New Roman"/>
          <w:sz w:val="13"/>
          <w:szCs w:val="13"/>
          <w:color w:val="auto"/>
        </w:rPr>
        <w:t xml:space="preserve">Management's Discussion and Analysis of Financial Condition and Results of Operations - Continued </w:t>
      </w:r>
      <w:r>
        <w:rPr>
          <w:rFonts w:ascii="Times New Roman" w:cs="Times New Roman" w:eastAsia="Times New Roman" w:hAnsi="Times New Roman"/>
          <w:sz w:val="12"/>
          <w:szCs w:val="12"/>
          <w:color w:val="auto"/>
        </w:rPr>
        <w:t>(Amounts in thousands except share and per share data)</w:t>
      </w:r>
    </w:p>
    <w:p>
      <w:pPr>
        <w:spacing w:after="0" w:line="166" w:lineRule="exact"/>
        <w:rPr>
          <w:sz w:val="20"/>
          <w:szCs w:val="20"/>
          <w:color w:val="auto"/>
        </w:rPr>
      </w:pPr>
    </w:p>
    <w:p>
      <w:pPr>
        <w:jc w:val="both"/>
        <w:ind w:right="780" w:firstLine="6"/>
        <w:spacing w:after="0" w:line="248" w:lineRule="auto"/>
        <w:rPr>
          <w:sz w:val="20"/>
          <w:szCs w:val="20"/>
          <w:color w:val="auto"/>
        </w:rPr>
      </w:pPr>
      <w:r>
        <w:rPr>
          <w:rFonts w:ascii="Times New Roman" w:cs="Times New Roman" w:eastAsia="Times New Roman" w:hAnsi="Times New Roman"/>
          <w:sz w:val="12"/>
          <w:szCs w:val="12"/>
          <w:color w:val="auto"/>
        </w:rPr>
        <w:t>Wholesale shipments by category for the fi scal years ended November 30, 2024, November 25, 2023 and November 26, 2022 are summarized below:</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09"/>
        </w:trPr>
        <w:tc>
          <w:tcPr>
            <w:tcW w:w="620" w:type="dxa"/>
            <w:vAlign w:val="bottom"/>
          </w:tcPr>
          <w:p>
            <w:pPr>
              <w:spacing w:after="0"/>
              <w:rPr>
                <w:sz w:val="9"/>
                <w:szCs w:val="9"/>
                <w:color w:val="auto"/>
              </w:rPr>
            </w:pPr>
          </w:p>
        </w:tc>
        <w:tc>
          <w:tcPr>
            <w:tcW w:w="80" w:type="dxa"/>
            <w:vAlign w:val="bottom"/>
            <w:tcBorders>
              <w:bottom w:val="single" w:sz="8" w:color="201C20"/>
            </w:tcBorders>
          </w:tcPr>
          <w:p>
            <w:pPr>
              <w:spacing w:after="0"/>
              <w:rPr>
                <w:sz w:val="9"/>
                <w:szCs w:val="9"/>
                <w:color w:val="auto"/>
              </w:rPr>
            </w:pPr>
          </w:p>
        </w:tc>
        <w:tc>
          <w:tcPr>
            <w:tcW w:w="360" w:type="dxa"/>
            <w:vAlign w:val="bottom"/>
            <w:tcBorders>
              <w:bottom w:val="single" w:sz="8" w:color="201C20"/>
            </w:tcBorders>
          </w:tcPr>
          <w:p>
            <w:pPr>
              <w:spacing w:after="0"/>
              <w:rPr>
                <w:sz w:val="9"/>
                <w:szCs w:val="9"/>
                <w:color w:val="auto"/>
              </w:rPr>
            </w:pPr>
          </w:p>
        </w:tc>
        <w:tc>
          <w:tcPr>
            <w:tcW w:w="200" w:type="dxa"/>
            <w:vAlign w:val="bottom"/>
            <w:tcBorders>
              <w:bottom w:val="single" w:sz="8" w:color="201C20"/>
            </w:tcBorders>
          </w:tcPr>
          <w:p>
            <w:pPr>
              <w:spacing w:after="0"/>
              <w:rPr>
                <w:sz w:val="9"/>
                <w:szCs w:val="9"/>
                <w:color w:val="auto"/>
              </w:rPr>
            </w:pPr>
          </w:p>
        </w:tc>
        <w:tc>
          <w:tcPr>
            <w:tcW w:w="42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9"/>
                <w:szCs w:val="9"/>
                <w:color w:val="auto"/>
              </w:rPr>
              <w:t>2024 •</w:t>
            </w:r>
          </w:p>
        </w:tc>
        <w:tc>
          <w:tcPr>
            <w:tcW w:w="520" w:type="dxa"/>
            <w:vAlign w:val="bottom"/>
            <w:tcBorders>
              <w:bottom w:val="single" w:sz="8" w:color="201C20"/>
            </w:tcBorders>
          </w:tcPr>
          <w:p>
            <w:pPr>
              <w:spacing w:after="0"/>
              <w:rPr>
                <w:sz w:val="9"/>
                <w:szCs w:val="9"/>
                <w:color w:val="auto"/>
              </w:rPr>
            </w:pPr>
          </w:p>
        </w:tc>
        <w:tc>
          <w:tcPr>
            <w:tcW w:w="220" w:type="dxa"/>
            <w:vAlign w:val="bottom"/>
            <w:tcBorders>
              <w:bottom w:val="single" w:sz="8" w:color="201C2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bottom w:val="single" w:sz="8" w:color="201C20"/>
            </w:tcBorders>
          </w:tcPr>
          <w:p>
            <w:pPr>
              <w:spacing w:after="0"/>
              <w:rPr>
                <w:sz w:val="9"/>
                <w:szCs w:val="9"/>
                <w:color w:val="auto"/>
              </w:rPr>
            </w:pPr>
          </w:p>
        </w:tc>
        <w:tc>
          <w:tcPr>
            <w:tcW w:w="80" w:type="dxa"/>
            <w:vAlign w:val="bottom"/>
            <w:tcBorders>
              <w:bottom w:val="single" w:sz="8" w:color="201C20"/>
            </w:tcBorders>
          </w:tcPr>
          <w:p>
            <w:pPr>
              <w:spacing w:after="0"/>
              <w:rPr>
                <w:sz w:val="9"/>
                <w:szCs w:val="9"/>
                <w:color w:val="auto"/>
              </w:rPr>
            </w:pPr>
          </w:p>
        </w:tc>
        <w:tc>
          <w:tcPr>
            <w:tcW w:w="360" w:type="dxa"/>
            <w:vAlign w:val="bottom"/>
            <w:tcBorders>
              <w:bottom w:val="single" w:sz="8" w:color="201C20"/>
            </w:tcBorders>
          </w:tcPr>
          <w:p>
            <w:pPr>
              <w:spacing w:after="0"/>
              <w:rPr>
                <w:sz w:val="9"/>
                <w:szCs w:val="9"/>
                <w:color w:val="auto"/>
              </w:rPr>
            </w:pPr>
          </w:p>
        </w:tc>
        <w:tc>
          <w:tcPr>
            <w:tcW w:w="180" w:type="dxa"/>
            <w:vAlign w:val="bottom"/>
            <w:tcBorders>
              <w:bottom w:val="single" w:sz="8" w:color="201C20"/>
            </w:tcBorders>
          </w:tcPr>
          <w:p>
            <w:pPr>
              <w:spacing w:after="0"/>
              <w:rPr>
                <w:sz w:val="9"/>
                <w:szCs w:val="9"/>
                <w:color w:val="auto"/>
              </w:rPr>
            </w:pPr>
          </w:p>
        </w:tc>
        <w:tc>
          <w:tcPr>
            <w:tcW w:w="42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9"/>
                <w:szCs w:val="9"/>
                <w:color w:val="auto"/>
              </w:rPr>
              <w:t>2023</w:t>
            </w:r>
          </w:p>
        </w:tc>
        <w:tc>
          <w:tcPr>
            <w:tcW w:w="540" w:type="dxa"/>
            <w:vAlign w:val="bottom"/>
            <w:tcBorders>
              <w:bottom w:val="single" w:sz="8" w:color="201C20"/>
            </w:tcBorders>
          </w:tcPr>
          <w:p>
            <w:pPr>
              <w:spacing w:after="0"/>
              <w:rPr>
                <w:sz w:val="9"/>
                <w:szCs w:val="9"/>
                <w:color w:val="auto"/>
              </w:rPr>
            </w:pPr>
          </w:p>
        </w:tc>
        <w:tc>
          <w:tcPr>
            <w:tcW w:w="240" w:type="dxa"/>
            <w:vAlign w:val="bottom"/>
            <w:tcBorders>
              <w:bottom w:val="single" w:sz="8" w:color="201C20"/>
            </w:tcBorders>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Borders>
              <w:bottom w:val="single" w:sz="8" w:color="201C20"/>
            </w:tcBorders>
          </w:tcPr>
          <w:p>
            <w:pPr>
              <w:spacing w:after="0"/>
              <w:rPr>
                <w:sz w:val="9"/>
                <w:szCs w:val="9"/>
                <w:color w:val="auto"/>
              </w:rPr>
            </w:pPr>
          </w:p>
        </w:tc>
        <w:tc>
          <w:tcPr>
            <w:tcW w:w="180" w:type="dxa"/>
            <w:vAlign w:val="bottom"/>
            <w:tcBorders>
              <w:bottom w:val="single" w:sz="8" w:color="201C20"/>
            </w:tcBorders>
          </w:tcPr>
          <w:p>
            <w:pPr>
              <w:spacing w:after="0"/>
              <w:rPr>
                <w:sz w:val="9"/>
                <w:szCs w:val="9"/>
                <w:color w:val="auto"/>
              </w:rPr>
            </w:pPr>
          </w:p>
        </w:tc>
        <w:tc>
          <w:tcPr>
            <w:tcW w:w="42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9"/>
                <w:szCs w:val="9"/>
                <w:color w:val="auto"/>
              </w:rPr>
              <w:t>2022</w:t>
            </w:r>
          </w:p>
        </w:tc>
        <w:tc>
          <w:tcPr>
            <w:tcW w:w="540" w:type="dxa"/>
            <w:vAlign w:val="bottom"/>
            <w:tcBorders>
              <w:bottom w:val="single" w:sz="8" w:color="201C20"/>
            </w:tcBorders>
          </w:tcPr>
          <w:p>
            <w:pPr>
              <w:spacing w:after="0"/>
              <w:rPr>
                <w:sz w:val="9"/>
                <w:szCs w:val="9"/>
                <w:color w:val="auto"/>
              </w:rPr>
            </w:pPr>
          </w:p>
        </w:tc>
        <w:tc>
          <w:tcPr>
            <w:tcW w:w="240" w:type="dxa"/>
            <w:vAlign w:val="bottom"/>
            <w:tcBorders>
              <w:bottom w:val="single" w:sz="8" w:color="201C20"/>
            </w:tcBorders>
          </w:tcPr>
          <w:p>
            <w:pPr>
              <w:spacing w:after="0"/>
              <w:rPr>
                <w:sz w:val="9"/>
                <w:szCs w:val="9"/>
                <w:color w:val="auto"/>
              </w:rPr>
            </w:pPr>
          </w:p>
        </w:tc>
        <w:tc>
          <w:tcPr>
            <w:tcW w:w="80" w:type="dxa"/>
            <w:vAlign w:val="bottom"/>
          </w:tcPr>
          <w:p>
            <w:pPr>
              <w:spacing w:after="0"/>
              <w:rPr>
                <w:sz w:val="9"/>
                <w:szCs w:val="9"/>
                <w:color w:val="auto"/>
              </w:rPr>
            </w:pPr>
          </w:p>
        </w:tc>
      </w:tr>
      <w:tr>
        <w:trPr>
          <w:trHeight w:val="100"/>
        </w:trPr>
        <w:tc>
          <w:tcPr>
            <w:tcW w:w="620" w:type="dxa"/>
            <w:vAlign w:val="bottom"/>
          </w:tcPr>
          <w:p>
            <w:pPr>
              <w:spacing w:after="0"/>
              <w:rPr>
                <w:sz w:val="8"/>
                <w:szCs w:val="8"/>
                <w:color w:val="auto"/>
              </w:rPr>
            </w:pPr>
          </w:p>
        </w:tc>
        <w:tc>
          <w:tcPr>
            <w:tcW w:w="440" w:type="dxa"/>
            <w:vAlign w:val="bottom"/>
            <w:tcBorders>
              <w:bottom w:val="single" w:sz="8" w:color="201C20"/>
            </w:tcBorders>
            <w:gridSpan w:val="2"/>
          </w:tcPr>
          <w:p>
            <w:pPr>
              <w:jc w:val="right"/>
              <w:ind w:right="55"/>
              <w:spacing w:after="0" w:line="100" w:lineRule="exact"/>
              <w:rPr>
                <w:sz w:val="20"/>
                <w:szCs w:val="20"/>
                <w:color w:val="auto"/>
              </w:rPr>
            </w:pPr>
            <w:r>
              <w:rPr>
                <w:rFonts w:ascii="Times New Roman" w:cs="Times New Roman" w:eastAsia="Times New Roman" w:hAnsi="Times New Roman"/>
                <w:sz w:val="9"/>
                <w:szCs w:val="9"/>
                <w:color w:val="auto"/>
              </w:rPr>
              <w:t>External</w:t>
            </w:r>
          </w:p>
        </w:tc>
        <w:tc>
          <w:tcPr>
            <w:tcW w:w="620" w:type="dxa"/>
            <w:vAlign w:val="bottom"/>
            <w:tcBorders>
              <w:bottom w:val="single" w:sz="8" w:color="201C20"/>
            </w:tcBorders>
            <w:gridSpan w:val="2"/>
          </w:tcPr>
          <w:p>
            <w:pPr>
              <w:ind w:left="40"/>
              <w:spacing w:after="0" w:line="100" w:lineRule="exact"/>
              <w:rPr>
                <w:sz w:val="20"/>
                <w:szCs w:val="20"/>
                <w:color w:val="auto"/>
              </w:rPr>
            </w:pPr>
            <w:r>
              <w:rPr>
                <w:rFonts w:ascii="Times New Roman" w:cs="Times New Roman" w:eastAsia="Times New Roman" w:hAnsi="Times New Roman"/>
                <w:sz w:val="9"/>
                <w:szCs w:val="9"/>
                <w:color w:val="auto"/>
              </w:rPr>
              <w:t>Intercompany</w:t>
            </w:r>
          </w:p>
        </w:tc>
        <w:tc>
          <w:tcPr>
            <w:tcW w:w="52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8"/>
                <w:szCs w:val="8"/>
                <w:color w:val="auto"/>
              </w:rPr>
              <w:t>Total</w:t>
            </w:r>
          </w:p>
        </w:tc>
        <w:tc>
          <w:tcPr>
            <w:tcW w:w="220" w:type="dxa"/>
            <w:vAlign w:val="bottom"/>
            <w:tcBorders>
              <w:bottom w:val="single" w:sz="8" w:color="201C20"/>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Borders>
              <w:bottom w:val="single" w:sz="8" w:color="201C20"/>
            </w:tcBorders>
            <w:gridSpan w:val="2"/>
          </w:tcPr>
          <w:p>
            <w:pPr>
              <w:jc w:val="right"/>
              <w:ind w:right="55"/>
              <w:spacing w:after="0" w:line="100" w:lineRule="exact"/>
              <w:rPr>
                <w:sz w:val="20"/>
                <w:szCs w:val="20"/>
                <w:color w:val="auto"/>
              </w:rPr>
            </w:pPr>
            <w:r>
              <w:rPr>
                <w:rFonts w:ascii="Times New Roman" w:cs="Times New Roman" w:eastAsia="Times New Roman" w:hAnsi="Times New Roman"/>
                <w:sz w:val="9"/>
                <w:szCs w:val="9"/>
                <w:color w:val="auto"/>
              </w:rPr>
              <w:t>External</w:t>
            </w:r>
          </w:p>
        </w:tc>
        <w:tc>
          <w:tcPr>
            <w:tcW w:w="600" w:type="dxa"/>
            <w:vAlign w:val="bottom"/>
            <w:tcBorders>
              <w:bottom w:val="single" w:sz="8" w:color="201C20"/>
            </w:tcBorders>
            <w:gridSpan w:val="2"/>
          </w:tcPr>
          <w:p>
            <w:pPr>
              <w:ind w:left="60"/>
              <w:spacing w:after="0" w:line="100" w:lineRule="exact"/>
              <w:rPr>
                <w:sz w:val="20"/>
                <w:szCs w:val="20"/>
                <w:color w:val="auto"/>
              </w:rPr>
            </w:pPr>
            <w:r>
              <w:rPr>
                <w:rFonts w:ascii="Times New Roman" w:cs="Times New Roman" w:eastAsia="Times New Roman" w:hAnsi="Times New Roman"/>
                <w:sz w:val="9"/>
                <w:szCs w:val="9"/>
                <w:color w:val="auto"/>
              </w:rPr>
              <w:t>Intercompany</w:t>
            </w:r>
          </w:p>
        </w:tc>
        <w:tc>
          <w:tcPr>
            <w:tcW w:w="540" w:type="dxa"/>
            <w:vAlign w:val="bottom"/>
            <w:tcBorders>
              <w:bottom w:val="single" w:sz="8" w:color="201C20"/>
            </w:tcBorders>
          </w:tcPr>
          <w:p>
            <w:pPr>
              <w:ind w:left="320"/>
              <w:spacing w:after="0"/>
              <w:rPr>
                <w:sz w:val="20"/>
                <w:szCs w:val="20"/>
                <w:color w:val="auto"/>
              </w:rPr>
            </w:pPr>
            <w:r>
              <w:rPr>
                <w:rFonts w:ascii="Times New Roman" w:cs="Times New Roman" w:eastAsia="Times New Roman" w:hAnsi="Times New Roman"/>
                <w:sz w:val="8"/>
                <w:szCs w:val="8"/>
                <w:color w:val="auto"/>
              </w:rPr>
              <w:t>Total</w:t>
            </w:r>
          </w:p>
        </w:tc>
        <w:tc>
          <w:tcPr>
            <w:tcW w:w="240" w:type="dxa"/>
            <w:vAlign w:val="bottom"/>
            <w:tcBorders>
              <w:bottom w:val="single" w:sz="8" w:color="201C20"/>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bottom w:val="single" w:sz="8" w:color="201C20"/>
            </w:tcBorders>
          </w:tcPr>
          <w:p>
            <w:pPr>
              <w:jc w:val="right"/>
              <w:ind w:right="55"/>
              <w:spacing w:after="0" w:line="100" w:lineRule="exact"/>
              <w:rPr>
                <w:sz w:val="20"/>
                <w:szCs w:val="20"/>
                <w:color w:val="auto"/>
              </w:rPr>
            </w:pPr>
            <w:r>
              <w:rPr>
                <w:rFonts w:ascii="Times New Roman" w:cs="Times New Roman" w:eastAsia="Times New Roman" w:hAnsi="Times New Roman"/>
                <w:sz w:val="9"/>
                <w:szCs w:val="9"/>
                <w:color w:val="auto"/>
                <w:w w:val="98"/>
              </w:rPr>
              <w:t>External</w:t>
            </w:r>
          </w:p>
        </w:tc>
        <w:tc>
          <w:tcPr>
            <w:tcW w:w="600" w:type="dxa"/>
            <w:vAlign w:val="bottom"/>
            <w:tcBorders>
              <w:bottom w:val="single" w:sz="8" w:color="201C20"/>
            </w:tcBorders>
            <w:gridSpan w:val="2"/>
          </w:tcPr>
          <w:p>
            <w:pPr>
              <w:ind w:left="60"/>
              <w:spacing w:after="0" w:line="100" w:lineRule="exact"/>
              <w:rPr>
                <w:sz w:val="20"/>
                <w:szCs w:val="20"/>
                <w:color w:val="auto"/>
              </w:rPr>
            </w:pPr>
            <w:r>
              <w:rPr>
                <w:rFonts w:ascii="Times New Roman" w:cs="Times New Roman" w:eastAsia="Times New Roman" w:hAnsi="Times New Roman"/>
                <w:sz w:val="9"/>
                <w:szCs w:val="9"/>
                <w:color w:val="auto"/>
              </w:rPr>
              <w:t>Intercompany</w:t>
            </w:r>
          </w:p>
        </w:tc>
        <w:tc>
          <w:tcPr>
            <w:tcW w:w="54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8"/>
                <w:szCs w:val="8"/>
                <w:color w:val="auto"/>
              </w:rPr>
              <w:t>Total</w:t>
            </w:r>
          </w:p>
        </w:tc>
        <w:tc>
          <w:tcPr>
            <w:tcW w:w="240" w:type="dxa"/>
            <w:vAlign w:val="bottom"/>
            <w:tcBorders>
              <w:bottom w:val="single" w:sz="8" w:color="201C20"/>
            </w:tcBorders>
          </w:tcPr>
          <w:p>
            <w:pPr>
              <w:spacing w:after="0"/>
              <w:rPr>
                <w:sz w:val="8"/>
                <w:szCs w:val="8"/>
                <w:color w:val="auto"/>
              </w:rPr>
            </w:pPr>
          </w:p>
        </w:tc>
        <w:tc>
          <w:tcPr>
            <w:tcW w:w="80" w:type="dxa"/>
            <w:vAlign w:val="bottom"/>
          </w:tcPr>
          <w:p>
            <w:pPr>
              <w:spacing w:after="0"/>
              <w:rPr>
                <w:sz w:val="8"/>
                <w:szCs w:val="8"/>
                <w:color w:val="auto"/>
              </w:rPr>
            </w:pPr>
          </w:p>
        </w:tc>
      </w:tr>
      <w:tr>
        <w:trPr>
          <w:trHeight w:val="100"/>
        </w:trPr>
        <w:tc>
          <w:tcPr>
            <w:tcW w:w="620" w:type="dxa"/>
            <w:vAlign w:val="bottom"/>
          </w:tcPr>
          <w:p>
            <w:pPr>
              <w:spacing w:after="0"/>
              <w:rPr>
                <w:sz w:val="20"/>
                <w:szCs w:val="20"/>
                <w:color w:val="auto"/>
              </w:rPr>
            </w:pPr>
            <w:r>
              <w:rPr>
                <w:rFonts w:ascii="Times New Roman" w:cs="Times New Roman" w:eastAsia="Times New Roman" w:hAnsi="Times New Roman"/>
                <w:sz w:val="8"/>
                <w:szCs w:val="8"/>
                <w:color w:val="auto"/>
              </w:rPr>
              <w:t>IJasS&lt;,·ttCustom</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10"/>
        </w:trPr>
        <w:tc>
          <w:tcPr>
            <w:tcW w:w="620" w:type="dxa"/>
            <w:vAlign w:val="bottom"/>
          </w:tcPr>
          <w:p>
            <w:pPr>
              <w:ind w:left="60"/>
              <w:spacing w:after="0"/>
              <w:rPr>
                <w:sz w:val="20"/>
                <w:szCs w:val="20"/>
                <w:color w:val="auto"/>
              </w:rPr>
            </w:pPr>
            <w:r>
              <w:rPr>
                <w:rFonts w:ascii="Times New Roman" w:cs="Times New Roman" w:eastAsia="Times New Roman" w:hAnsi="Times New Roman"/>
                <w:sz w:val="8"/>
                <w:szCs w:val="8"/>
                <w:color w:val="auto"/>
              </w:rPr>
              <w:t>Upholstery</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36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79,344</w:t>
            </w:r>
          </w:p>
        </w:tc>
        <w:tc>
          <w:tcPr>
            <w:tcW w:w="200" w:type="dxa"/>
            <w:vAlign w:val="bottom"/>
          </w:tcPr>
          <w:p>
            <w:pPr>
              <w:ind w:left="40"/>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55 ,168</w:t>
            </w: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w w:val="99"/>
              </w:rPr>
              <w:t>$ 134,512</w:t>
            </w:r>
          </w:p>
        </w:tc>
        <w:tc>
          <w:tcPr>
            <w:tcW w:w="2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4"/>
              </w:rPr>
              <w:t>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89,005</w:t>
            </w:r>
          </w:p>
        </w:tc>
        <w:tc>
          <w:tcPr>
            <w:tcW w:w="180" w:type="dxa"/>
            <w:vAlign w:val="bottom"/>
          </w:tcPr>
          <w:p>
            <w:pPr>
              <w:ind w:left="40"/>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66,363</w:t>
            </w:r>
          </w:p>
        </w:tc>
        <w:tc>
          <w:tcPr>
            <w:tcW w:w="540" w:type="dxa"/>
            <w:vAlign w:val="bottom"/>
          </w:tcPr>
          <w:p>
            <w:pPr>
              <w:ind w:left="60"/>
              <w:spacing w:after="0"/>
              <w:rPr>
                <w:sz w:val="20"/>
                <w:szCs w:val="20"/>
                <w:color w:val="auto"/>
              </w:rPr>
            </w:pPr>
            <w:r>
              <w:rPr>
                <w:rFonts w:ascii="Times New Roman" w:cs="Times New Roman" w:eastAsia="Times New Roman" w:hAnsi="Times New Roman"/>
                <w:sz w:val="9"/>
                <w:szCs w:val="9"/>
                <w:color w:val="auto"/>
              </w:rPr>
              <w:t>$ 155,368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62.4%</w:t>
            </w: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w w:val="94"/>
              </w:rPr>
              <w:t>$ 124,565</w:t>
            </w:r>
          </w:p>
        </w:tc>
        <w:tc>
          <w:tcPr>
            <w:tcW w:w="180" w:type="dxa"/>
            <w:vAlign w:val="bottom"/>
          </w:tcPr>
          <w:p>
            <w:pPr>
              <w:ind w:left="40"/>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82,437</w:t>
            </w:r>
          </w:p>
        </w:tc>
        <w:tc>
          <w:tcPr>
            <w:tcW w:w="5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$207,002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63.8%</w:t>
            </w:r>
          </w:p>
        </w:tc>
      </w:tr>
      <w:tr>
        <w:trPr>
          <w:trHeight w:val="120"/>
        </w:trPr>
        <w:tc>
          <w:tcPr>
            <w:tcW w:w="620" w:type="dxa"/>
            <w:vAlign w:val="bottom"/>
          </w:tcPr>
          <w:p>
            <w:pPr>
              <w:spacing w:after="0"/>
              <w:rPr>
                <w:sz w:val="20"/>
                <w:szCs w:val="20"/>
                <w:color w:val="auto"/>
              </w:rPr>
            </w:pPr>
            <w:r>
              <w:rPr>
                <w:rFonts w:ascii="Times New Roman" w:cs="Times New Roman" w:eastAsia="Times New Roman" w:hAnsi="Times New Roman"/>
                <w:sz w:val="8"/>
                <w:szCs w:val="8"/>
                <w:color w:val="auto"/>
              </w:rPr>
              <w:t>Bassett Leather</w:t>
            </w:r>
          </w:p>
        </w:tc>
        <w:tc>
          <w:tcPr>
            <w:tcW w:w="80" w:type="dxa"/>
            <w:vAlign w:val="bottom"/>
          </w:tcPr>
          <w:p>
            <w:pPr>
              <w:spacing w:after="0"/>
              <w:rPr>
                <w:sz w:val="10"/>
                <w:szCs w:val="10"/>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9"/>
                <w:szCs w:val="9"/>
                <w:color w:val="auto"/>
              </w:rPr>
              <w:t>15,705</w:t>
            </w:r>
          </w:p>
        </w:tc>
        <w:tc>
          <w:tcPr>
            <w:tcW w:w="200" w:type="dxa"/>
            <w:vAlign w:val="bottom"/>
          </w:tcPr>
          <w:p>
            <w:pPr>
              <w:spacing w:after="0"/>
              <w:rPr>
                <w:sz w:val="10"/>
                <w:szCs w:val="10"/>
                <w:color w:val="auto"/>
              </w:rPr>
            </w:pP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1,9 19</w:t>
            </w: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17,624</w:t>
            </w:r>
          </w:p>
        </w:tc>
        <w:tc>
          <w:tcPr>
            <w:tcW w:w="2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4"/>
              </w:rPr>
              <w:t>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26,70 1</w:t>
            </w:r>
          </w:p>
        </w:tc>
        <w:tc>
          <w:tcPr>
            <w:tcW w:w="1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1, 17 1</w:t>
            </w:r>
          </w:p>
        </w:tc>
        <w:tc>
          <w:tcPr>
            <w:tcW w:w="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27,872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11.2%</w:t>
            </w: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35 ,953</w:t>
            </w:r>
          </w:p>
        </w:tc>
        <w:tc>
          <w:tcPr>
            <w:tcW w:w="1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76</w:t>
            </w:r>
          </w:p>
        </w:tc>
        <w:tc>
          <w:tcPr>
            <w:tcW w:w="5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36,029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11.1 %</w:t>
            </w:r>
          </w:p>
        </w:tc>
      </w:tr>
      <w:tr>
        <w:trPr>
          <w:trHeight w:val="125"/>
        </w:trPr>
        <w:tc>
          <w:tcPr>
            <w:tcW w:w="620" w:type="dxa"/>
            <w:vAlign w:val="bottom"/>
          </w:tcPr>
          <w:p>
            <w:pPr>
              <w:spacing w:after="0"/>
              <w:rPr>
                <w:sz w:val="20"/>
                <w:szCs w:val="20"/>
                <w:color w:val="auto"/>
              </w:rPr>
            </w:pPr>
            <w:r>
              <w:rPr>
                <w:rFonts w:ascii="Times New Roman" w:cs="Times New Roman" w:eastAsia="Times New Roman" w:hAnsi="Times New Roman"/>
                <w:sz w:val="8"/>
                <w:szCs w:val="8"/>
                <w:color w:val="auto"/>
              </w:rPr>
              <w:t>Bassett Custom</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08"/>
        </w:trPr>
        <w:tc>
          <w:tcPr>
            <w:tcW w:w="62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Wood</w:t>
            </w:r>
          </w:p>
        </w:tc>
        <w:tc>
          <w:tcPr>
            <w:tcW w:w="80" w:type="dxa"/>
            <w:vAlign w:val="bottom"/>
          </w:tcPr>
          <w:p>
            <w:pPr>
              <w:spacing w:after="0"/>
              <w:rPr>
                <w:sz w:val="9"/>
                <w:szCs w:val="9"/>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9"/>
                <w:szCs w:val="9"/>
                <w:color w:val="auto"/>
              </w:rPr>
              <w:t>14.075</w:t>
            </w:r>
          </w:p>
        </w:tc>
        <w:tc>
          <w:tcPr>
            <w:tcW w:w="200" w:type="dxa"/>
            <w:vAlign w:val="bottom"/>
          </w:tcPr>
          <w:p>
            <w:pPr>
              <w:spacing w:after="0"/>
              <w:rPr>
                <w:sz w:val="9"/>
                <w:szCs w:val="9"/>
                <w:color w:val="auto"/>
              </w:rPr>
            </w:pP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16.674</w:t>
            </w: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30.749</w:t>
            </w:r>
          </w:p>
        </w:tc>
        <w:tc>
          <w:tcPr>
            <w:tcW w:w="2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4"/>
              </w:rPr>
              <w:t>8%</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9"/>
                <w:szCs w:val="9"/>
                <w:color w:val="auto"/>
              </w:rPr>
              <w:t>17.357</w:t>
            </w:r>
          </w:p>
        </w:tc>
        <w:tc>
          <w:tcPr>
            <w:tcW w:w="180" w:type="dxa"/>
            <w:vAlign w:val="bottom"/>
          </w:tcPr>
          <w:p>
            <w:pPr>
              <w:spacing w:after="0"/>
              <w:rPr>
                <w:sz w:val="9"/>
                <w:szCs w:val="9"/>
                <w:color w:val="auto"/>
              </w:rPr>
            </w:pP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20.070</w:t>
            </w:r>
          </w:p>
        </w:tc>
        <w:tc>
          <w:tcPr>
            <w:tcW w:w="5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37.427</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15.0%</w:t>
            </w: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22.534</w:t>
            </w:r>
          </w:p>
        </w:tc>
        <w:tc>
          <w:tcPr>
            <w:tcW w:w="180" w:type="dxa"/>
            <w:vAlign w:val="bottom"/>
          </w:tcPr>
          <w:p>
            <w:pPr>
              <w:spacing w:after="0"/>
              <w:rPr>
                <w:sz w:val="9"/>
                <w:szCs w:val="9"/>
                <w:color w:val="auto"/>
              </w:rPr>
            </w:pP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24.764</w:t>
            </w:r>
          </w:p>
        </w:tc>
        <w:tc>
          <w:tcPr>
            <w:tcW w:w="54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47.298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14.6%</w:t>
            </w:r>
          </w:p>
        </w:tc>
      </w:tr>
      <w:tr>
        <w:trPr>
          <w:trHeight w:val="123"/>
        </w:trPr>
        <w:tc>
          <w:tcPr>
            <w:tcW w:w="620" w:type="dxa"/>
            <w:vAlign w:val="bottom"/>
          </w:tcPr>
          <w:p>
            <w:pPr>
              <w:spacing w:after="0"/>
              <w:rPr>
                <w:sz w:val="20"/>
                <w:szCs w:val="20"/>
                <w:color w:val="auto"/>
              </w:rPr>
            </w:pPr>
            <w:r>
              <w:rPr>
                <w:rFonts w:ascii="Times New Roman" w:cs="Times New Roman" w:eastAsia="Times New Roman" w:hAnsi="Times New Roman"/>
                <w:sz w:val="8"/>
                <w:szCs w:val="8"/>
                <w:color w:val="auto"/>
              </w:rPr>
              <w:t>Bassett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06"/>
        </w:trPr>
        <w:tc>
          <w:tcPr>
            <w:tcW w:w="620" w:type="dxa"/>
            <w:vAlign w:val="bottom"/>
          </w:tcPr>
          <w:p>
            <w:pPr>
              <w:ind w:left="40"/>
              <w:spacing w:after="0"/>
              <w:rPr>
                <w:sz w:val="20"/>
                <w:szCs w:val="20"/>
                <w:color w:val="auto"/>
              </w:rPr>
            </w:pPr>
            <w:r>
              <w:rPr>
                <w:rFonts w:ascii="Times New Roman" w:cs="Times New Roman" w:eastAsia="Times New Roman" w:hAnsi="Times New Roman"/>
                <w:sz w:val="8"/>
                <w:szCs w:val="8"/>
                <w:color w:val="auto"/>
              </w:rPr>
              <w:t>Casegoods</w:t>
            </w:r>
          </w:p>
        </w:tc>
        <w:tc>
          <w:tcPr>
            <w:tcW w:w="80" w:type="dxa"/>
            <w:vAlign w:val="bottom"/>
          </w:tcPr>
          <w:p>
            <w:pPr>
              <w:spacing w:after="0"/>
              <w:rPr>
                <w:sz w:val="9"/>
                <w:szCs w:val="9"/>
                <w:color w:val="auto"/>
              </w:rPr>
            </w:pPr>
          </w:p>
        </w:tc>
        <w:tc>
          <w:tcPr>
            <w:tcW w:w="36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w w:val="95"/>
              </w:rPr>
              <w:t>11 .3 17</w:t>
            </w:r>
          </w:p>
        </w:tc>
        <w:tc>
          <w:tcPr>
            <w:tcW w:w="200" w:type="dxa"/>
            <w:vAlign w:val="bottom"/>
          </w:tcPr>
          <w:p>
            <w:pPr>
              <w:spacing w:after="0"/>
              <w:rPr>
                <w:sz w:val="9"/>
                <w:szCs w:val="9"/>
                <w:color w:val="auto"/>
              </w:rPr>
            </w:pPr>
          </w:p>
        </w:tc>
        <w:tc>
          <w:tcPr>
            <w:tcW w:w="420" w:type="dxa"/>
            <w:vAlign w:val="bottom"/>
          </w:tcPr>
          <w:p>
            <w:pPr>
              <w:jc w:val="right"/>
              <w:ind w:right="35"/>
              <w:spacing w:after="0" w:line="101" w:lineRule="exact"/>
              <w:rPr>
                <w:sz w:val="20"/>
                <w:szCs w:val="20"/>
                <w:color w:val="auto"/>
              </w:rPr>
            </w:pPr>
            <w:r>
              <w:rPr>
                <w:rFonts w:ascii="Times New Roman" w:cs="Times New Roman" w:eastAsia="Times New Roman" w:hAnsi="Times New Roman"/>
                <w:sz w:val="9"/>
                <w:szCs w:val="9"/>
                <w:color w:val="auto"/>
              </w:rPr>
              <w:t>13.260</w:t>
            </w:r>
          </w:p>
        </w:tc>
        <w:tc>
          <w:tcPr>
            <w:tcW w:w="520" w:type="dxa"/>
            <w:vAlign w:val="bottom"/>
          </w:tcPr>
          <w:p>
            <w:pPr>
              <w:jc w:val="right"/>
              <w:ind w:right="95"/>
              <w:spacing w:after="0" w:line="101" w:lineRule="exact"/>
              <w:rPr>
                <w:sz w:val="20"/>
                <w:szCs w:val="20"/>
                <w:color w:val="auto"/>
              </w:rPr>
            </w:pPr>
            <w:r>
              <w:rPr>
                <w:rFonts w:ascii="Times New Roman" w:cs="Times New Roman" w:eastAsia="Times New Roman" w:hAnsi="Times New Roman"/>
                <w:sz w:val="9"/>
                <w:szCs w:val="9"/>
                <w:color w:val="auto"/>
              </w:rPr>
              <w:t>24,577</w:t>
            </w:r>
          </w:p>
        </w:tc>
        <w:tc>
          <w:tcPr>
            <w:tcW w:w="32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9"/>
                <w:szCs w:val="9"/>
                <w:color w:val="auto"/>
              </w:rPr>
              <w:t>11.8%</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12,329</w:t>
            </w:r>
          </w:p>
        </w:tc>
        <w:tc>
          <w:tcPr>
            <w:tcW w:w="180" w:type="dxa"/>
            <w:vAlign w:val="bottom"/>
          </w:tcPr>
          <w:p>
            <w:pPr>
              <w:spacing w:after="0"/>
              <w:rPr>
                <w:sz w:val="9"/>
                <w:szCs w:val="9"/>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15,9 15</w:t>
            </w:r>
          </w:p>
        </w:tc>
        <w:tc>
          <w:tcPr>
            <w:tcW w:w="540" w:type="dxa"/>
            <w:vAlign w:val="bottom"/>
          </w:tcPr>
          <w:p>
            <w:pPr>
              <w:ind w:left="160"/>
              <w:spacing w:after="0" w:line="101" w:lineRule="exact"/>
              <w:rPr>
                <w:sz w:val="20"/>
                <w:szCs w:val="20"/>
                <w:color w:val="auto"/>
              </w:rPr>
            </w:pPr>
            <w:r>
              <w:rPr>
                <w:rFonts w:ascii="Times New Roman" w:cs="Times New Roman" w:eastAsia="Times New Roman" w:hAnsi="Times New Roman"/>
                <w:sz w:val="9"/>
                <w:szCs w:val="9"/>
                <w:color w:val="auto"/>
              </w:rPr>
              <w:t>28,244</w:t>
            </w:r>
          </w:p>
        </w:tc>
        <w:tc>
          <w:tcPr>
            <w:tcW w:w="380" w:type="dxa"/>
            <w:vAlign w:val="bottom"/>
            <w:gridSpan w:val="2"/>
          </w:tcPr>
          <w:p>
            <w:pPr>
              <w:jc w:val="right"/>
              <w:ind w:right="60"/>
              <w:spacing w:after="0" w:line="101" w:lineRule="exact"/>
              <w:rPr>
                <w:sz w:val="20"/>
                <w:szCs w:val="20"/>
                <w:color w:val="auto"/>
              </w:rPr>
            </w:pPr>
            <w:r>
              <w:rPr>
                <w:rFonts w:ascii="Times New Roman" w:cs="Times New Roman" w:eastAsia="Times New Roman" w:hAnsi="Times New Roman"/>
                <w:sz w:val="9"/>
                <w:szCs w:val="9"/>
                <w:color w:val="auto"/>
              </w:rPr>
              <w:t>11.3%</w:t>
            </w:r>
          </w:p>
        </w:tc>
        <w:tc>
          <w:tcPr>
            <w:tcW w:w="420" w:type="dxa"/>
            <w:vAlign w:val="bottom"/>
          </w:tcPr>
          <w:p>
            <w:pPr>
              <w:jc w:val="right"/>
              <w:ind w:right="15"/>
              <w:spacing w:after="0" w:line="101" w:lineRule="exact"/>
              <w:rPr>
                <w:sz w:val="20"/>
                <w:szCs w:val="20"/>
                <w:color w:val="auto"/>
              </w:rPr>
            </w:pPr>
            <w:r>
              <w:rPr>
                <w:rFonts w:ascii="Times New Roman" w:cs="Times New Roman" w:eastAsia="Times New Roman" w:hAnsi="Times New Roman"/>
                <w:sz w:val="9"/>
                <w:szCs w:val="9"/>
                <w:color w:val="auto"/>
              </w:rPr>
              <w:t>15,628</w:t>
            </w:r>
          </w:p>
        </w:tc>
        <w:tc>
          <w:tcPr>
            <w:tcW w:w="180" w:type="dxa"/>
            <w:vAlign w:val="bottom"/>
          </w:tcPr>
          <w:p>
            <w:pPr>
              <w:spacing w:after="0"/>
              <w:rPr>
                <w:sz w:val="9"/>
                <w:szCs w:val="9"/>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18,6 12</w:t>
            </w:r>
          </w:p>
        </w:tc>
        <w:tc>
          <w:tcPr>
            <w:tcW w:w="540" w:type="dxa"/>
            <w:vAlign w:val="bottom"/>
          </w:tcPr>
          <w:p>
            <w:pPr>
              <w:jc w:val="right"/>
              <w:ind w:right="75"/>
              <w:spacing w:after="0" w:line="101" w:lineRule="exact"/>
              <w:rPr>
                <w:sz w:val="20"/>
                <w:szCs w:val="20"/>
                <w:color w:val="auto"/>
              </w:rPr>
            </w:pPr>
            <w:r>
              <w:rPr>
                <w:rFonts w:ascii="Times New Roman" w:cs="Times New Roman" w:eastAsia="Times New Roman" w:hAnsi="Times New Roman"/>
                <w:sz w:val="9"/>
                <w:szCs w:val="9"/>
                <w:color w:val="auto"/>
              </w:rPr>
              <w:t>34.240</w:t>
            </w:r>
          </w:p>
        </w:tc>
        <w:tc>
          <w:tcPr>
            <w:tcW w:w="32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9"/>
                <w:szCs w:val="9"/>
                <w:color w:val="auto"/>
              </w:rPr>
              <w:t>10.5%</w:t>
            </w:r>
          </w:p>
        </w:tc>
      </w:tr>
      <w:tr>
        <w:trPr>
          <w:trHeight w:val="20"/>
        </w:trPr>
        <w:tc>
          <w:tcPr>
            <w:tcW w:w="620" w:type="dxa"/>
            <w:vAlign w:val="bottom"/>
          </w:tcPr>
          <w:p>
            <w:pPr>
              <w:spacing w:after="0" w:line="20" w:lineRule="exact"/>
              <w:rPr>
                <w:sz w:val="1"/>
                <w:szCs w:val="1"/>
                <w:color w:val="auto"/>
              </w:rPr>
            </w:pPr>
          </w:p>
        </w:tc>
        <w:tc>
          <w:tcPr>
            <w:tcW w:w="80" w:type="dxa"/>
            <w:vAlign w:val="bottom"/>
            <w:shd w:val="clear" w:color="auto" w:fill="201C20"/>
          </w:tcPr>
          <w:p>
            <w:pPr>
              <w:spacing w:after="0" w:line="20" w:lineRule="exact"/>
              <w:rPr>
                <w:sz w:val="1"/>
                <w:szCs w:val="1"/>
                <w:color w:val="auto"/>
              </w:rPr>
            </w:pPr>
          </w:p>
        </w:tc>
        <w:tc>
          <w:tcPr>
            <w:tcW w:w="360" w:type="dxa"/>
            <w:vAlign w:val="bottom"/>
            <w:shd w:val="clear" w:color="auto" w:fill="201C20"/>
          </w:tcPr>
          <w:p>
            <w:pPr>
              <w:spacing w:after="0" w:line="20" w:lineRule="exact"/>
              <w:rPr>
                <w:sz w:val="1"/>
                <w:szCs w:val="1"/>
                <w:color w:val="auto"/>
              </w:rPr>
            </w:pPr>
          </w:p>
        </w:tc>
        <w:tc>
          <w:tcPr>
            <w:tcW w:w="200" w:type="dxa"/>
            <w:vAlign w:val="bottom"/>
            <w:shd w:val="clear" w:color="auto" w:fill="201C20"/>
          </w:tcPr>
          <w:p>
            <w:pPr>
              <w:spacing w:after="0" w:line="20" w:lineRule="exact"/>
              <w:rPr>
                <w:sz w:val="1"/>
                <w:szCs w:val="1"/>
                <w:color w:val="auto"/>
              </w:rPr>
            </w:pPr>
          </w:p>
        </w:tc>
        <w:tc>
          <w:tcPr>
            <w:tcW w:w="420" w:type="dxa"/>
            <w:vAlign w:val="bottom"/>
            <w:shd w:val="clear" w:color="auto" w:fill="201C20"/>
          </w:tcPr>
          <w:p>
            <w:pPr>
              <w:spacing w:after="0" w:line="20" w:lineRule="exact"/>
              <w:rPr>
                <w:sz w:val="1"/>
                <w:szCs w:val="1"/>
                <w:color w:val="auto"/>
              </w:rPr>
            </w:pPr>
          </w:p>
        </w:tc>
        <w:tc>
          <w:tcPr>
            <w:tcW w:w="520" w:type="dxa"/>
            <w:vAlign w:val="bottom"/>
            <w:shd w:val="clear" w:color="auto" w:fill="201C20"/>
          </w:tcPr>
          <w:p>
            <w:pPr>
              <w:spacing w:after="0" w:line="20" w:lineRule="exact"/>
              <w:rPr>
                <w:sz w:val="1"/>
                <w:szCs w:val="1"/>
                <w:color w:val="auto"/>
              </w:rPr>
            </w:pPr>
          </w:p>
        </w:tc>
        <w:tc>
          <w:tcPr>
            <w:tcW w:w="220" w:type="dxa"/>
            <w:vAlign w:val="bottom"/>
            <w:tcBorders>
              <w:right w:val="single" w:sz="8" w:color="201C20"/>
            </w:tcBorders>
            <w:shd w:val="clear" w:color="auto" w:fill="201C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201C20"/>
          </w:tcPr>
          <w:p>
            <w:pPr>
              <w:spacing w:after="0" w:line="20" w:lineRule="exact"/>
              <w:rPr>
                <w:sz w:val="1"/>
                <w:szCs w:val="1"/>
                <w:color w:val="auto"/>
              </w:rPr>
            </w:pPr>
          </w:p>
        </w:tc>
        <w:tc>
          <w:tcPr>
            <w:tcW w:w="360" w:type="dxa"/>
            <w:vAlign w:val="bottom"/>
            <w:shd w:val="clear" w:color="auto" w:fill="201C20"/>
          </w:tcPr>
          <w:p>
            <w:pPr>
              <w:spacing w:after="0" w:line="20" w:lineRule="exact"/>
              <w:rPr>
                <w:sz w:val="1"/>
                <w:szCs w:val="1"/>
                <w:color w:val="auto"/>
              </w:rPr>
            </w:pPr>
          </w:p>
        </w:tc>
        <w:tc>
          <w:tcPr>
            <w:tcW w:w="180" w:type="dxa"/>
            <w:vAlign w:val="bottom"/>
            <w:shd w:val="clear" w:color="auto" w:fill="201C20"/>
          </w:tcPr>
          <w:p>
            <w:pPr>
              <w:spacing w:after="0" w:line="20" w:lineRule="exact"/>
              <w:rPr>
                <w:sz w:val="1"/>
                <w:szCs w:val="1"/>
                <w:color w:val="auto"/>
              </w:rPr>
            </w:pPr>
          </w:p>
        </w:tc>
        <w:tc>
          <w:tcPr>
            <w:tcW w:w="420" w:type="dxa"/>
            <w:vAlign w:val="bottom"/>
            <w:shd w:val="clear" w:color="auto" w:fill="201C20"/>
          </w:tcPr>
          <w:p>
            <w:pPr>
              <w:spacing w:after="0" w:line="20" w:lineRule="exact"/>
              <w:rPr>
                <w:sz w:val="1"/>
                <w:szCs w:val="1"/>
                <w:color w:val="auto"/>
              </w:rPr>
            </w:pPr>
          </w:p>
        </w:tc>
        <w:tc>
          <w:tcPr>
            <w:tcW w:w="540" w:type="dxa"/>
            <w:vAlign w:val="bottom"/>
            <w:shd w:val="clear" w:color="auto" w:fill="201C20"/>
          </w:tcPr>
          <w:p>
            <w:pPr>
              <w:spacing w:after="0" w:line="20" w:lineRule="exact"/>
              <w:rPr>
                <w:sz w:val="1"/>
                <w:szCs w:val="1"/>
                <w:color w:val="auto"/>
              </w:rPr>
            </w:pPr>
          </w:p>
        </w:tc>
        <w:tc>
          <w:tcPr>
            <w:tcW w:w="240" w:type="dxa"/>
            <w:vAlign w:val="bottom"/>
            <w:shd w:val="clear" w:color="auto" w:fill="201C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201C20"/>
          </w:tcPr>
          <w:p>
            <w:pPr>
              <w:spacing w:after="0" w:line="20" w:lineRule="exact"/>
              <w:rPr>
                <w:sz w:val="1"/>
                <w:szCs w:val="1"/>
                <w:color w:val="auto"/>
              </w:rPr>
            </w:pPr>
          </w:p>
        </w:tc>
        <w:tc>
          <w:tcPr>
            <w:tcW w:w="180" w:type="dxa"/>
            <w:vAlign w:val="bottom"/>
            <w:shd w:val="clear" w:color="auto" w:fill="201C20"/>
          </w:tcPr>
          <w:p>
            <w:pPr>
              <w:spacing w:after="0" w:line="20" w:lineRule="exact"/>
              <w:rPr>
                <w:sz w:val="1"/>
                <w:szCs w:val="1"/>
                <w:color w:val="auto"/>
              </w:rPr>
            </w:pPr>
          </w:p>
        </w:tc>
        <w:tc>
          <w:tcPr>
            <w:tcW w:w="420" w:type="dxa"/>
            <w:vAlign w:val="bottom"/>
            <w:shd w:val="clear" w:color="auto" w:fill="201C20"/>
          </w:tcPr>
          <w:p>
            <w:pPr>
              <w:spacing w:after="0" w:line="20" w:lineRule="exact"/>
              <w:rPr>
                <w:sz w:val="1"/>
                <w:szCs w:val="1"/>
                <w:color w:val="auto"/>
              </w:rPr>
            </w:pPr>
          </w:p>
        </w:tc>
        <w:tc>
          <w:tcPr>
            <w:tcW w:w="540" w:type="dxa"/>
            <w:vAlign w:val="bottom"/>
            <w:shd w:val="clear" w:color="auto" w:fill="201C20"/>
          </w:tcPr>
          <w:p>
            <w:pPr>
              <w:spacing w:after="0" w:line="20" w:lineRule="exact"/>
              <w:rPr>
                <w:sz w:val="1"/>
                <w:szCs w:val="1"/>
                <w:color w:val="auto"/>
              </w:rPr>
            </w:pPr>
          </w:p>
        </w:tc>
        <w:tc>
          <w:tcPr>
            <w:tcW w:w="240" w:type="dxa"/>
            <w:vAlign w:val="bottom"/>
            <w:shd w:val="clear" w:color="auto" w:fill="201C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6"/>
        </w:trPr>
        <w:tc>
          <w:tcPr>
            <w:tcW w:w="620" w:type="dxa"/>
            <w:vAlign w:val="bottom"/>
          </w:tcPr>
          <w:p>
            <w:pPr>
              <w:spacing w:after="0"/>
              <w:rPr>
                <w:sz w:val="20"/>
                <w:szCs w:val="20"/>
                <w:color w:val="auto"/>
              </w:rPr>
            </w:pPr>
            <w:r>
              <w:rPr>
                <w:rFonts w:ascii="Times New Roman" w:cs="Times New Roman" w:eastAsia="Times New Roman" w:hAnsi="Times New Roman"/>
                <w:sz w:val="8"/>
                <w:szCs w:val="8"/>
                <w:color w:val="auto"/>
              </w:rPr>
              <w:t>Total</w:t>
            </w:r>
          </w:p>
        </w:tc>
        <w:tc>
          <w:tcPr>
            <w:tcW w:w="80" w:type="dxa"/>
            <w:vAlign w:val="bottom"/>
          </w:tcPr>
          <w:p>
            <w:pPr>
              <w:jc w:val="right"/>
              <w:spacing w:after="0" w:line="96" w:lineRule="exact"/>
              <w:rPr>
                <w:sz w:val="20"/>
                <w:szCs w:val="20"/>
                <w:color w:val="auto"/>
              </w:rPr>
            </w:pPr>
            <w:r>
              <w:rPr>
                <w:rFonts w:ascii="Times New Roman" w:cs="Times New Roman" w:eastAsia="Times New Roman" w:hAnsi="Times New Roman"/>
                <w:sz w:val="9"/>
                <w:szCs w:val="9"/>
                <w:color w:val="auto"/>
                <w:w w:val="87"/>
              </w:rPr>
              <w:t>$</w:t>
            </w:r>
          </w:p>
        </w:tc>
        <w:tc>
          <w:tcPr>
            <w:tcW w:w="360" w:type="dxa"/>
            <w:vAlign w:val="bottom"/>
          </w:tcPr>
          <w:p>
            <w:pPr>
              <w:jc w:val="right"/>
              <w:ind w:right="15"/>
              <w:spacing w:after="0" w:line="96" w:lineRule="exact"/>
              <w:rPr>
                <w:sz w:val="20"/>
                <w:szCs w:val="20"/>
                <w:color w:val="auto"/>
              </w:rPr>
            </w:pPr>
            <w:r>
              <w:rPr>
                <w:rFonts w:ascii="Times New Roman" w:cs="Times New Roman" w:eastAsia="Times New Roman" w:hAnsi="Times New Roman"/>
                <w:sz w:val="9"/>
                <w:szCs w:val="9"/>
                <w:color w:val="auto"/>
                <w:w w:val="88"/>
              </w:rPr>
              <w:t>120,44 1</w:t>
            </w:r>
          </w:p>
        </w:tc>
        <w:tc>
          <w:tcPr>
            <w:tcW w:w="200" w:type="dxa"/>
            <w:vAlign w:val="bottom"/>
          </w:tcPr>
          <w:p>
            <w:pPr>
              <w:ind w:left="40"/>
              <w:spacing w:after="0" w:line="96"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15"/>
              <w:spacing w:after="0" w:line="96" w:lineRule="exact"/>
              <w:rPr>
                <w:sz w:val="20"/>
                <w:szCs w:val="20"/>
                <w:color w:val="auto"/>
              </w:rPr>
            </w:pPr>
            <w:r>
              <w:rPr>
                <w:rFonts w:ascii="Times New Roman" w:cs="Times New Roman" w:eastAsia="Times New Roman" w:hAnsi="Times New Roman"/>
                <w:sz w:val="9"/>
                <w:szCs w:val="9"/>
                <w:color w:val="auto"/>
              </w:rPr>
              <w:t>87,02 1</w:t>
            </w:r>
          </w:p>
        </w:tc>
        <w:tc>
          <w:tcPr>
            <w:tcW w:w="520" w:type="dxa"/>
            <w:vAlign w:val="bottom"/>
          </w:tcPr>
          <w:p>
            <w:pPr>
              <w:jc w:val="right"/>
              <w:ind w:right="95"/>
              <w:spacing w:after="0" w:line="96" w:lineRule="exact"/>
              <w:rPr>
                <w:sz w:val="20"/>
                <w:szCs w:val="20"/>
                <w:color w:val="auto"/>
              </w:rPr>
            </w:pPr>
            <w:r>
              <w:rPr>
                <w:rFonts w:ascii="Times New Roman" w:cs="Times New Roman" w:eastAsia="Times New Roman" w:hAnsi="Times New Roman"/>
                <w:sz w:val="9"/>
                <w:szCs w:val="9"/>
                <w:color w:val="auto"/>
              </w:rPr>
              <w:t>$207,462</w:t>
            </w:r>
          </w:p>
        </w:tc>
        <w:tc>
          <w:tcPr>
            <w:tcW w:w="320" w:type="dxa"/>
            <w:vAlign w:val="bottom"/>
            <w:gridSpan w:val="2"/>
          </w:tcPr>
          <w:p>
            <w:pPr>
              <w:jc w:val="right"/>
              <w:spacing w:after="0" w:line="96" w:lineRule="exact"/>
              <w:rPr>
                <w:sz w:val="20"/>
                <w:szCs w:val="20"/>
                <w:color w:val="auto"/>
              </w:rPr>
            </w:pPr>
            <w:r>
              <w:rPr>
                <w:rFonts w:ascii="Times New Roman" w:cs="Times New Roman" w:eastAsia="Times New Roman" w:hAnsi="Times New Roman"/>
                <w:sz w:val="9"/>
                <w:szCs w:val="9"/>
                <w:color w:val="auto"/>
              </w:rPr>
              <w:t>100.0%</w:t>
            </w:r>
          </w:p>
        </w:tc>
        <w:tc>
          <w:tcPr>
            <w:tcW w:w="120" w:type="dxa"/>
            <w:vAlign w:val="bottom"/>
            <w:gridSpan w:val="2"/>
          </w:tcPr>
          <w:p>
            <w:pPr>
              <w:jc w:val="right"/>
              <w:spacing w:after="0" w:line="96" w:lineRule="exact"/>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ind w:right="35"/>
              <w:spacing w:after="0" w:line="96" w:lineRule="exact"/>
              <w:rPr>
                <w:sz w:val="20"/>
                <w:szCs w:val="20"/>
                <w:color w:val="auto"/>
              </w:rPr>
            </w:pPr>
            <w:r>
              <w:rPr>
                <w:rFonts w:ascii="Times New Roman" w:cs="Times New Roman" w:eastAsia="Times New Roman" w:hAnsi="Times New Roman"/>
                <w:sz w:val="9"/>
                <w:szCs w:val="9"/>
                <w:color w:val="auto"/>
                <w:w w:val="88"/>
              </w:rPr>
              <w:t>145,392</w:t>
            </w:r>
          </w:p>
        </w:tc>
        <w:tc>
          <w:tcPr>
            <w:tcW w:w="180" w:type="dxa"/>
            <w:vAlign w:val="bottom"/>
          </w:tcPr>
          <w:p>
            <w:pPr>
              <w:ind w:left="40"/>
              <w:spacing w:after="0" w:line="96"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ind w:right="15"/>
              <w:spacing w:after="0" w:line="96" w:lineRule="exact"/>
              <w:rPr>
                <w:sz w:val="20"/>
                <w:szCs w:val="20"/>
                <w:color w:val="auto"/>
              </w:rPr>
            </w:pPr>
            <w:r>
              <w:rPr>
                <w:rFonts w:ascii="Times New Roman" w:cs="Times New Roman" w:eastAsia="Times New Roman" w:hAnsi="Times New Roman"/>
                <w:sz w:val="9"/>
                <w:szCs w:val="9"/>
                <w:color w:val="auto"/>
              </w:rPr>
              <w:t>103,519</w:t>
            </w:r>
          </w:p>
        </w:tc>
        <w:tc>
          <w:tcPr>
            <w:tcW w:w="540" w:type="dxa"/>
            <w:vAlign w:val="bottom"/>
          </w:tcPr>
          <w:p>
            <w:pPr>
              <w:ind w:left="60"/>
              <w:spacing w:after="0" w:line="96" w:lineRule="exact"/>
              <w:rPr>
                <w:sz w:val="20"/>
                <w:szCs w:val="20"/>
                <w:color w:val="auto"/>
              </w:rPr>
            </w:pPr>
            <w:r>
              <w:rPr>
                <w:rFonts w:ascii="Times New Roman" w:cs="Times New Roman" w:eastAsia="Times New Roman" w:hAnsi="Times New Roman"/>
                <w:sz w:val="9"/>
                <w:szCs w:val="9"/>
                <w:color w:val="auto"/>
              </w:rPr>
              <w:t>$248,9 11</w:t>
            </w:r>
          </w:p>
        </w:tc>
        <w:tc>
          <w:tcPr>
            <w:tcW w:w="380" w:type="dxa"/>
            <w:vAlign w:val="bottom"/>
            <w:gridSpan w:val="2"/>
          </w:tcPr>
          <w:p>
            <w:pPr>
              <w:jc w:val="right"/>
              <w:ind w:right="60"/>
              <w:spacing w:after="0" w:line="96" w:lineRule="exact"/>
              <w:rPr>
                <w:sz w:val="20"/>
                <w:szCs w:val="20"/>
                <w:color w:val="auto"/>
              </w:rPr>
            </w:pPr>
            <w:r>
              <w:rPr>
                <w:rFonts w:ascii="Times New Roman" w:cs="Times New Roman" w:eastAsia="Times New Roman" w:hAnsi="Times New Roman"/>
                <w:sz w:val="9"/>
                <w:szCs w:val="9"/>
                <w:color w:val="auto"/>
              </w:rPr>
              <w:t>100.0%</w:t>
            </w:r>
          </w:p>
        </w:tc>
        <w:tc>
          <w:tcPr>
            <w:tcW w:w="420" w:type="dxa"/>
            <w:vAlign w:val="bottom"/>
          </w:tcPr>
          <w:p>
            <w:pPr>
              <w:jc w:val="right"/>
              <w:ind w:right="15"/>
              <w:spacing w:after="0" w:line="96" w:lineRule="exact"/>
              <w:rPr>
                <w:sz w:val="20"/>
                <w:szCs w:val="20"/>
                <w:color w:val="auto"/>
              </w:rPr>
            </w:pPr>
            <w:r>
              <w:rPr>
                <w:rFonts w:ascii="Times New Roman" w:cs="Times New Roman" w:eastAsia="Times New Roman" w:hAnsi="Times New Roman"/>
                <w:sz w:val="9"/>
                <w:szCs w:val="9"/>
                <w:color w:val="auto"/>
                <w:w w:val="94"/>
              </w:rPr>
              <w:t>$ 198,680</w:t>
            </w:r>
          </w:p>
        </w:tc>
        <w:tc>
          <w:tcPr>
            <w:tcW w:w="180" w:type="dxa"/>
            <w:vAlign w:val="bottom"/>
          </w:tcPr>
          <w:p>
            <w:pPr>
              <w:ind w:left="40"/>
              <w:spacing w:after="0" w:line="96"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spacing w:after="0" w:line="96" w:lineRule="exact"/>
              <w:rPr>
                <w:sz w:val="20"/>
                <w:szCs w:val="20"/>
                <w:color w:val="auto"/>
              </w:rPr>
            </w:pPr>
            <w:r>
              <w:rPr>
                <w:rFonts w:ascii="Times New Roman" w:cs="Times New Roman" w:eastAsia="Times New Roman" w:hAnsi="Times New Roman"/>
                <w:sz w:val="9"/>
                <w:szCs w:val="9"/>
                <w:color w:val="auto"/>
              </w:rPr>
              <w:t>125.889</w:t>
            </w:r>
          </w:p>
        </w:tc>
        <w:tc>
          <w:tcPr>
            <w:tcW w:w="540" w:type="dxa"/>
            <w:vAlign w:val="bottom"/>
          </w:tcPr>
          <w:p>
            <w:pPr>
              <w:jc w:val="right"/>
              <w:ind w:right="75"/>
              <w:spacing w:after="0" w:line="96" w:lineRule="exact"/>
              <w:rPr>
                <w:sz w:val="20"/>
                <w:szCs w:val="20"/>
                <w:color w:val="auto"/>
              </w:rPr>
            </w:pPr>
            <w:r>
              <w:rPr>
                <w:rFonts w:ascii="Times New Roman" w:cs="Times New Roman" w:eastAsia="Times New Roman" w:hAnsi="Times New Roman"/>
                <w:sz w:val="9"/>
                <w:szCs w:val="9"/>
                <w:color w:val="auto"/>
              </w:rPr>
              <w:t>$324,569</w:t>
            </w:r>
          </w:p>
        </w:tc>
        <w:tc>
          <w:tcPr>
            <w:tcW w:w="320" w:type="dxa"/>
            <w:vAlign w:val="bottom"/>
            <w:gridSpan w:val="2"/>
          </w:tcPr>
          <w:p>
            <w:pPr>
              <w:jc w:val="right"/>
              <w:spacing w:after="0" w:line="96" w:lineRule="exact"/>
              <w:rPr>
                <w:sz w:val="20"/>
                <w:szCs w:val="20"/>
                <w:color w:val="auto"/>
              </w:rPr>
            </w:pPr>
            <w:r>
              <w:rPr>
                <w:rFonts w:ascii="Times New Roman" w:cs="Times New Roman" w:eastAsia="Times New Roman" w:hAnsi="Times New Roman"/>
                <w:sz w:val="9"/>
                <w:szCs w:val="9"/>
                <w:color w:val="auto"/>
              </w:rPr>
              <w:t>100.0%</w:t>
            </w:r>
          </w:p>
        </w:tc>
      </w:tr>
      <w:tr>
        <w:trPr>
          <w:trHeight w:val="29"/>
        </w:trPr>
        <w:tc>
          <w:tcPr>
            <w:tcW w:w="620" w:type="dxa"/>
            <w:vAlign w:val="bottom"/>
            <w:tcBorders>
              <w:right w:val="single" w:sz="8" w:color="242020"/>
            </w:tcBorders>
          </w:tcPr>
          <w:p>
            <w:pPr>
              <w:spacing w:after="0"/>
              <w:rPr>
                <w:sz w:val="2"/>
                <w:szCs w:val="2"/>
                <w:color w:val="auto"/>
              </w:rPr>
            </w:pPr>
          </w:p>
        </w:tc>
        <w:tc>
          <w:tcPr>
            <w:tcW w:w="80" w:type="dxa"/>
            <w:vAlign w:val="bottom"/>
            <w:shd w:val="clear" w:color="auto" w:fill="242020"/>
          </w:tcPr>
          <w:p>
            <w:pPr>
              <w:spacing w:after="0"/>
              <w:rPr>
                <w:sz w:val="2"/>
                <w:szCs w:val="2"/>
                <w:color w:val="auto"/>
              </w:rPr>
            </w:pPr>
          </w:p>
        </w:tc>
        <w:tc>
          <w:tcPr>
            <w:tcW w:w="360" w:type="dxa"/>
            <w:vAlign w:val="bottom"/>
            <w:shd w:val="clear" w:color="auto" w:fill="242020"/>
          </w:tcPr>
          <w:p>
            <w:pPr>
              <w:spacing w:after="0"/>
              <w:rPr>
                <w:sz w:val="2"/>
                <w:szCs w:val="2"/>
                <w:color w:val="auto"/>
              </w:rPr>
            </w:pPr>
          </w:p>
        </w:tc>
        <w:tc>
          <w:tcPr>
            <w:tcW w:w="200" w:type="dxa"/>
            <w:vAlign w:val="bottom"/>
            <w:shd w:val="clear" w:color="auto" w:fill="242020"/>
          </w:tcPr>
          <w:p>
            <w:pPr>
              <w:spacing w:after="0"/>
              <w:rPr>
                <w:sz w:val="2"/>
                <w:szCs w:val="2"/>
                <w:color w:val="auto"/>
              </w:rPr>
            </w:pPr>
          </w:p>
        </w:tc>
        <w:tc>
          <w:tcPr>
            <w:tcW w:w="420" w:type="dxa"/>
            <w:vAlign w:val="bottom"/>
            <w:shd w:val="clear" w:color="auto" w:fill="242020"/>
          </w:tcPr>
          <w:p>
            <w:pPr>
              <w:spacing w:after="0"/>
              <w:rPr>
                <w:sz w:val="2"/>
                <w:szCs w:val="2"/>
                <w:color w:val="auto"/>
              </w:rPr>
            </w:pPr>
          </w:p>
        </w:tc>
        <w:tc>
          <w:tcPr>
            <w:tcW w:w="520" w:type="dxa"/>
            <w:vAlign w:val="bottom"/>
            <w:shd w:val="clear" w:color="auto" w:fill="242020"/>
          </w:tcPr>
          <w:p>
            <w:pPr>
              <w:spacing w:after="0"/>
              <w:rPr>
                <w:sz w:val="2"/>
                <w:szCs w:val="2"/>
                <w:color w:val="auto"/>
              </w:rPr>
            </w:pPr>
          </w:p>
        </w:tc>
        <w:tc>
          <w:tcPr>
            <w:tcW w:w="220" w:type="dxa"/>
            <w:vAlign w:val="bottom"/>
            <w:tcBorders>
              <w:right w:val="single" w:sz="8" w:color="242020"/>
            </w:tcBorders>
            <w:shd w:val="clear" w:color="auto" w:fill="24202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right w:val="single" w:sz="8" w:color="242020"/>
            </w:tcBorders>
          </w:tcPr>
          <w:p>
            <w:pPr>
              <w:spacing w:after="0"/>
              <w:rPr>
                <w:sz w:val="2"/>
                <w:szCs w:val="2"/>
                <w:color w:val="auto"/>
              </w:rPr>
            </w:pPr>
          </w:p>
        </w:tc>
        <w:tc>
          <w:tcPr>
            <w:tcW w:w="80" w:type="dxa"/>
            <w:vAlign w:val="bottom"/>
            <w:shd w:val="clear" w:color="auto" w:fill="242020"/>
          </w:tcPr>
          <w:p>
            <w:pPr>
              <w:spacing w:after="0"/>
              <w:rPr>
                <w:sz w:val="2"/>
                <w:szCs w:val="2"/>
                <w:color w:val="auto"/>
              </w:rPr>
            </w:pPr>
          </w:p>
        </w:tc>
        <w:tc>
          <w:tcPr>
            <w:tcW w:w="360" w:type="dxa"/>
            <w:vAlign w:val="bottom"/>
            <w:shd w:val="clear" w:color="auto" w:fill="242020"/>
          </w:tcPr>
          <w:p>
            <w:pPr>
              <w:spacing w:after="0"/>
              <w:rPr>
                <w:sz w:val="2"/>
                <w:szCs w:val="2"/>
                <w:color w:val="auto"/>
              </w:rPr>
            </w:pPr>
          </w:p>
        </w:tc>
        <w:tc>
          <w:tcPr>
            <w:tcW w:w="180" w:type="dxa"/>
            <w:vAlign w:val="bottom"/>
            <w:shd w:val="clear" w:color="auto" w:fill="242020"/>
          </w:tcPr>
          <w:p>
            <w:pPr>
              <w:spacing w:after="0"/>
              <w:rPr>
                <w:sz w:val="2"/>
                <w:szCs w:val="2"/>
                <w:color w:val="auto"/>
              </w:rPr>
            </w:pPr>
          </w:p>
        </w:tc>
        <w:tc>
          <w:tcPr>
            <w:tcW w:w="420" w:type="dxa"/>
            <w:vAlign w:val="bottom"/>
            <w:shd w:val="clear" w:color="auto" w:fill="242020"/>
          </w:tcPr>
          <w:p>
            <w:pPr>
              <w:spacing w:after="0"/>
              <w:rPr>
                <w:sz w:val="2"/>
                <w:szCs w:val="2"/>
                <w:color w:val="auto"/>
              </w:rPr>
            </w:pPr>
          </w:p>
        </w:tc>
        <w:tc>
          <w:tcPr>
            <w:tcW w:w="540" w:type="dxa"/>
            <w:vAlign w:val="bottom"/>
            <w:shd w:val="clear" w:color="auto" w:fill="242020"/>
          </w:tcPr>
          <w:p>
            <w:pPr>
              <w:spacing w:after="0"/>
              <w:rPr>
                <w:sz w:val="2"/>
                <w:szCs w:val="2"/>
                <w:color w:val="auto"/>
              </w:rPr>
            </w:pPr>
          </w:p>
        </w:tc>
        <w:tc>
          <w:tcPr>
            <w:tcW w:w="240" w:type="dxa"/>
            <w:vAlign w:val="bottom"/>
            <w:shd w:val="clear" w:color="auto" w:fill="242020"/>
          </w:tcPr>
          <w:p>
            <w:pPr>
              <w:spacing w:after="0"/>
              <w:rPr>
                <w:sz w:val="2"/>
                <w:szCs w:val="2"/>
                <w:color w:val="auto"/>
              </w:rPr>
            </w:pPr>
          </w:p>
        </w:tc>
        <w:tc>
          <w:tcPr>
            <w:tcW w:w="140" w:type="dxa"/>
            <w:vAlign w:val="bottom"/>
            <w:tcBorders>
              <w:left w:val="single" w:sz="8" w:color="242020"/>
              <w:right w:val="single" w:sz="8" w:color="201C20"/>
            </w:tcBorders>
          </w:tcPr>
          <w:p>
            <w:pPr>
              <w:spacing w:after="0"/>
              <w:rPr>
                <w:sz w:val="2"/>
                <w:szCs w:val="2"/>
                <w:color w:val="auto"/>
              </w:rPr>
            </w:pPr>
          </w:p>
        </w:tc>
        <w:tc>
          <w:tcPr>
            <w:tcW w:w="420" w:type="dxa"/>
            <w:vAlign w:val="bottom"/>
            <w:shd w:val="clear" w:color="auto" w:fill="201C20"/>
          </w:tcPr>
          <w:p>
            <w:pPr>
              <w:spacing w:after="0"/>
              <w:rPr>
                <w:sz w:val="2"/>
                <w:szCs w:val="2"/>
                <w:color w:val="auto"/>
              </w:rPr>
            </w:pPr>
          </w:p>
        </w:tc>
        <w:tc>
          <w:tcPr>
            <w:tcW w:w="180" w:type="dxa"/>
            <w:vAlign w:val="bottom"/>
            <w:shd w:val="clear" w:color="auto" w:fill="201C20"/>
          </w:tcPr>
          <w:p>
            <w:pPr>
              <w:spacing w:after="0"/>
              <w:rPr>
                <w:sz w:val="2"/>
                <w:szCs w:val="2"/>
                <w:color w:val="auto"/>
              </w:rPr>
            </w:pPr>
          </w:p>
        </w:tc>
        <w:tc>
          <w:tcPr>
            <w:tcW w:w="420" w:type="dxa"/>
            <w:vAlign w:val="bottom"/>
            <w:shd w:val="clear" w:color="auto" w:fill="201C20"/>
          </w:tcPr>
          <w:p>
            <w:pPr>
              <w:spacing w:after="0"/>
              <w:rPr>
                <w:sz w:val="2"/>
                <w:szCs w:val="2"/>
                <w:color w:val="auto"/>
              </w:rPr>
            </w:pPr>
          </w:p>
        </w:tc>
        <w:tc>
          <w:tcPr>
            <w:tcW w:w="540" w:type="dxa"/>
            <w:vAlign w:val="bottom"/>
            <w:shd w:val="clear" w:color="auto" w:fill="201C20"/>
          </w:tcPr>
          <w:p>
            <w:pPr>
              <w:spacing w:after="0"/>
              <w:rPr>
                <w:sz w:val="2"/>
                <w:szCs w:val="2"/>
                <w:color w:val="auto"/>
              </w:rPr>
            </w:pPr>
          </w:p>
        </w:tc>
        <w:tc>
          <w:tcPr>
            <w:tcW w:w="240" w:type="dxa"/>
            <w:vAlign w:val="bottom"/>
            <w:shd w:val="clear" w:color="auto" w:fill="201C20"/>
          </w:tcPr>
          <w:p>
            <w:pPr>
              <w:spacing w:after="0"/>
              <w:rPr>
                <w:sz w:val="2"/>
                <w:szCs w:val="2"/>
                <w:color w:val="auto"/>
              </w:rPr>
            </w:pPr>
          </w:p>
        </w:tc>
        <w:tc>
          <w:tcPr>
            <w:tcW w:w="80" w:type="dxa"/>
            <w:vAlign w:val="bottom"/>
            <w:tcBorders>
              <w:left w:val="single" w:sz="8" w:color="201C20"/>
            </w:tcBorders>
          </w:tcPr>
          <w:p>
            <w:pPr>
              <w:spacing w:after="0"/>
              <w:rPr>
                <w:sz w:val="2"/>
                <w:szCs w:val="2"/>
                <w:color w:val="auto"/>
              </w:rPr>
            </w:pPr>
          </w:p>
        </w:tc>
      </w:tr>
    </w:tbl>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*53 weeks for fiscal2024 as compared with 52 weeks for fiscal2023 and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Fiscal 2024 as Compared to Fiscal 2023</w:t>
      </w:r>
    </w:p>
    <w:p>
      <w:pPr>
        <w:spacing w:after="0" w:line="161" w:lineRule="exact"/>
        <w:rPr>
          <w:sz w:val="20"/>
          <w:szCs w:val="20"/>
          <w:color w:val="auto"/>
        </w:rPr>
      </w:pPr>
    </w:p>
    <w:p>
      <w:pPr>
        <w:jc w:val="both"/>
        <w:ind w:right="760" w:firstLine="12"/>
        <w:spacing w:after="0" w:line="258" w:lineRule="auto"/>
        <w:rPr>
          <w:sz w:val="20"/>
          <w:szCs w:val="20"/>
          <w:color w:val="auto"/>
        </w:rPr>
      </w:pPr>
      <w:r>
        <w:rPr>
          <w:rFonts w:ascii="Times New Roman" w:cs="Times New Roman" w:eastAsia="Times New Roman" w:hAnsi="Times New Roman"/>
          <w:sz w:val="12"/>
          <w:szCs w:val="12"/>
          <w:color w:val="auto"/>
        </w:rPr>
        <w:t>Net sales for th e year ended November 30,2024 decreased $41,449 or 17% from fiscal2023 du e primarily to a 19% decrease in shipments to the open market, a 16% decrease in shipments to our retail store network and a 3% decrease in Lane Venture shipments. Gross margins for the year ended November 30, 2024 increased 170 basis points over fiscal 2023 year primarily due to th e expected improvement in the Bassett Leather business. As the Bassett Leather product line is internationally sourced with extended lead tim es, we received significant amounts of inventory during th e second and third quarters of2022 just as product demand was weakening due to th e market downturn in home furni shings. Also, the ocean freight costs associated with th e majority of the product received was at significantly higher costs than are currently being reali zed on current product receipts. Margins in our Bassett Casegoods business also improved as expected primarily due to shipping more product that contained lower in-bound freight costs partially offset by increased inventory valuation charges recorded in the second quarter of fiscal 2024 as we have been more aggressive in selling certain slow-moving products. These improvements were partially offset by slightly lower margins in the Bassett Custom Upholstery business due to deleverage of fixed costs from lower sales vo lumes. SG&amp;A expenses as a percentage of sal es increased 180 basis points primarily due to reduced leverage of fixed costs from decreased sales.</w:t>
      </w:r>
    </w:p>
    <w:p>
      <w:pPr>
        <w:spacing w:after="0" w:line="303" w:lineRule="exact"/>
        <w:rPr>
          <w:sz w:val="20"/>
          <w:szCs w:val="20"/>
          <w:color w:val="auto"/>
        </w:rPr>
      </w:pPr>
    </w:p>
    <w:p>
      <w:pPr>
        <w:jc w:val="both"/>
        <w:ind w:left="20" w:right="760" w:hanging="4"/>
        <w:spacing w:after="0" w:line="256" w:lineRule="auto"/>
        <w:rPr>
          <w:sz w:val="20"/>
          <w:szCs w:val="20"/>
          <w:color w:val="auto"/>
        </w:rPr>
      </w:pPr>
      <w:r>
        <w:rPr>
          <w:rFonts w:ascii="Times New Roman" w:cs="Times New Roman" w:eastAsia="Times New Roman" w:hAnsi="Times New Roman"/>
          <w:sz w:val="12"/>
          <w:szCs w:val="12"/>
          <w:color w:val="auto"/>
        </w:rPr>
        <w:t>The dollar va lu e of our wholesa le backlog, representing orders received but not yet shipped to the Bt-IF store network or independent dealers, was $21 ,750 at November 30, 2024 and $18,478 at November 25,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Retail Segment -  Company Owned Stores</w:t>
      </w:r>
    </w:p>
    <w:p>
      <w:pPr>
        <w:spacing w:after="0" w:line="161" w:lineRule="exact"/>
        <w:rPr>
          <w:sz w:val="20"/>
          <w:szCs w:val="20"/>
          <w:color w:val="auto"/>
        </w:rPr>
      </w:pPr>
    </w:p>
    <w:p>
      <w:pPr>
        <w:jc w:val="both"/>
        <w:ind w:right="760" w:hanging="2"/>
        <w:spacing w:after="0" w:line="256" w:lineRule="auto"/>
        <w:rPr>
          <w:sz w:val="20"/>
          <w:szCs w:val="20"/>
          <w:color w:val="auto"/>
        </w:rPr>
      </w:pPr>
      <w:r>
        <w:rPr>
          <w:rFonts w:ascii="Times New Roman" w:cs="Times New Roman" w:eastAsia="Times New Roman" w:hAnsi="Times New Roman"/>
          <w:sz w:val="12"/>
          <w:szCs w:val="12"/>
          <w:color w:val="auto"/>
        </w:rPr>
        <w:t>Net sales, gross profit, SG&amp;A ex pense, and operating income (loss) for our retail segment were as follows for the fiscal years ended November 30, 2024, November 25, 2023 and November 26, 2022:</w:t>
      </w:r>
    </w:p>
    <w:p>
      <w:pPr>
        <w:spacing w:after="0" w:line="13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3"/>
          <w:szCs w:val="13"/>
          <w:color w:val="auto"/>
        </w:rPr>
        <w:t>Comparative Change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right"/>
              <w:ind w:right="198"/>
              <w:spacing w:after="0"/>
              <w:rPr>
                <w:sz w:val="20"/>
                <w:szCs w:val="20"/>
                <w:color w:val="auto"/>
              </w:rPr>
            </w:pPr>
            <w:r>
              <w:rPr>
                <w:rFonts w:ascii="Times New Roman" w:cs="Times New Roman" w:eastAsia="Times New Roman" w:hAnsi="Times New Roman"/>
                <w:sz w:val="11"/>
                <w:szCs w:val="11"/>
                <w:color w:val="auto"/>
              </w:rPr>
              <w:t xml:space="preserve">2024 </w:t>
            </w:r>
            <w:r>
              <w:rPr>
                <w:rFonts w:ascii="Arial" w:cs="Arial" w:eastAsia="Arial" w:hAnsi="Arial"/>
                <w:sz w:val="8"/>
                <w:szCs w:val="8"/>
                <w:color w:val="auto"/>
              </w:rPr>
              <w:t>VS</w:t>
            </w:r>
            <w:r>
              <w:rPr>
                <w:rFonts w:ascii="Times New Roman" w:cs="Times New Roman" w:eastAsia="Times New Roman" w:hAnsi="Times New Roman"/>
                <w:sz w:val="11"/>
                <w:szCs w:val="11"/>
                <w:color w:val="auto"/>
              </w:rPr>
              <w:t xml:space="preserve"> 2023</w:t>
            </w:r>
          </w:p>
        </w:tc>
        <w:tc>
          <w:tcPr>
            <w:tcW w:w="1100" w:type="dxa"/>
            <w:vAlign w:val="bottom"/>
            <w:gridSpan w:val="2"/>
          </w:tcPr>
          <w:p>
            <w:pPr>
              <w:jc w:val="right"/>
              <w:ind w:right="198"/>
              <w:spacing w:after="0"/>
              <w:rPr>
                <w:sz w:val="20"/>
                <w:szCs w:val="20"/>
                <w:color w:val="auto"/>
              </w:rPr>
            </w:pPr>
            <w:r>
              <w:rPr>
                <w:rFonts w:ascii="Times New Roman" w:cs="Times New Roman" w:eastAsia="Times New Roman" w:hAnsi="Times New Roman"/>
                <w:sz w:val="11"/>
                <w:szCs w:val="11"/>
                <w:color w:val="auto"/>
              </w:rPr>
              <w:t xml:space="preserve">2023 </w:t>
            </w:r>
            <w:r>
              <w:rPr>
                <w:rFonts w:ascii="Arial" w:cs="Arial" w:eastAsia="Arial" w:hAnsi="Arial"/>
                <w:sz w:val="8"/>
                <w:szCs w:val="8"/>
                <w:color w:val="auto"/>
              </w:rPr>
              <w:t>VS</w:t>
            </w:r>
            <w:r>
              <w:rPr>
                <w:rFonts w:ascii="Times New Roman" w:cs="Times New Roman" w:eastAsia="Times New Roman" w:hAnsi="Times New Roman"/>
                <w:sz w:val="11"/>
                <w:szCs w:val="11"/>
                <w:color w:val="auto"/>
              </w:rPr>
              <w:t xml:space="preserve"> 2022</w:t>
            </w:r>
          </w:p>
        </w:tc>
      </w:tr>
      <w:tr>
        <w:trPr>
          <w:trHeight w:val="162"/>
        </w:trPr>
        <w:tc>
          <w:tcPr>
            <w:tcW w:w="1180" w:type="dxa"/>
            <w:vAlign w:val="bottom"/>
          </w:tcPr>
          <w:p>
            <w:pPr>
              <w:spacing w:after="0"/>
              <w:rPr>
                <w:sz w:val="14"/>
                <w:szCs w:val="14"/>
                <w:color w:val="auto"/>
              </w:rPr>
            </w:pPr>
          </w:p>
        </w:tc>
        <w:tc>
          <w:tcPr>
            <w:tcW w:w="80" w:type="dxa"/>
            <w:vAlign w:val="bottom"/>
            <w:tcBorders>
              <w:bottom w:val="single" w:sz="8" w:color="242020"/>
            </w:tcBorders>
          </w:tcPr>
          <w:p>
            <w:pPr>
              <w:spacing w:after="0"/>
              <w:rPr>
                <w:sz w:val="14"/>
                <w:szCs w:val="14"/>
                <w:color w:val="auto"/>
              </w:rPr>
            </w:pPr>
          </w:p>
        </w:tc>
        <w:tc>
          <w:tcPr>
            <w:tcW w:w="540" w:type="dxa"/>
            <w:vAlign w:val="bottom"/>
            <w:tcBorders>
              <w:bottom w:val="single" w:sz="8" w:color="242020"/>
            </w:tcBorders>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280" w:type="dxa"/>
            <w:vAlign w:val="bottom"/>
            <w:tcBorders>
              <w:bottom w:val="single" w:sz="8" w:color="242020"/>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201C20"/>
            </w:tcBorders>
          </w:tcPr>
          <w:p>
            <w:pPr>
              <w:spacing w:after="0"/>
              <w:rPr>
                <w:sz w:val="14"/>
                <w:szCs w:val="14"/>
                <w:color w:val="auto"/>
              </w:rPr>
            </w:pPr>
          </w:p>
        </w:tc>
        <w:tc>
          <w:tcPr>
            <w:tcW w:w="52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11"/>
                <w:szCs w:val="11"/>
                <w:color w:val="auto"/>
              </w:rPr>
              <w:t>2023</w:t>
            </w:r>
          </w:p>
        </w:tc>
        <w:tc>
          <w:tcPr>
            <w:tcW w:w="300" w:type="dxa"/>
            <w:vAlign w:val="bottom"/>
            <w:tcBorders>
              <w:bottom w:val="single" w:sz="8" w:color="201C20"/>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242020"/>
            </w:tcBorders>
          </w:tcPr>
          <w:p>
            <w:pPr>
              <w:spacing w:after="0"/>
              <w:rPr>
                <w:sz w:val="14"/>
                <w:szCs w:val="14"/>
                <w:color w:val="auto"/>
              </w:rPr>
            </w:pPr>
          </w:p>
        </w:tc>
        <w:tc>
          <w:tcPr>
            <w:tcW w:w="520" w:type="dxa"/>
            <w:vAlign w:val="bottom"/>
            <w:tcBorders>
              <w:bottom w:val="single" w:sz="8" w:color="242020"/>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300" w:type="dxa"/>
            <w:vAlign w:val="bottom"/>
            <w:tcBorders>
              <w:bottom w:val="single" w:sz="8" w:color="242020"/>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Dollars</w:t>
            </w:r>
          </w:p>
        </w:tc>
        <w:tc>
          <w:tcPr>
            <w:tcW w:w="560" w:type="dxa"/>
            <w:vAlign w:val="bottom"/>
            <w:gridSpan w:val="2"/>
          </w:tcPr>
          <w:p>
            <w:pPr>
              <w:jc w:val="center"/>
              <w:ind w:right="38"/>
              <w:spacing w:after="0"/>
              <w:rPr>
                <w:sz w:val="20"/>
                <w:szCs w:val="20"/>
                <w:color w:val="auto"/>
              </w:rPr>
            </w:pPr>
            <w:r>
              <w:rPr>
                <w:rFonts w:ascii="Times New Roman" w:cs="Times New Roman" w:eastAsia="Times New Roman" w:hAnsi="Times New Roman"/>
                <w:sz w:val="13"/>
                <w:szCs w:val="13"/>
                <w:color w:val="auto"/>
              </w:rPr>
              <w:t>Percent</w:t>
            </w: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Dollars</w:t>
            </w:r>
          </w:p>
        </w:tc>
        <w:tc>
          <w:tcPr>
            <w:tcW w:w="5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Percent</w:t>
            </w:r>
          </w:p>
        </w:tc>
      </w:tr>
      <w:tr>
        <w:trPr>
          <w:trHeight w:val="286"/>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Net sales</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w w:val="97"/>
              </w:rPr>
              <w:t>204,563</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100.0%$235 ,940</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w w:val="95"/>
              </w:rPr>
              <w:t>285, 119</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100.0%$(31 ,377)</w:t>
            </w:r>
          </w:p>
        </w:tc>
        <w:tc>
          <w:tcPr>
            <w:tcW w:w="280" w:type="dxa"/>
            <w:vAlign w:val="bottom"/>
          </w:tcPr>
          <w:p>
            <w:pPr>
              <w:jc w:val="center"/>
              <w:ind w:left="97"/>
              <w:spacing w:after="0"/>
              <w:rPr>
                <w:sz w:val="20"/>
                <w:szCs w:val="20"/>
                <w:color w:val="auto"/>
              </w:rPr>
            </w:pPr>
            <w:r>
              <w:rPr>
                <w:rFonts w:ascii="Times New Roman" w:cs="Times New Roman" w:eastAsia="Times New Roman" w:hAnsi="Times New Roman"/>
                <w:sz w:val="12"/>
                <w:szCs w:val="12"/>
                <w:color w:val="auto"/>
                <w:w w:val="79"/>
              </w:rPr>
              <w:t>-1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3.3%$(49,179)</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-1 7.2%</w:t>
            </w:r>
          </w:p>
        </w:tc>
      </w:tr>
      <w:tr>
        <w:trPr>
          <w:trHeight w:val="132"/>
        </w:trPr>
        <w:tc>
          <w:tcPr>
            <w:tcW w:w="11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Gross profit (I)</w:t>
            </w:r>
          </w:p>
        </w:tc>
        <w:tc>
          <w:tcPr>
            <w:tcW w:w="80" w:type="dxa"/>
            <w:vAlign w:val="bottom"/>
          </w:tcPr>
          <w:p>
            <w:pPr>
              <w:spacing w:after="0"/>
              <w:rPr>
                <w:sz w:val="11"/>
                <w:szCs w:val="11"/>
                <w:color w:val="auto"/>
              </w:rPr>
            </w:pPr>
          </w:p>
        </w:tc>
        <w:tc>
          <w:tcPr>
            <w:tcW w:w="540" w:type="dxa"/>
            <w:vAlign w:val="bottom"/>
          </w:tcPr>
          <w:p>
            <w:pPr>
              <w:jc w:val="right"/>
              <w:ind w:right="79"/>
              <w:spacing w:after="0" w:line="133" w:lineRule="exact"/>
              <w:rPr>
                <w:sz w:val="20"/>
                <w:szCs w:val="20"/>
                <w:color w:val="auto"/>
              </w:rPr>
            </w:pPr>
            <w:r>
              <w:rPr>
                <w:rFonts w:ascii="Times New Roman" w:cs="Times New Roman" w:eastAsia="Times New Roman" w:hAnsi="Times New Roman"/>
                <w:sz w:val="12"/>
                <w:szCs w:val="12"/>
                <w:color w:val="auto"/>
                <w:w w:val="97"/>
              </w:rPr>
              <w:t>108,835</w:t>
            </w:r>
          </w:p>
        </w:tc>
        <w:tc>
          <w:tcPr>
            <w:tcW w:w="42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53.2%</w:t>
            </w:r>
          </w:p>
        </w:tc>
        <w:tc>
          <w:tcPr>
            <w:tcW w:w="60" w:type="dxa"/>
            <w:vAlign w:val="bottom"/>
          </w:tcPr>
          <w:p>
            <w:pPr>
              <w:spacing w:after="0"/>
              <w:rPr>
                <w:sz w:val="11"/>
                <w:szCs w:val="11"/>
                <w:color w:val="auto"/>
              </w:rPr>
            </w:pPr>
          </w:p>
        </w:tc>
        <w:tc>
          <w:tcPr>
            <w:tcW w:w="52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0"/>
              </w:rPr>
              <w:t>124, 171</w:t>
            </w:r>
          </w:p>
        </w:tc>
        <w:tc>
          <w:tcPr>
            <w:tcW w:w="44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52.6%</w:t>
            </w:r>
          </w:p>
        </w:tc>
        <w:tc>
          <w:tcPr>
            <w:tcW w:w="60" w:type="dxa"/>
            <w:vAlign w:val="bottom"/>
          </w:tcPr>
          <w:p>
            <w:pPr>
              <w:spacing w:after="0"/>
              <w:rPr>
                <w:sz w:val="11"/>
                <w:szCs w:val="11"/>
                <w:color w:val="auto"/>
              </w:rPr>
            </w:pPr>
          </w:p>
        </w:tc>
        <w:tc>
          <w:tcPr>
            <w:tcW w:w="520" w:type="dxa"/>
            <w:vAlign w:val="bottom"/>
          </w:tcPr>
          <w:p>
            <w:pPr>
              <w:jc w:val="right"/>
              <w:ind w:right="39"/>
              <w:spacing w:after="0" w:line="133" w:lineRule="exact"/>
              <w:rPr>
                <w:sz w:val="20"/>
                <w:szCs w:val="20"/>
                <w:color w:val="auto"/>
              </w:rPr>
            </w:pPr>
            <w:r>
              <w:rPr>
                <w:rFonts w:ascii="Times New Roman" w:cs="Times New Roman" w:eastAsia="Times New Roman" w:hAnsi="Times New Roman"/>
                <w:sz w:val="12"/>
                <w:szCs w:val="12"/>
                <w:color w:val="auto"/>
              </w:rPr>
              <w:t>149,420</w:t>
            </w:r>
          </w:p>
        </w:tc>
        <w:tc>
          <w:tcPr>
            <w:tcW w:w="42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52.4%</w:t>
            </w: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(15,33 6)</w:t>
            </w:r>
          </w:p>
        </w:tc>
        <w:tc>
          <w:tcPr>
            <w:tcW w:w="280" w:type="dxa"/>
            <w:vAlign w:val="bottom"/>
          </w:tcPr>
          <w:p>
            <w:pPr>
              <w:jc w:val="center"/>
              <w:ind w:left="97"/>
              <w:spacing w:after="0" w:line="133" w:lineRule="exact"/>
              <w:rPr>
                <w:sz w:val="20"/>
                <w:szCs w:val="20"/>
                <w:color w:val="auto"/>
              </w:rPr>
            </w:pPr>
            <w:r>
              <w:rPr>
                <w:rFonts w:ascii="Times New Roman" w:cs="Times New Roman" w:eastAsia="Times New Roman" w:hAnsi="Times New Roman"/>
                <w:sz w:val="12"/>
                <w:szCs w:val="12"/>
                <w:color w:val="auto"/>
                <w:w w:val="79"/>
              </w:rPr>
              <w:t>-1</w:t>
            </w:r>
          </w:p>
        </w:tc>
        <w:tc>
          <w:tcPr>
            <w:tcW w:w="2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w w:val="95"/>
              </w:rPr>
              <w:t>2.4%</w:t>
            </w:r>
          </w:p>
        </w:tc>
        <w:tc>
          <w:tcPr>
            <w:tcW w:w="5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(25 ,249)</w:t>
            </w: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-16.9%</w:t>
            </w:r>
          </w:p>
        </w:tc>
      </w:tr>
      <w:tr>
        <w:trPr>
          <w:trHeight w:val="191"/>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SG&amp;A</w:t>
            </w:r>
          </w:p>
        </w:tc>
        <w:tc>
          <w:tcPr>
            <w:tcW w:w="80" w:type="dxa"/>
            <w:vAlign w:val="bottom"/>
          </w:tcPr>
          <w:p>
            <w:pPr>
              <w:spacing w:after="0"/>
              <w:rPr>
                <w:sz w:val="16"/>
                <w:szCs w:val="16"/>
                <w:color w:val="auto"/>
              </w:rPr>
            </w:pPr>
          </w:p>
        </w:tc>
        <w:tc>
          <w:tcPr>
            <w:tcW w:w="54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115,439</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56.4%</w:t>
            </w:r>
          </w:p>
        </w:tc>
        <w:tc>
          <w:tcPr>
            <w:tcW w:w="60" w:type="dxa"/>
            <w:vAlign w:val="bottom"/>
          </w:tcPr>
          <w:p>
            <w:pPr>
              <w:spacing w:after="0"/>
              <w:rPr>
                <w:sz w:val="16"/>
                <w:szCs w:val="16"/>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124,707</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52.9%</w:t>
            </w:r>
          </w:p>
        </w:tc>
        <w:tc>
          <w:tcPr>
            <w:tcW w:w="60" w:type="dxa"/>
            <w:vAlign w:val="bottom"/>
          </w:tcPr>
          <w:p>
            <w:pPr>
              <w:spacing w:after="0"/>
              <w:rPr>
                <w:sz w:val="16"/>
                <w:szCs w:val="16"/>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130,068</w:t>
            </w:r>
          </w:p>
        </w:tc>
        <w:tc>
          <w:tcPr>
            <w:tcW w:w="2620" w:type="dxa"/>
            <w:vAlign w:val="bottom"/>
            <w:gridSpan w:val="7"/>
          </w:tcPr>
          <w:p>
            <w:pPr>
              <w:jc w:val="right"/>
              <w:spacing w:after="0" w:line="191" w:lineRule="exact"/>
              <w:rPr>
                <w:sz w:val="20"/>
                <w:szCs w:val="20"/>
                <w:color w:val="auto"/>
              </w:rPr>
            </w:pPr>
            <w:r>
              <w:rPr>
                <w:rFonts w:ascii="Arial" w:cs="Arial" w:eastAsia="Arial" w:hAnsi="Arial"/>
                <w:sz w:val="9"/>
                <w:szCs w:val="9"/>
                <w:color w:val="auto"/>
              </w:rPr>
              <w:t xml:space="preserve">45.6%~)~% _(2,1Q..!) </w:t>
            </w:r>
            <w:r>
              <w:rPr>
                <w:rFonts w:ascii="Times New Roman" w:cs="Times New Roman" w:eastAsia="Times New Roman" w:hAnsi="Times New Roman"/>
                <w:sz w:val="12"/>
                <w:szCs w:val="12"/>
                <w:color w:val="auto"/>
              </w:rPr>
              <w:t>__</w:t>
            </w:r>
            <w:r>
              <w:rPr>
                <w:rFonts w:ascii="Times New Roman" w:cs="Times New Roman" w:eastAsia="Times New Roman" w:hAnsi="Times New Roman"/>
                <w:sz w:val="17"/>
                <w:szCs w:val="17"/>
                <w:color w:val="auto"/>
              </w:rPr>
              <w:t>::!J%</w:t>
            </w:r>
          </w:p>
        </w:tc>
      </w:tr>
      <w:tr>
        <w:trPr>
          <w:trHeight w:val="142"/>
        </w:trPr>
        <w:tc>
          <w:tcPr>
            <w:tcW w:w="1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 come (loss) from</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1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(6,604)</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-0. 2%$</w:t>
            </w: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19,352</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6.8%</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(6,068)</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1132.1%</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$(19,888)</w:t>
            </w:r>
          </w:p>
        </w:tc>
        <w:tc>
          <w:tcPr>
            <w:tcW w:w="540" w:type="dxa"/>
            <w:vAlign w:val="bottom"/>
          </w:tcPr>
          <w:p>
            <w:pPr>
              <w:jc w:val="right"/>
              <w:ind w:right="58"/>
              <w:spacing w:after="0"/>
              <w:rPr>
                <w:sz w:val="20"/>
                <w:szCs w:val="20"/>
                <w:color w:val="auto"/>
              </w:rPr>
            </w:pPr>
            <w:r>
              <w:rPr>
                <w:rFonts w:ascii="Arial" w:cs="Arial" w:eastAsia="Arial" w:hAnsi="Arial"/>
                <w:sz w:val="12"/>
                <w:szCs w:val="12"/>
                <w:color w:val="auto"/>
              </w:rPr>
              <w:t>NM</w:t>
            </w:r>
          </w:p>
        </w:tc>
      </w:tr>
    </w:tbl>
    <w:p>
      <w:pPr>
        <w:spacing w:after="0" w:line="190" w:lineRule="exact"/>
        <w:rPr>
          <w:sz w:val="20"/>
          <w:szCs w:val="20"/>
          <w:color w:val="auto"/>
        </w:rPr>
      </w:pPr>
    </w:p>
    <w:p>
      <w:pPr>
        <w:jc w:val="both"/>
        <w:ind w:left="500" w:right="1060" w:hanging="248"/>
        <w:spacing w:after="0" w:line="257" w:lineRule="auto"/>
        <w:tabs>
          <w:tab w:leader="none" w:pos="499"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profit at the segment level is considered a Non-GAAP financial measure due to th e included effects of intercompany tran sactions. Refer to the reconciliation of segment results to consolidated results of operations presented above.</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*53 weeks for fiscal2024 as compared with 52 weeks for fiscal2023 and 2022.</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820" w:firstLine="6"/>
        <w:spacing w:after="0" w:line="231" w:lineRule="auto"/>
        <w:rPr>
          <w:sz w:val="20"/>
          <w:szCs w:val="20"/>
          <w:color w:val="auto"/>
        </w:rPr>
      </w:pPr>
      <w:r>
        <w:rPr>
          <w:rFonts w:ascii="Times New Roman" w:cs="Times New Roman" w:eastAsia="Times New Roman" w:hAnsi="Times New Roman"/>
          <w:sz w:val="13"/>
          <w:szCs w:val="13"/>
          <w:color w:val="auto"/>
        </w:rPr>
        <w:t xml:space="preserve">Management's Discussion and Analysis of Financial Condition and Results of Operations - Continued </w:t>
      </w:r>
      <w:r>
        <w:rPr>
          <w:rFonts w:ascii="Times New Roman" w:cs="Times New Roman" w:eastAsia="Times New Roman" w:hAnsi="Times New Roman"/>
          <w:sz w:val="12"/>
          <w:szCs w:val="12"/>
          <w:color w:val="auto"/>
        </w:rPr>
        <w:t>(Amounts in thou sand s except share and per share data)</w:t>
      </w:r>
    </w:p>
    <w:p>
      <w:pPr>
        <w:spacing w:after="0" w:line="161" w:lineRule="exact"/>
        <w:rPr>
          <w:sz w:val="20"/>
          <w:szCs w:val="20"/>
          <w:color w:val="auto"/>
        </w:rPr>
      </w:pPr>
    </w:p>
    <w:p>
      <w:pPr>
        <w:ind w:right="40" w:firstLine="5"/>
        <w:spacing w:after="0" w:line="248" w:lineRule="auto"/>
        <w:rPr>
          <w:sz w:val="20"/>
          <w:szCs w:val="20"/>
          <w:color w:val="auto"/>
        </w:rPr>
      </w:pPr>
      <w:r>
        <w:rPr>
          <w:rFonts w:ascii="Times New Roman" w:cs="Times New Roman" w:eastAsia="Times New Roman" w:hAnsi="Times New Roman"/>
          <w:sz w:val="12"/>
          <w:szCs w:val="12"/>
          <w:color w:val="auto"/>
        </w:rPr>
        <w:t>Retail sa les by major product category for the fi scal years ended November 25, 2023, November 26, 2022 and November 27, 2021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60" w:type="dxa"/>
            <w:vAlign w:val="bottom"/>
          </w:tcPr>
          <w:p>
            <w:pPr>
              <w:spacing w:after="0"/>
              <w:rPr>
                <w:sz w:val="12"/>
                <w:szCs w:val="12"/>
                <w:color w:val="auto"/>
              </w:rPr>
            </w:pPr>
          </w:p>
        </w:tc>
        <w:tc>
          <w:tcPr>
            <w:tcW w:w="120" w:type="dxa"/>
            <w:vAlign w:val="bottom"/>
            <w:tcBorders>
              <w:bottom w:val="single" w:sz="8" w:color="201C20"/>
            </w:tcBorders>
          </w:tcPr>
          <w:p>
            <w:pPr>
              <w:spacing w:after="0"/>
              <w:rPr>
                <w:sz w:val="12"/>
                <w:szCs w:val="12"/>
                <w:color w:val="auto"/>
              </w:rPr>
            </w:pPr>
          </w:p>
        </w:tc>
        <w:tc>
          <w:tcPr>
            <w:tcW w:w="780" w:type="dxa"/>
            <w:vAlign w:val="bottom"/>
            <w:tcBorders>
              <w:bottom w:val="single" w:sz="8" w:color="201C20"/>
            </w:tcBorders>
          </w:tcPr>
          <w:p>
            <w:pPr>
              <w:jc w:val="right"/>
              <w:ind w:right="38"/>
              <w:spacing w:after="0"/>
              <w:rPr>
                <w:sz w:val="20"/>
                <w:szCs w:val="20"/>
                <w:color w:val="auto"/>
              </w:rPr>
            </w:pPr>
            <w:r>
              <w:rPr>
                <w:rFonts w:ascii="Times New Roman" w:cs="Times New Roman" w:eastAsia="Times New Roman" w:hAnsi="Times New Roman"/>
                <w:sz w:val="12"/>
                <w:szCs w:val="12"/>
                <w:color w:val="auto"/>
              </w:rPr>
              <w:t>2024*</w:t>
            </w:r>
          </w:p>
        </w:tc>
        <w:tc>
          <w:tcPr>
            <w:tcW w:w="380" w:type="dxa"/>
            <w:vAlign w:val="bottom"/>
            <w:tcBorders>
              <w:bottom w:val="single" w:sz="8" w:color="201C20"/>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201C20"/>
            </w:tcBorders>
          </w:tcPr>
          <w:p>
            <w:pPr>
              <w:spacing w:after="0"/>
              <w:rPr>
                <w:sz w:val="12"/>
                <w:szCs w:val="12"/>
                <w:color w:val="auto"/>
              </w:rPr>
            </w:pPr>
          </w:p>
        </w:tc>
        <w:tc>
          <w:tcPr>
            <w:tcW w:w="780" w:type="dxa"/>
            <w:vAlign w:val="bottom"/>
            <w:tcBorders>
              <w:bottom w:val="single" w:sz="8" w:color="201C20"/>
            </w:tcBorders>
          </w:tcPr>
          <w:p>
            <w:pPr>
              <w:jc w:val="right"/>
              <w:ind w:right="78"/>
              <w:spacing w:after="0"/>
              <w:rPr>
                <w:sz w:val="20"/>
                <w:szCs w:val="20"/>
                <w:color w:val="auto"/>
              </w:rPr>
            </w:pPr>
            <w:r>
              <w:rPr>
                <w:rFonts w:ascii="Times New Roman" w:cs="Times New Roman" w:eastAsia="Times New Roman" w:hAnsi="Times New Roman"/>
                <w:sz w:val="12"/>
                <w:szCs w:val="12"/>
                <w:color w:val="auto"/>
              </w:rPr>
              <w:t>2023</w:t>
            </w:r>
          </w:p>
        </w:tc>
        <w:tc>
          <w:tcPr>
            <w:tcW w:w="380" w:type="dxa"/>
            <w:vAlign w:val="bottom"/>
            <w:tcBorders>
              <w:bottom w:val="single" w:sz="8" w:color="201C20"/>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201C20"/>
            </w:tcBorders>
          </w:tcPr>
          <w:p>
            <w:pPr>
              <w:spacing w:after="0"/>
              <w:rPr>
                <w:sz w:val="12"/>
                <w:szCs w:val="12"/>
                <w:color w:val="auto"/>
              </w:rPr>
            </w:pPr>
          </w:p>
        </w:tc>
        <w:tc>
          <w:tcPr>
            <w:tcW w:w="780" w:type="dxa"/>
            <w:vAlign w:val="bottom"/>
            <w:tcBorders>
              <w:bottom w:val="single" w:sz="8" w:color="201C20"/>
            </w:tcBorders>
          </w:tcPr>
          <w:p>
            <w:pPr>
              <w:jc w:val="right"/>
              <w:ind w:right="78"/>
              <w:spacing w:after="0"/>
              <w:rPr>
                <w:sz w:val="20"/>
                <w:szCs w:val="20"/>
                <w:color w:val="auto"/>
              </w:rPr>
            </w:pPr>
            <w:r>
              <w:rPr>
                <w:rFonts w:ascii="Times New Roman" w:cs="Times New Roman" w:eastAsia="Times New Roman" w:hAnsi="Times New Roman"/>
                <w:sz w:val="12"/>
                <w:szCs w:val="12"/>
                <w:color w:val="auto"/>
              </w:rPr>
              <w:t>2022</w:t>
            </w:r>
          </w:p>
        </w:tc>
        <w:tc>
          <w:tcPr>
            <w:tcW w:w="380" w:type="dxa"/>
            <w:vAlign w:val="bottom"/>
            <w:tcBorders>
              <w:bottom w:val="single" w:sz="8" w:color="201C20"/>
            </w:tcBorders>
          </w:tcPr>
          <w:p>
            <w:pPr>
              <w:spacing w:after="0"/>
              <w:rPr>
                <w:sz w:val="12"/>
                <w:szCs w:val="12"/>
                <w:color w:val="auto"/>
              </w:rPr>
            </w:pPr>
          </w:p>
        </w:tc>
        <w:tc>
          <w:tcPr>
            <w:tcW w:w="120" w:type="dxa"/>
            <w:vAlign w:val="bottom"/>
          </w:tcPr>
          <w:p>
            <w:pPr>
              <w:spacing w:after="0"/>
              <w:rPr>
                <w:sz w:val="12"/>
                <w:szCs w:val="12"/>
                <w:color w:val="auto"/>
              </w:rPr>
            </w:pPr>
          </w:p>
        </w:tc>
      </w:tr>
      <w:tr>
        <w:trPr>
          <w:trHeight w:val="291"/>
        </w:trPr>
        <w:tc>
          <w:tcPr>
            <w:tcW w:w="2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Bassett Custom Upholstery</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111 ,943</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54.7%</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134,000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56.8%</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163 ,755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57.4%</w:t>
            </w:r>
          </w:p>
        </w:tc>
      </w:tr>
      <w:tr>
        <w:trPr>
          <w:trHeight w:val="149"/>
        </w:trPr>
        <w:tc>
          <w:tcPr>
            <w:tcW w:w="2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Bassett Leather</w:t>
            </w:r>
          </w:p>
        </w:tc>
        <w:tc>
          <w:tcPr>
            <w:tcW w:w="120" w:type="dxa"/>
            <w:vAlign w:val="bottom"/>
          </w:tcPr>
          <w:p>
            <w:pPr>
              <w:spacing w:after="0"/>
              <w:rPr>
                <w:sz w:val="12"/>
                <w:szCs w:val="12"/>
                <w:color w:val="auto"/>
              </w:rPr>
            </w:pPr>
          </w:p>
        </w:tc>
        <w:tc>
          <w:tcPr>
            <w:tcW w:w="7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4,990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w:t>
            </w:r>
          </w:p>
        </w:tc>
        <w:tc>
          <w:tcPr>
            <w:tcW w:w="120" w:type="dxa"/>
            <w:vAlign w:val="bottom"/>
          </w:tcPr>
          <w:p>
            <w:pPr>
              <w:spacing w:after="0"/>
              <w:rPr>
                <w:sz w:val="12"/>
                <w:szCs w:val="12"/>
                <w:color w:val="auto"/>
              </w:rPr>
            </w:pP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rPr>
              <w:t>1,951</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0.8%</w:t>
            </w:r>
          </w:p>
        </w:tc>
        <w:tc>
          <w:tcPr>
            <w:tcW w:w="120" w:type="dxa"/>
            <w:vAlign w:val="bottom"/>
          </w:tcPr>
          <w:p>
            <w:pPr>
              <w:spacing w:after="0"/>
              <w:rPr>
                <w:sz w:val="12"/>
                <w:szCs w:val="12"/>
                <w:color w:val="auto"/>
              </w:rPr>
            </w:pPr>
          </w:p>
        </w:tc>
        <w:tc>
          <w:tcPr>
            <w:tcW w:w="7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1,707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0.6%</w:t>
            </w:r>
          </w:p>
        </w:tc>
      </w:tr>
      <w:tr>
        <w:trPr>
          <w:trHeight w:val="149"/>
        </w:trPr>
        <w:tc>
          <w:tcPr>
            <w:tcW w:w="2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Bassett Custom Wood</w:t>
            </w:r>
          </w:p>
        </w:tc>
        <w:tc>
          <w:tcPr>
            <w:tcW w:w="120" w:type="dxa"/>
            <w:vAlign w:val="bottom"/>
          </w:tcPr>
          <w:p>
            <w:pPr>
              <w:spacing w:after="0"/>
              <w:rPr>
                <w:sz w:val="12"/>
                <w:szCs w:val="12"/>
                <w:color w:val="auto"/>
              </w:rPr>
            </w:pP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rPr>
              <w:t>32,201</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15.7%</w:t>
            </w:r>
          </w:p>
        </w:tc>
        <w:tc>
          <w:tcPr>
            <w:tcW w:w="120" w:type="dxa"/>
            <w:vAlign w:val="bottom"/>
          </w:tcPr>
          <w:p>
            <w:pPr>
              <w:spacing w:after="0"/>
              <w:rPr>
                <w:sz w:val="12"/>
                <w:szCs w:val="12"/>
                <w:color w:val="auto"/>
              </w:rPr>
            </w:pPr>
          </w:p>
        </w:tc>
        <w:tc>
          <w:tcPr>
            <w:tcW w:w="7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36,732</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15.6%</w:t>
            </w:r>
          </w:p>
        </w:tc>
        <w:tc>
          <w:tcPr>
            <w:tcW w:w="120" w:type="dxa"/>
            <w:vAlign w:val="bottom"/>
          </w:tcPr>
          <w:p>
            <w:pPr>
              <w:spacing w:after="0"/>
              <w:rPr>
                <w:sz w:val="12"/>
                <w:szCs w:val="12"/>
                <w:color w:val="auto"/>
              </w:rPr>
            </w:pPr>
          </w:p>
        </w:tc>
        <w:tc>
          <w:tcPr>
            <w:tcW w:w="7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43,208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15.2%</w:t>
            </w:r>
          </w:p>
        </w:tc>
      </w:tr>
      <w:tr>
        <w:trPr>
          <w:trHeight w:val="149"/>
        </w:trPr>
        <w:tc>
          <w:tcPr>
            <w:tcW w:w="2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Bassett Casegoods</w:t>
            </w:r>
          </w:p>
        </w:tc>
        <w:tc>
          <w:tcPr>
            <w:tcW w:w="120" w:type="dxa"/>
            <w:vAlign w:val="bottom"/>
          </w:tcPr>
          <w:p>
            <w:pPr>
              <w:spacing w:after="0"/>
              <w:rPr>
                <w:sz w:val="12"/>
                <w:szCs w:val="12"/>
                <w:color w:val="auto"/>
              </w:rPr>
            </w:pPr>
          </w:p>
        </w:tc>
        <w:tc>
          <w:tcPr>
            <w:tcW w:w="7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26, 179</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12.8%</w:t>
            </w:r>
          </w:p>
        </w:tc>
        <w:tc>
          <w:tcPr>
            <w:tcW w:w="120" w:type="dxa"/>
            <w:vAlign w:val="bottom"/>
          </w:tcPr>
          <w:p>
            <w:pPr>
              <w:spacing w:after="0"/>
              <w:rPr>
                <w:sz w:val="12"/>
                <w:szCs w:val="12"/>
                <w:color w:val="auto"/>
              </w:rPr>
            </w:pPr>
          </w:p>
        </w:tc>
        <w:tc>
          <w:tcPr>
            <w:tcW w:w="7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32,252</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13.7%</w:t>
            </w:r>
          </w:p>
        </w:tc>
        <w:tc>
          <w:tcPr>
            <w:tcW w:w="120" w:type="dxa"/>
            <w:vAlign w:val="bottom"/>
          </w:tcPr>
          <w:p>
            <w:pPr>
              <w:spacing w:after="0"/>
              <w:rPr>
                <w:sz w:val="12"/>
                <w:szCs w:val="12"/>
                <w:color w:val="auto"/>
              </w:rPr>
            </w:pPr>
          </w:p>
        </w:tc>
        <w:tc>
          <w:tcPr>
            <w:tcW w:w="7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40, 146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14.1%</w:t>
            </w:r>
          </w:p>
        </w:tc>
      </w:tr>
      <w:tr>
        <w:trPr>
          <w:trHeight w:val="147"/>
        </w:trPr>
        <w:tc>
          <w:tcPr>
            <w:tcW w:w="2060" w:type="dxa"/>
            <w:vAlign w:val="bottom"/>
          </w:tcPr>
          <w:p>
            <w:pPr>
              <w:spacing w:after="0"/>
              <w:rPr>
                <w:sz w:val="20"/>
                <w:szCs w:val="20"/>
                <w:color w:val="auto"/>
              </w:rPr>
            </w:pPr>
            <w:r>
              <w:rPr>
                <w:rFonts w:ascii="Times New Roman" w:cs="Times New Roman" w:eastAsia="Times New Roman" w:hAnsi="Times New Roman"/>
                <w:sz w:val="12"/>
                <w:szCs w:val="12"/>
                <w:color w:val="auto"/>
              </w:rPr>
              <w:t>Accessories, mattresses &amp; other (I)</w:t>
            </w:r>
          </w:p>
        </w:tc>
        <w:tc>
          <w:tcPr>
            <w:tcW w:w="120" w:type="dxa"/>
            <w:vAlign w:val="bottom"/>
          </w:tcPr>
          <w:p>
            <w:pPr>
              <w:spacing w:after="0"/>
              <w:rPr>
                <w:sz w:val="12"/>
                <w:szCs w:val="12"/>
                <w:color w:val="auto"/>
              </w:rPr>
            </w:pPr>
          </w:p>
        </w:tc>
        <w:tc>
          <w:tcPr>
            <w:tcW w:w="7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29,250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14.3%</w:t>
            </w:r>
          </w:p>
        </w:tc>
        <w:tc>
          <w:tcPr>
            <w:tcW w:w="120" w:type="dxa"/>
            <w:vAlign w:val="bottom"/>
          </w:tcPr>
          <w:p>
            <w:pPr>
              <w:spacing w:after="0"/>
              <w:rPr>
                <w:sz w:val="12"/>
                <w:szCs w:val="12"/>
                <w:color w:val="auto"/>
              </w:rPr>
            </w:pPr>
          </w:p>
        </w:tc>
        <w:tc>
          <w:tcPr>
            <w:tcW w:w="7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31 ,005</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13.1%</w:t>
            </w:r>
          </w:p>
        </w:tc>
        <w:tc>
          <w:tcPr>
            <w:tcW w:w="120" w:type="dxa"/>
            <w:vAlign w:val="bottom"/>
          </w:tcPr>
          <w:p>
            <w:pPr>
              <w:spacing w:after="0"/>
              <w:rPr>
                <w:sz w:val="12"/>
                <w:szCs w:val="12"/>
                <w:color w:val="auto"/>
              </w:rPr>
            </w:pPr>
          </w:p>
        </w:tc>
        <w:tc>
          <w:tcPr>
            <w:tcW w:w="7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36,303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12.7%</w:t>
            </w: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585454"/>
          </w:tcPr>
          <w:p>
            <w:pPr>
              <w:spacing w:after="0" w:line="20" w:lineRule="exact"/>
              <w:rPr>
                <w:sz w:val="1"/>
                <w:szCs w:val="1"/>
                <w:color w:val="auto"/>
              </w:rPr>
            </w:pPr>
          </w:p>
        </w:tc>
        <w:tc>
          <w:tcPr>
            <w:tcW w:w="780" w:type="dxa"/>
            <w:vAlign w:val="bottom"/>
            <w:shd w:val="clear" w:color="auto" w:fill="585454"/>
          </w:tcPr>
          <w:p>
            <w:pPr>
              <w:spacing w:after="0" w:line="20" w:lineRule="exact"/>
              <w:rPr>
                <w:sz w:val="1"/>
                <w:szCs w:val="1"/>
                <w:color w:val="auto"/>
              </w:rPr>
            </w:pPr>
          </w:p>
        </w:tc>
        <w:tc>
          <w:tcPr>
            <w:tcW w:w="380" w:type="dxa"/>
            <w:vAlign w:val="bottom"/>
            <w:shd w:val="clear" w:color="auto" w:fill="58545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585454"/>
          </w:tcPr>
          <w:p>
            <w:pPr>
              <w:spacing w:after="0" w:line="20" w:lineRule="exact"/>
              <w:rPr>
                <w:sz w:val="1"/>
                <w:szCs w:val="1"/>
                <w:color w:val="auto"/>
              </w:rPr>
            </w:pPr>
          </w:p>
        </w:tc>
        <w:tc>
          <w:tcPr>
            <w:tcW w:w="780" w:type="dxa"/>
            <w:vAlign w:val="bottom"/>
            <w:shd w:val="clear" w:color="auto" w:fill="585454"/>
          </w:tcPr>
          <w:p>
            <w:pPr>
              <w:spacing w:after="0" w:line="20" w:lineRule="exact"/>
              <w:rPr>
                <w:sz w:val="1"/>
                <w:szCs w:val="1"/>
                <w:color w:val="auto"/>
              </w:rPr>
            </w:pPr>
          </w:p>
        </w:tc>
        <w:tc>
          <w:tcPr>
            <w:tcW w:w="380" w:type="dxa"/>
            <w:vAlign w:val="bottom"/>
            <w:shd w:val="clear" w:color="auto" w:fill="58545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585454"/>
          </w:tcPr>
          <w:p>
            <w:pPr>
              <w:spacing w:after="0" w:line="20" w:lineRule="exact"/>
              <w:rPr>
                <w:sz w:val="1"/>
                <w:szCs w:val="1"/>
                <w:color w:val="auto"/>
              </w:rPr>
            </w:pPr>
          </w:p>
        </w:tc>
        <w:tc>
          <w:tcPr>
            <w:tcW w:w="780" w:type="dxa"/>
            <w:vAlign w:val="bottom"/>
            <w:shd w:val="clear" w:color="auto" w:fill="585454"/>
          </w:tcPr>
          <w:p>
            <w:pPr>
              <w:spacing w:after="0" w:line="20" w:lineRule="exact"/>
              <w:rPr>
                <w:sz w:val="1"/>
                <w:szCs w:val="1"/>
                <w:color w:val="auto"/>
              </w:rPr>
            </w:pPr>
          </w:p>
        </w:tc>
        <w:tc>
          <w:tcPr>
            <w:tcW w:w="380" w:type="dxa"/>
            <w:vAlign w:val="bottom"/>
            <w:shd w:val="clear" w:color="auto" w:fill="58545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Total</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ind w:right="258"/>
              <w:spacing w:after="0" w:line="129" w:lineRule="exact"/>
              <w:rPr>
                <w:sz w:val="20"/>
                <w:szCs w:val="20"/>
                <w:color w:val="auto"/>
              </w:rPr>
            </w:pPr>
            <w:r>
              <w:rPr>
                <w:rFonts w:ascii="Times New Roman" w:cs="Times New Roman" w:eastAsia="Times New Roman" w:hAnsi="Times New Roman"/>
                <w:sz w:val="12"/>
                <w:szCs w:val="12"/>
                <w:color w:val="auto"/>
              </w:rPr>
              <w:t>204,563</w:t>
            </w:r>
          </w:p>
        </w:tc>
        <w:tc>
          <w:tcPr>
            <w:tcW w:w="5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I 00.0%</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ind w:right="258"/>
              <w:spacing w:after="0" w:line="129" w:lineRule="exact"/>
              <w:rPr>
                <w:sz w:val="20"/>
                <w:szCs w:val="20"/>
                <w:color w:val="auto"/>
              </w:rPr>
            </w:pPr>
            <w:r>
              <w:rPr>
                <w:rFonts w:ascii="Times New Roman" w:cs="Times New Roman" w:eastAsia="Times New Roman" w:hAnsi="Times New Roman"/>
                <w:sz w:val="12"/>
                <w:szCs w:val="12"/>
                <w:color w:val="auto"/>
              </w:rPr>
              <w:t>235 ,940</w:t>
            </w:r>
          </w:p>
        </w:tc>
        <w:tc>
          <w:tcPr>
            <w:tcW w:w="5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100.0%</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ind w:right="258"/>
              <w:spacing w:after="0" w:line="129" w:lineRule="exact"/>
              <w:rPr>
                <w:sz w:val="20"/>
                <w:szCs w:val="20"/>
                <w:color w:val="auto"/>
              </w:rPr>
            </w:pPr>
            <w:r>
              <w:rPr>
                <w:rFonts w:ascii="Times New Roman" w:cs="Times New Roman" w:eastAsia="Times New Roman" w:hAnsi="Times New Roman"/>
                <w:sz w:val="12"/>
                <w:szCs w:val="12"/>
                <w:color w:val="auto"/>
                <w:w w:val="97"/>
              </w:rPr>
              <w:t>285 , 119</w:t>
            </w:r>
          </w:p>
        </w:tc>
        <w:tc>
          <w:tcPr>
            <w:tcW w:w="5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100.0%</w:t>
            </w:r>
          </w:p>
        </w:tc>
      </w:tr>
      <w:tr>
        <w:trPr>
          <w:trHeight w:val="34"/>
        </w:trPr>
        <w:tc>
          <w:tcPr>
            <w:tcW w:w="2060" w:type="dxa"/>
            <w:vAlign w:val="bottom"/>
            <w:tcBorders>
              <w:right w:val="single" w:sz="8" w:color="585454"/>
            </w:tcBorders>
          </w:tcPr>
          <w:p>
            <w:pPr>
              <w:spacing w:after="0"/>
              <w:rPr>
                <w:sz w:val="2"/>
                <w:szCs w:val="2"/>
                <w:color w:val="auto"/>
              </w:rPr>
            </w:pPr>
          </w:p>
        </w:tc>
        <w:tc>
          <w:tcPr>
            <w:tcW w:w="120" w:type="dxa"/>
            <w:vAlign w:val="bottom"/>
            <w:shd w:val="clear" w:color="auto" w:fill="585454"/>
          </w:tcPr>
          <w:p>
            <w:pPr>
              <w:spacing w:after="0"/>
              <w:rPr>
                <w:sz w:val="2"/>
                <w:szCs w:val="2"/>
                <w:color w:val="auto"/>
              </w:rPr>
            </w:pPr>
          </w:p>
        </w:tc>
        <w:tc>
          <w:tcPr>
            <w:tcW w:w="780" w:type="dxa"/>
            <w:vAlign w:val="bottom"/>
            <w:shd w:val="clear" w:color="auto" w:fill="585454"/>
          </w:tcPr>
          <w:p>
            <w:pPr>
              <w:spacing w:after="0"/>
              <w:rPr>
                <w:sz w:val="2"/>
                <w:szCs w:val="2"/>
                <w:color w:val="auto"/>
              </w:rPr>
            </w:pPr>
          </w:p>
        </w:tc>
        <w:tc>
          <w:tcPr>
            <w:tcW w:w="380" w:type="dxa"/>
            <w:vAlign w:val="bottom"/>
            <w:shd w:val="clear" w:color="auto" w:fill="585454"/>
          </w:tcPr>
          <w:p>
            <w:pPr>
              <w:spacing w:after="0"/>
              <w:rPr>
                <w:sz w:val="2"/>
                <w:szCs w:val="2"/>
                <w:color w:val="auto"/>
              </w:rPr>
            </w:pPr>
          </w:p>
        </w:tc>
        <w:tc>
          <w:tcPr>
            <w:tcW w:w="200" w:type="dxa"/>
            <w:vAlign w:val="bottom"/>
            <w:tcBorders>
              <w:left w:val="single" w:sz="8" w:color="585454"/>
            </w:tcBorders>
          </w:tcPr>
          <w:p>
            <w:pPr>
              <w:spacing w:after="0"/>
              <w:rPr>
                <w:sz w:val="2"/>
                <w:szCs w:val="2"/>
                <w:color w:val="auto"/>
              </w:rPr>
            </w:pPr>
          </w:p>
        </w:tc>
        <w:tc>
          <w:tcPr>
            <w:tcW w:w="120" w:type="dxa"/>
            <w:vAlign w:val="bottom"/>
            <w:shd w:val="clear" w:color="auto" w:fill="585454"/>
          </w:tcPr>
          <w:p>
            <w:pPr>
              <w:spacing w:after="0"/>
              <w:rPr>
                <w:sz w:val="2"/>
                <w:szCs w:val="2"/>
                <w:color w:val="auto"/>
              </w:rPr>
            </w:pPr>
          </w:p>
        </w:tc>
        <w:tc>
          <w:tcPr>
            <w:tcW w:w="780" w:type="dxa"/>
            <w:vAlign w:val="bottom"/>
            <w:shd w:val="clear" w:color="auto" w:fill="585454"/>
          </w:tcPr>
          <w:p>
            <w:pPr>
              <w:spacing w:after="0"/>
              <w:rPr>
                <w:sz w:val="2"/>
                <w:szCs w:val="2"/>
                <w:color w:val="auto"/>
              </w:rPr>
            </w:pPr>
          </w:p>
        </w:tc>
        <w:tc>
          <w:tcPr>
            <w:tcW w:w="380" w:type="dxa"/>
            <w:vAlign w:val="bottom"/>
            <w:shd w:val="clear" w:color="auto" w:fill="585454"/>
          </w:tcPr>
          <w:p>
            <w:pPr>
              <w:spacing w:after="0"/>
              <w:rPr>
                <w:sz w:val="2"/>
                <w:szCs w:val="2"/>
                <w:color w:val="auto"/>
              </w:rPr>
            </w:pPr>
          </w:p>
        </w:tc>
        <w:tc>
          <w:tcPr>
            <w:tcW w:w="200" w:type="dxa"/>
            <w:vAlign w:val="bottom"/>
            <w:tcBorders>
              <w:left w:val="single" w:sz="8" w:color="585454"/>
            </w:tcBorders>
          </w:tcPr>
          <w:p>
            <w:pPr>
              <w:spacing w:after="0"/>
              <w:rPr>
                <w:sz w:val="2"/>
                <w:szCs w:val="2"/>
                <w:color w:val="auto"/>
              </w:rPr>
            </w:pPr>
          </w:p>
        </w:tc>
        <w:tc>
          <w:tcPr>
            <w:tcW w:w="120" w:type="dxa"/>
            <w:vAlign w:val="bottom"/>
            <w:shd w:val="clear" w:color="auto" w:fill="4C4848"/>
          </w:tcPr>
          <w:p>
            <w:pPr>
              <w:spacing w:after="0"/>
              <w:rPr>
                <w:sz w:val="2"/>
                <w:szCs w:val="2"/>
                <w:color w:val="auto"/>
              </w:rPr>
            </w:pPr>
          </w:p>
        </w:tc>
        <w:tc>
          <w:tcPr>
            <w:tcW w:w="780" w:type="dxa"/>
            <w:vAlign w:val="bottom"/>
            <w:shd w:val="clear" w:color="auto" w:fill="4C4848"/>
          </w:tcPr>
          <w:p>
            <w:pPr>
              <w:spacing w:after="0"/>
              <w:rPr>
                <w:sz w:val="2"/>
                <w:szCs w:val="2"/>
                <w:color w:val="auto"/>
              </w:rPr>
            </w:pPr>
          </w:p>
        </w:tc>
        <w:tc>
          <w:tcPr>
            <w:tcW w:w="380" w:type="dxa"/>
            <w:vAlign w:val="bottom"/>
            <w:shd w:val="clear" w:color="auto" w:fill="4C4848"/>
          </w:tcPr>
          <w:p>
            <w:pPr>
              <w:spacing w:after="0"/>
              <w:rPr>
                <w:sz w:val="2"/>
                <w:szCs w:val="2"/>
                <w:color w:val="auto"/>
              </w:rPr>
            </w:pPr>
          </w:p>
        </w:tc>
        <w:tc>
          <w:tcPr>
            <w:tcW w:w="120" w:type="dxa"/>
            <w:vAlign w:val="bottom"/>
            <w:tcBorders>
              <w:left w:val="single" w:sz="8" w:color="4C4848"/>
            </w:tcBorders>
          </w:tcPr>
          <w:p>
            <w:pPr>
              <w:spacing w:after="0"/>
              <w:rPr>
                <w:sz w:val="2"/>
                <w:szCs w:val="2"/>
                <w:color w:val="auto"/>
              </w:rPr>
            </w:pPr>
          </w:p>
        </w:tc>
      </w:tr>
    </w:tbl>
    <w:p>
      <w:pPr>
        <w:spacing w:after="0" w:line="134" w:lineRule="exact"/>
        <w:rPr>
          <w:sz w:val="20"/>
          <w:szCs w:val="20"/>
          <w:color w:val="auto"/>
        </w:rPr>
      </w:pPr>
    </w:p>
    <w:p>
      <w:pPr>
        <w:ind w:left="500" w:right="40" w:hanging="248"/>
        <w:spacing w:after="0" w:line="256" w:lineRule="auto"/>
        <w:tabs>
          <w:tab w:leader="none" w:pos="50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the sale of goods other than Bassett-branded products, such as accessories and bedding, and also includes the sale of furniture protection plans.</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*53 weeks for fiscal 2024 as compared with 52 weeks for fiscal 2023 and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Fiscal 2024 as Compared to Fiscal 202 3</w:t>
      </w:r>
    </w:p>
    <w:p>
      <w:pPr>
        <w:spacing w:after="0" w:line="161" w:lineRule="exact"/>
        <w:rPr>
          <w:sz w:val="20"/>
          <w:szCs w:val="20"/>
          <w:color w:val="auto"/>
        </w:rPr>
      </w:pPr>
    </w:p>
    <w:p>
      <w:pPr>
        <w:jc w:val="both"/>
        <w:ind w:right="20" w:firstLine="2"/>
        <w:spacing w:after="0" w:line="258" w:lineRule="auto"/>
        <w:rPr>
          <w:sz w:val="20"/>
          <w:szCs w:val="20"/>
          <w:color w:val="auto"/>
        </w:rPr>
      </w:pPr>
      <w:r>
        <w:rPr>
          <w:rFonts w:ascii="Times New Roman" w:cs="Times New Roman" w:eastAsia="Times New Roman" w:hAnsi="Times New Roman"/>
          <w:sz w:val="12"/>
          <w:szCs w:val="12"/>
          <w:color w:val="auto"/>
        </w:rPr>
        <w:t>Net sales for the year ended November 30, 2024 decreased $31 ,377 or 13% from fi sca12023. Written sales (the value of sales orders tak en but not delivered) declined 2.8% from fiscal2023. Gross margin for the year ended November 30, 2024 improved 60 basis points over fiscal 2023 primaril y due to higher margins on both in-line and clearance goods partially offset by additional inventory va luation charges in the second quarter of 2024 due to our strategy to be more aggressive in selling clearance goods to better control inventory levels. SG&amp;A expenses as a percentage of sales for the year ended November 30, 2024 increased 350 basis points primarily due to decreased leverage of fixed costs from lower sales volumes.</w:t>
      </w:r>
    </w:p>
    <w:p>
      <w:pPr>
        <w:spacing w:after="0" w:line="150"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2"/>
          <w:szCs w:val="12"/>
          <w:color w:val="auto"/>
        </w:rPr>
        <w:t>Retail backlog at November 30, 2024 was $3 7,053 compared to $30,902 at November 25,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Corporate and Other</w:t>
      </w:r>
    </w:p>
    <w:p>
      <w:pPr>
        <w:spacing w:after="0" w:line="156" w:lineRule="exact"/>
        <w:rPr>
          <w:sz w:val="20"/>
          <w:szCs w:val="20"/>
          <w:color w:val="auto"/>
        </w:rPr>
      </w:pPr>
    </w:p>
    <w:p>
      <w:pPr>
        <w:jc w:val="both"/>
        <w:ind w:right="20" w:firstLine="5"/>
        <w:spacing w:after="0" w:line="258" w:lineRule="auto"/>
        <w:rPr>
          <w:sz w:val="20"/>
          <w:szCs w:val="20"/>
          <w:color w:val="auto"/>
        </w:rPr>
      </w:pPr>
      <w:r>
        <w:rPr>
          <w:rFonts w:ascii="Times New Roman" w:cs="Times New Roman" w:eastAsia="Times New Roman" w:hAnsi="Times New Roman"/>
          <w:sz w:val="12"/>
          <w:szCs w:val="12"/>
          <w:color w:val="auto"/>
        </w:rPr>
        <w:t>In addition to the two reportable segments di scussed above, we include our remaining business activities and assets in a reconciling category known as Corporate and other, which includ es the shared costs of various corporate functions along with any operating segments that do not meet the requirements to be reportable segments. Therefore, Noa Home is included within the Corporate and other reconciling category and accounts for all of the sales and gross profit within thi s reconciling category. Revenues, costs and expenses of Corporate and other for the fi scal years ended November 30, 2024, November 25, 2023 and November 26, 2022 are as follows: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31"/>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201C20"/>
            </w:tcBorders>
          </w:tcPr>
          <w:p>
            <w:pPr>
              <w:spacing w:after="0"/>
              <w:rPr>
                <w:sz w:val="11"/>
                <w:szCs w:val="11"/>
                <w:color w:val="auto"/>
              </w:rPr>
            </w:pPr>
          </w:p>
        </w:tc>
        <w:tc>
          <w:tcPr>
            <w:tcW w:w="380" w:type="dxa"/>
            <w:vAlign w:val="bottom"/>
            <w:tcBorders>
              <w:bottom w:val="single" w:sz="8" w:color="201C20"/>
            </w:tcBorders>
          </w:tcPr>
          <w:p>
            <w:pPr>
              <w:spacing w:after="0"/>
              <w:rPr>
                <w:sz w:val="11"/>
                <w:szCs w:val="11"/>
                <w:color w:val="auto"/>
              </w:rPr>
            </w:pPr>
          </w:p>
        </w:tc>
        <w:tc>
          <w:tcPr>
            <w:tcW w:w="1120" w:type="dxa"/>
            <w:vAlign w:val="bottom"/>
            <w:tcBorders>
              <w:bottom w:val="single" w:sz="8" w:color="201C20"/>
            </w:tcBorders>
            <w:gridSpan w:val="4"/>
          </w:tcPr>
          <w:p>
            <w:pPr>
              <w:spacing w:after="0"/>
              <w:rPr>
                <w:sz w:val="20"/>
                <w:szCs w:val="20"/>
                <w:color w:val="auto"/>
              </w:rPr>
            </w:pPr>
            <w:r>
              <w:rPr>
                <w:rFonts w:ascii="Times New Roman" w:cs="Times New Roman" w:eastAsia="Times New Roman" w:hAnsi="Times New Roman"/>
                <w:sz w:val="11"/>
                <w:szCs w:val="11"/>
                <w:color w:val="auto"/>
              </w:rPr>
              <w:t>Comparative Change</w:t>
            </w:r>
          </w:p>
        </w:tc>
        <w:tc>
          <w:tcPr>
            <w:tcW w:w="440" w:type="dxa"/>
            <w:vAlign w:val="bottom"/>
            <w:tcBorders>
              <w:bottom w:val="single" w:sz="8" w:color="201C20"/>
            </w:tcBorders>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242020"/>
            </w:tcBorders>
          </w:tcPr>
          <w:p>
            <w:pPr>
              <w:spacing w:after="0"/>
              <w:rPr>
                <w:sz w:val="11"/>
                <w:szCs w:val="11"/>
                <w:color w:val="auto"/>
              </w:rPr>
            </w:pPr>
          </w:p>
        </w:tc>
        <w:tc>
          <w:tcPr>
            <w:tcW w:w="860" w:type="dxa"/>
            <w:vAlign w:val="bottom"/>
            <w:tcBorders>
              <w:bottom w:val="single" w:sz="8" w:color="242020"/>
            </w:tcBorders>
            <w:gridSpan w:val="2"/>
          </w:tcPr>
          <w:p>
            <w:pPr>
              <w:ind w:left="60"/>
              <w:spacing w:after="0"/>
              <w:rPr>
                <w:sz w:val="20"/>
                <w:szCs w:val="20"/>
                <w:color w:val="auto"/>
              </w:rPr>
            </w:pPr>
            <w:r>
              <w:rPr>
                <w:rFonts w:ascii="Times New Roman" w:cs="Times New Roman" w:eastAsia="Times New Roman" w:hAnsi="Times New Roman"/>
                <w:sz w:val="11"/>
                <w:szCs w:val="11"/>
                <w:color w:val="auto"/>
              </w:rPr>
              <w:t xml:space="preserve">2024 </w:t>
            </w:r>
            <w:r>
              <w:rPr>
                <w:rFonts w:ascii="Arial" w:cs="Arial" w:eastAsia="Arial" w:hAnsi="Arial"/>
                <w:sz w:val="9"/>
                <w:szCs w:val="9"/>
                <w:color w:val="auto"/>
              </w:rPr>
              <w:t>vs</w:t>
            </w:r>
            <w:r>
              <w:rPr>
                <w:rFonts w:ascii="Times New Roman" w:cs="Times New Roman" w:eastAsia="Times New Roman" w:hAnsi="Times New Roman"/>
                <w:sz w:val="11"/>
                <w:szCs w:val="11"/>
                <w:color w:val="auto"/>
              </w:rPr>
              <w:t xml:space="preserve"> 2023</w:t>
            </w:r>
          </w:p>
        </w:tc>
        <w:tc>
          <w:tcPr>
            <w:tcW w:w="160" w:type="dxa"/>
            <w:vAlign w:val="bottom"/>
          </w:tcPr>
          <w:p>
            <w:pPr>
              <w:spacing w:after="0"/>
              <w:rPr>
                <w:sz w:val="11"/>
                <w:szCs w:val="11"/>
                <w:color w:val="auto"/>
              </w:rPr>
            </w:pPr>
          </w:p>
        </w:tc>
        <w:tc>
          <w:tcPr>
            <w:tcW w:w="100" w:type="dxa"/>
            <w:vAlign w:val="bottom"/>
            <w:tcBorders>
              <w:bottom w:val="single" w:sz="8" w:color="242020"/>
            </w:tcBorders>
          </w:tcPr>
          <w:p>
            <w:pPr>
              <w:spacing w:after="0"/>
              <w:rPr>
                <w:sz w:val="11"/>
                <w:szCs w:val="11"/>
                <w:color w:val="auto"/>
              </w:rPr>
            </w:pPr>
          </w:p>
        </w:tc>
        <w:tc>
          <w:tcPr>
            <w:tcW w:w="820" w:type="dxa"/>
            <w:vAlign w:val="bottom"/>
            <w:tcBorders>
              <w:bottom w:val="single" w:sz="8" w:color="242020"/>
            </w:tcBorders>
            <w:gridSpan w:val="2"/>
          </w:tcPr>
          <w:p>
            <w:pPr>
              <w:ind w:left="40"/>
              <w:spacing w:after="0"/>
              <w:rPr>
                <w:sz w:val="20"/>
                <w:szCs w:val="20"/>
                <w:color w:val="auto"/>
              </w:rPr>
            </w:pPr>
            <w:r>
              <w:rPr>
                <w:rFonts w:ascii="Times New Roman" w:cs="Times New Roman" w:eastAsia="Times New Roman" w:hAnsi="Times New Roman"/>
                <w:sz w:val="11"/>
                <w:szCs w:val="11"/>
                <w:color w:val="auto"/>
              </w:rPr>
              <w:t xml:space="preserve">2023 </w:t>
            </w:r>
            <w:r>
              <w:rPr>
                <w:rFonts w:ascii="Arial" w:cs="Arial" w:eastAsia="Arial" w:hAnsi="Arial"/>
                <w:sz w:val="9"/>
                <w:szCs w:val="9"/>
                <w:color w:val="auto"/>
              </w:rPr>
              <w:t>vs</w:t>
            </w:r>
            <w:r>
              <w:rPr>
                <w:rFonts w:ascii="Times New Roman" w:cs="Times New Roman" w:eastAsia="Times New Roman" w:hAnsi="Times New Roman"/>
                <w:sz w:val="11"/>
                <w:szCs w:val="11"/>
                <w:color w:val="auto"/>
              </w:rPr>
              <w:t xml:space="preserve"> 2022</w:t>
            </w:r>
          </w:p>
        </w:tc>
        <w:tc>
          <w:tcPr>
            <w:tcW w:w="100" w:type="dxa"/>
            <w:vAlign w:val="bottom"/>
          </w:tcPr>
          <w:p>
            <w:pPr>
              <w:spacing w:after="0"/>
              <w:rPr>
                <w:sz w:val="11"/>
                <w:szCs w:val="11"/>
                <w:color w:val="auto"/>
              </w:rPr>
            </w:pPr>
          </w:p>
        </w:tc>
      </w:tr>
      <w:tr>
        <w:trPr>
          <w:trHeight w:val="134"/>
        </w:trPr>
        <w:tc>
          <w:tcPr>
            <w:tcW w:w="780" w:type="dxa"/>
            <w:vAlign w:val="bottom"/>
          </w:tcPr>
          <w:p>
            <w:pPr>
              <w:spacing w:after="0"/>
              <w:rPr>
                <w:sz w:val="11"/>
                <w:szCs w:val="11"/>
                <w:color w:val="auto"/>
              </w:rPr>
            </w:pPr>
          </w:p>
        </w:tc>
        <w:tc>
          <w:tcPr>
            <w:tcW w:w="80" w:type="dxa"/>
            <w:vAlign w:val="bottom"/>
            <w:tcBorders>
              <w:bottom w:val="single" w:sz="8" w:color="201C20"/>
            </w:tcBorders>
          </w:tcPr>
          <w:p>
            <w:pPr>
              <w:spacing w:after="0"/>
              <w:rPr>
                <w:sz w:val="11"/>
                <w:szCs w:val="11"/>
                <w:color w:val="auto"/>
              </w:rPr>
            </w:pPr>
          </w:p>
        </w:tc>
        <w:tc>
          <w:tcPr>
            <w:tcW w:w="56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320" w:type="dxa"/>
            <w:vAlign w:val="bottom"/>
            <w:tcBorders>
              <w:bottom w:val="single" w:sz="8" w:color="201C20"/>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201C20"/>
            </w:tcBorders>
          </w:tcPr>
          <w:p>
            <w:pPr>
              <w:spacing w:after="0"/>
              <w:rPr>
                <w:sz w:val="11"/>
                <w:szCs w:val="11"/>
                <w:color w:val="auto"/>
              </w:rPr>
            </w:pPr>
          </w:p>
        </w:tc>
        <w:tc>
          <w:tcPr>
            <w:tcW w:w="54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11"/>
                <w:szCs w:val="11"/>
                <w:color w:val="auto"/>
              </w:rPr>
              <w:t>2023</w:t>
            </w:r>
          </w:p>
        </w:tc>
        <w:tc>
          <w:tcPr>
            <w:tcW w:w="340" w:type="dxa"/>
            <w:vAlign w:val="bottom"/>
            <w:tcBorders>
              <w:bottom w:val="single" w:sz="8" w:color="201C20"/>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242020"/>
            </w:tcBorders>
          </w:tcPr>
          <w:p>
            <w:pPr>
              <w:spacing w:after="0"/>
              <w:rPr>
                <w:sz w:val="11"/>
                <w:szCs w:val="11"/>
                <w:color w:val="auto"/>
              </w:rPr>
            </w:pPr>
          </w:p>
        </w:tc>
        <w:tc>
          <w:tcPr>
            <w:tcW w:w="560" w:type="dxa"/>
            <w:vAlign w:val="bottom"/>
            <w:tcBorders>
              <w:bottom w:val="single" w:sz="8" w:color="242020"/>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380" w:type="dxa"/>
            <w:vAlign w:val="bottom"/>
            <w:tcBorders>
              <w:bottom w:val="single" w:sz="8" w:color="242020"/>
            </w:tcBorders>
          </w:tcPr>
          <w:p>
            <w:pPr>
              <w:spacing w:after="0"/>
              <w:rPr>
                <w:sz w:val="11"/>
                <w:szCs w:val="11"/>
                <w:color w:val="auto"/>
              </w:rPr>
            </w:pPr>
          </w:p>
        </w:tc>
        <w:tc>
          <w:tcPr>
            <w:tcW w:w="40" w:type="dxa"/>
            <w:vAlign w:val="bottom"/>
            <w:tcBorders>
              <w:bottom w:val="single" w:sz="8" w:color="242020"/>
            </w:tcBorders>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Borders>
              <w:bottom w:val="single" w:sz="8" w:color="242020"/>
            </w:tcBorders>
            <w:gridSpan w:val="2"/>
          </w:tcPr>
          <w:p>
            <w:pPr>
              <w:ind w:left="40"/>
              <w:spacing w:after="0"/>
              <w:rPr>
                <w:sz w:val="20"/>
                <w:szCs w:val="20"/>
                <w:color w:val="auto"/>
              </w:rPr>
            </w:pPr>
            <w:r>
              <w:rPr>
                <w:rFonts w:ascii="Times New Roman" w:cs="Times New Roman" w:eastAsia="Times New Roman" w:hAnsi="Times New Roman"/>
                <w:sz w:val="11"/>
                <w:szCs w:val="11"/>
                <w:color w:val="auto"/>
              </w:rPr>
              <w:t>Dollars</w:t>
            </w:r>
          </w:p>
        </w:tc>
        <w:tc>
          <w:tcPr>
            <w:tcW w:w="480" w:type="dxa"/>
            <w:vAlign w:val="bottom"/>
            <w:tcBorders>
              <w:bottom w:val="single" w:sz="8" w:color="242020"/>
            </w:tcBorders>
          </w:tcPr>
          <w:p>
            <w:pPr>
              <w:ind w:left="80"/>
              <w:spacing w:after="0"/>
              <w:rPr>
                <w:sz w:val="20"/>
                <w:szCs w:val="20"/>
                <w:color w:val="auto"/>
              </w:rPr>
            </w:pPr>
            <w:r>
              <w:rPr>
                <w:rFonts w:ascii="Times New Roman" w:cs="Times New Roman" w:eastAsia="Times New Roman" w:hAnsi="Times New Roman"/>
                <w:sz w:val="11"/>
                <w:szCs w:val="11"/>
                <w:color w:val="auto"/>
              </w:rPr>
              <w:t>Percent</w:t>
            </w:r>
          </w:p>
        </w:tc>
        <w:tc>
          <w:tcPr>
            <w:tcW w:w="160" w:type="dxa"/>
            <w:vAlign w:val="bottom"/>
          </w:tcPr>
          <w:p>
            <w:pPr>
              <w:spacing w:after="0"/>
              <w:rPr>
                <w:sz w:val="11"/>
                <w:szCs w:val="11"/>
                <w:color w:val="auto"/>
              </w:rPr>
            </w:pPr>
          </w:p>
        </w:tc>
        <w:tc>
          <w:tcPr>
            <w:tcW w:w="480" w:type="dxa"/>
            <w:vAlign w:val="bottom"/>
            <w:tcBorders>
              <w:bottom w:val="single" w:sz="8" w:color="242020"/>
            </w:tcBorders>
            <w:gridSpan w:val="2"/>
          </w:tcPr>
          <w:p>
            <w:pPr>
              <w:ind w:left="20"/>
              <w:spacing w:after="0" w:line="125" w:lineRule="exact"/>
              <w:rPr>
                <w:sz w:val="20"/>
                <w:szCs w:val="20"/>
                <w:color w:val="auto"/>
              </w:rPr>
            </w:pPr>
            <w:r>
              <w:rPr>
                <w:rFonts w:ascii="Times New Roman" w:cs="Times New Roman" w:eastAsia="Times New Roman" w:hAnsi="Times New Roman"/>
                <w:sz w:val="11"/>
                <w:szCs w:val="11"/>
                <w:color w:val="auto"/>
              </w:rPr>
              <w:t>Dollars</w:t>
            </w:r>
          </w:p>
        </w:tc>
        <w:tc>
          <w:tcPr>
            <w:tcW w:w="440" w:type="dxa"/>
            <w:vAlign w:val="bottom"/>
            <w:tcBorders>
              <w:bottom w:val="single" w:sz="8" w:color="242020"/>
            </w:tcBorders>
          </w:tcPr>
          <w:p>
            <w:pPr>
              <w:ind w:left="40"/>
              <w:spacing w:after="0" w:line="125" w:lineRule="exact"/>
              <w:rPr>
                <w:sz w:val="20"/>
                <w:szCs w:val="20"/>
                <w:color w:val="auto"/>
              </w:rPr>
            </w:pPr>
            <w:r>
              <w:rPr>
                <w:rFonts w:ascii="Times New Roman" w:cs="Times New Roman" w:eastAsia="Times New Roman" w:hAnsi="Times New Roman"/>
                <w:sz w:val="11"/>
                <w:szCs w:val="11"/>
                <w:color w:val="auto"/>
              </w:rPr>
              <w:t>Percent</w:t>
            </w:r>
          </w:p>
        </w:tc>
        <w:tc>
          <w:tcPr>
            <w:tcW w:w="100" w:type="dxa"/>
            <w:vAlign w:val="bottom"/>
          </w:tcPr>
          <w:p>
            <w:pPr>
              <w:spacing w:after="0"/>
              <w:rPr>
                <w:sz w:val="11"/>
                <w:szCs w:val="11"/>
                <w:color w:val="auto"/>
              </w:rPr>
            </w:pPr>
          </w:p>
        </w:tc>
      </w:tr>
      <w:tr>
        <w:trPr>
          <w:trHeight w:val="285"/>
        </w:trPr>
        <w:tc>
          <w:tcPr>
            <w:tcW w:w="780" w:type="dxa"/>
            <w:vAlign w:val="bottom"/>
          </w:tcPr>
          <w:p>
            <w:pPr>
              <w:spacing w:after="0"/>
              <w:rPr>
                <w:sz w:val="20"/>
                <w:szCs w:val="20"/>
                <w:color w:val="auto"/>
              </w:rPr>
            </w:pPr>
            <w:r>
              <w:rPr>
                <w:rFonts w:ascii="Times New Roman" w:cs="Times New Roman" w:eastAsia="Times New Roman" w:hAnsi="Times New Roman"/>
                <w:sz w:val="11"/>
                <w:szCs w:val="11"/>
                <w:color w:val="auto"/>
              </w:rPr>
              <w:t>Net sa les</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4,919</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100.0%</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8,804</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\,802</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I 00.0 %</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(3,885)</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-44.1 %</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7,002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388.6%</w:t>
            </w:r>
          </w:p>
        </w:tc>
      </w:tr>
      <w:tr>
        <w:trPr>
          <w:trHeight w:val="20"/>
        </w:trPr>
        <w:tc>
          <w:tcPr>
            <w:tcW w:w="780" w:type="dxa"/>
            <w:vAlign w:val="bottom"/>
            <w:tcBorders>
              <w:right w:val="single" w:sz="8" w:color="585454"/>
            </w:tcBorders>
          </w:tcPr>
          <w:p>
            <w:pPr>
              <w:spacing w:after="0" w:line="20" w:lineRule="exact"/>
              <w:rPr>
                <w:sz w:val="1"/>
                <w:szCs w:val="1"/>
                <w:color w:val="auto"/>
              </w:rPr>
            </w:pPr>
          </w:p>
        </w:tc>
        <w:tc>
          <w:tcPr>
            <w:tcW w:w="80" w:type="dxa"/>
            <w:vAlign w:val="bottom"/>
            <w:shd w:val="clear" w:color="auto" w:fill="585454"/>
          </w:tcPr>
          <w:p>
            <w:pPr>
              <w:spacing w:after="0" w:line="20" w:lineRule="exact"/>
              <w:rPr>
                <w:sz w:val="1"/>
                <w:szCs w:val="1"/>
                <w:color w:val="auto"/>
              </w:rPr>
            </w:pPr>
          </w:p>
        </w:tc>
        <w:tc>
          <w:tcPr>
            <w:tcW w:w="560" w:type="dxa"/>
            <w:vAlign w:val="bottom"/>
            <w:shd w:val="clear" w:color="auto" w:fill="585454"/>
          </w:tcPr>
          <w:p>
            <w:pPr>
              <w:spacing w:after="0" w:line="20" w:lineRule="exact"/>
              <w:rPr>
                <w:sz w:val="1"/>
                <w:szCs w:val="1"/>
                <w:color w:val="auto"/>
              </w:rPr>
            </w:pPr>
          </w:p>
        </w:tc>
        <w:tc>
          <w:tcPr>
            <w:tcW w:w="320" w:type="dxa"/>
            <w:vAlign w:val="bottom"/>
            <w:shd w:val="clear" w:color="auto" w:fill="58545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585454"/>
          </w:tcPr>
          <w:p>
            <w:pPr>
              <w:spacing w:after="0" w:line="20" w:lineRule="exact"/>
              <w:rPr>
                <w:sz w:val="1"/>
                <w:szCs w:val="1"/>
                <w:color w:val="auto"/>
              </w:rPr>
            </w:pPr>
          </w:p>
        </w:tc>
        <w:tc>
          <w:tcPr>
            <w:tcW w:w="540" w:type="dxa"/>
            <w:vAlign w:val="bottom"/>
            <w:shd w:val="clear" w:color="auto" w:fill="585454"/>
          </w:tcPr>
          <w:p>
            <w:pPr>
              <w:spacing w:after="0" w:line="20" w:lineRule="exact"/>
              <w:rPr>
                <w:sz w:val="1"/>
                <w:szCs w:val="1"/>
                <w:color w:val="auto"/>
              </w:rPr>
            </w:pPr>
          </w:p>
        </w:tc>
        <w:tc>
          <w:tcPr>
            <w:tcW w:w="340" w:type="dxa"/>
            <w:vAlign w:val="bottom"/>
            <w:shd w:val="clear" w:color="auto" w:fill="58545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585454"/>
          </w:tcPr>
          <w:p>
            <w:pPr>
              <w:spacing w:after="0" w:line="20" w:lineRule="exact"/>
              <w:rPr>
                <w:sz w:val="1"/>
                <w:szCs w:val="1"/>
                <w:color w:val="auto"/>
              </w:rPr>
            </w:pPr>
          </w:p>
        </w:tc>
        <w:tc>
          <w:tcPr>
            <w:tcW w:w="560" w:type="dxa"/>
            <w:vAlign w:val="bottom"/>
            <w:shd w:val="clear" w:color="auto" w:fill="585454"/>
          </w:tcPr>
          <w:p>
            <w:pPr>
              <w:spacing w:after="0" w:line="20" w:lineRule="exact"/>
              <w:rPr>
                <w:sz w:val="1"/>
                <w:szCs w:val="1"/>
                <w:color w:val="auto"/>
              </w:rPr>
            </w:pPr>
          </w:p>
        </w:tc>
        <w:tc>
          <w:tcPr>
            <w:tcW w:w="380" w:type="dxa"/>
            <w:vAlign w:val="bottom"/>
            <w:shd w:val="clear" w:color="auto" w:fill="58545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shd w:val="clear" w:color="auto" w:fill="585458"/>
          </w:tcPr>
          <w:p>
            <w:pPr>
              <w:spacing w:after="0" w:line="20" w:lineRule="exact"/>
              <w:rPr>
                <w:sz w:val="1"/>
                <w:szCs w:val="1"/>
                <w:color w:val="auto"/>
              </w:rPr>
            </w:pPr>
          </w:p>
        </w:tc>
        <w:tc>
          <w:tcPr>
            <w:tcW w:w="380" w:type="dxa"/>
            <w:vAlign w:val="bottom"/>
            <w:shd w:val="clear" w:color="auto" w:fill="585458"/>
          </w:tcPr>
          <w:p>
            <w:pPr>
              <w:spacing w:after="0" w:line="20" w:lineRule="exact"/>
              <w:rPr>
                <w:sz w:val="1"/>
                <w:szCs w:val="1"/>
                <w:color w:val="auto"/>
              </w:rPr>
            </w:pPr>
          </w:p>
        </w:tc>
        <w:tc>
          <w:tcPr>
            <w:tcW w:w="440" w:type="dxa"/>
            <w:vAlign w:val="bottom"/>
            <w:shd w:val="clear" w:color="auto" w:fill="58545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1"/>
        </w:trPr>
        <w:tc>
          <w:tcPr>
            <w:tcW w:w="780" w:type="dxa"/>
            <w:vAlign w:val="bottom"/>
          </w:tcPr>
          <w:p>
            <w:pPr>
              <w:spacing w:after="0"/>
              <w:rPr>
                <w:sz w:val="20"/>
                <w:szCs w:val="20"/>
                <w:color w:val="auto"/>
              </w:rPr>
            </w:pPr>
            <w:r>
              <w:rPr>
                <w:rFonts w:ascii="Times New Roman" w:cs="Times New Roman" w:eastAsia="Times New Roman" w:hAnsi="Times New Roman"/>
                <w:sz w:val="11"/>
                <w:szCs w:val="11"/>
                <w:color w:val="auto"/>
              </w:rPr>
              <w:t>Gross profit</w:t>
            </w:r>
          </w:p>
        </w:tc>
        <w:tc>
          <w:tcPr>
            <w:tcW w:w="80" w:type="dxa"/>
            <w:vAlign w:val="bottom"/>
          </w:tcPr>
          <w:p>
            <w:pPr>
              <w:spacing w:after="0"/>
              <w:rPr>
                <w:sz w:val="11"/>
                <w:szCs w:val="11"/>
                <w:color w:val="auto"/>
              </w:rPr>
            </w:pP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2,116</w:t>
            </w:r>
          </w:p>
        </w:tc>
        <w:tc>
          <w:tcPr>
            <w:tcW w:w="500" w:type="dxa"/>
            <w:vAlign w:val="bottom"/>
            <w:gridSpan w:val="2"/>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43.0%</w:t>
            </w:r>
          </w:p>
        </w:tc>
        <w:tc>
          <w:tcPr>
            <w:tcW w:w="80" w:type="dxa"/>
            <w:vAlign w:val="bottom"/>
          </w:tcPr>
          <w:p>
            <w:pPr>
              <w:spacing w:after="0"/>
              <w:rPr>
                <w:sz w:val="11"/>
                <w:szCs w:val="11"/>
                <w:color w:val="auto"/>
              </w:rPr>
            </w:pPr>
          </w:p>
        </w:tc>
        <w:tc>
          <w:tcPr>
            <w:tcW w:w="54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4,802</w:t>
            </w:r>
          </w:p>
        </w:tc>
        <w:tc>
          <w:tcPr>
            <w:tcW w:w="520" w:type="dxa"/>
            <w:vAlign w:val="bottom"/>
            <w:gridSpan w:val="2"/>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54.5 %</w:t>
            </w:r>
          </w:p>
        </w:tc>
        <w:tc>
          <w:tcPr>
            <w:tcW w:w="80" w:type="dxa"/>
            <w:vAlign w:val="bottom"/>
          </w:tcPr>
          <w:p>
            <w:pPr>
              <w:spacing w:after="0"/>
              <w:rPr>
                <w:sz w:val="11"/>
                <w:szCs w:val="11"/>
                <w:color w:val="auto"/>
              </w:rPr>
            </w:pP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830</w:t>
            </w:r>
          </w:p>
        </w:tc>
        <w:tc>
          <w:tcPr>
            <w:tcW w:w="560" w:type="dxa"/>
            <w:vAlign w:val="bottom"/>
            <w:gridSpan w:val="3"/>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46.1 %</w:t>
            </w:r>
          </w:p>
        </w:tc>
        <w:tc>
          <w:tcPr>
            <w:tcW w:w="10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(2,686)</w:t>
            </w:r>
          </w:p>
        </w:tc>
        <w:tc>
          <w:tcPr>
            <w:tcW w:w="64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2"/>
                <w:szCs w:val="12"/>
                <w:color w:val="auto"/>
                <w:w w:val="99"/>
              </w:rPr>
              <w:t>-5 5.9%</w:t>
            </w:r>
          </w:p>
        </w:tc>
        <w:tc>
          <w:tcPr>
            <w:tcW w:w="100" w:type="dxa"/>
            <w:vAlign w:val="bottom"/>
          </w:tcPr>
          <w:p>
            <w:pPr>
              <w:spacing w:after="0"/>
              <w:rPr>
                <w:sz w:val="11"/>
                <w:szCs w:val="11"/>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3,972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478.6 %</w:t>
            </w:r>
          </w:p>
        </w:tc>
      </w:tr>
      <w:tr>
        <w:trPr>
          <w:trHeight w:val="153"/>
        </w:trPr>
        <w:tc>
          <w:tcPr>
            <w:tcW w:w="780" w:type="dxa"/>
            <w:vAlign w:val="bottom"/>
          </w:tcPr>
          <w:p>
            <w:pPr>
              <w:spacing w:after="0"/>
              <w:rPr>
                <w:sz w:val="20"/>
                <w:szCs w:val="20"/>
                <w:color w:val="auto"/>
              </w:rPr>
            </w:pPr>
            <w:r>
              <w:rPr>
                <w:rFonts w:ascii="Times New Roman" w:cs="Times New Roman" w:eastAsia="Times New Roman" w:hAnsi="Times New Roman"/>
                <w:sz w:val="11"/>
                <w:szCs w:val="11"/>
                <w:color w:val="auto"/>
              </w:rPr>
              <w:t>SG&amp;A</w:t>
            </w:r>
          </w:p>
        </w:tc>
        <w:tc>
          <w:tcPr>
            <w:tcW w:w="80" w:type="dxa"/>
            <w:vAlign w:val="bottom"/>
          </w:tcPr>
          <w:p>
            <w:pPr>
              <w:spacing w:after="0"/>
              <w:rPr>
                <w:sz w:val="13"/>
                <w:szCs w:val="13"/>
                <w:color w:val="auto"/>
              </w:rPr>
            </w:pP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30,572</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621.5%</w:t>
            </w:r>
          </w:p>
        </w:tc>
        <w:tc>
          <w:tcPr>
            <w:tcW w:w="80" w:type="dxa"/>
            <w:vAlign w:val="bottom"/>
          </w:tcPr>
          <w:p>
            <w:pPr>
              <w:spacing w:after="0"/>
              <w:rPr>
                <w:sz w:val="13"/>
                <w:szCs w:val="13"/>
                <w:color w:val="auto"/>
              </w:rPr>
            </w:pPr>
          </w:p>
        </w:tc>
        <w:tc>
          <w:tcPr>
            <w:tcW w:w="54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34,728</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394.5 %</w:t>
            </w:r>
          </w:p>
        </w:tc>
        <w:tc>
          <w:tcPr>
            <w:tcW w:w="80" w:type="dxa"/>
            <w:vAlign w:val="bottom"/>
          </w:tcPr>
          <w:p>
            <w:pPr>
              <w:spacing w:after="0"/>
              <w:rPr>
                <w:sz w:val="13"/>
                <w:szCs w:val="13"/>
                <w:color w:val="auto"/>
              </w:rPr>
            </w:pP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3 1,827</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1766.2 %</w:t>
            </w:r>
          </w:p>
        </w:tc>
        <w:tc>
          <w:tcPr>
            <w:tcW w:w="10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(4, 156)</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w w:val="99"/>
              </w:rPr>
              <w:t>-12.0 %</w:t>
            </w:r>
          </w:p>
        </w:tc>
        <w:tc>
          <w:tcPr>
            <w:tcW w:w="10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2,901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129"/>
        </w:trPr>
        <w:tc>
          <w:tcPr>
            <w:tcW w:w="780" w:type="dxa"/>
            <w:vAlign w:val="bottom"/>
          </w:tcPr>
          <w:p>
            <w:pPr>
              <w:spacing w:after="0"/>
              <w:rPr>
                <w:sz w:val="20"/>
                <w:szCs w:val="20"/>
                <w:color w:val="auto"/>
              </w:rPr>
            </w:pPr>
            <w:r>
              <w:rPr>
                <w:rFonts w:ascii="Times New Roman" w:cs="Times New Roman" w:eastAsia="Times New Roman" w:hAnsi="Times New Roman"/>
                <w:sz w:val="11"/>
                <w:szCs w:val="11"/>
                <w:color w:val="auto"/>
              </w:rPr>
              <w:t>Income (loss)</w:t>
            </w:r>
          </w:p>
        </w:tc>
        <w:tc>
          <w:tcPr>
            <w:tcW w:w="80" w:type="dxa"/>
            <w:vAlign w:val="bottom"/>
            <w:tcBorders>
              <w:top w:val="single" w:sz="8" w:color="585454"/>
            </w:tcBorders>
          </w:tcPr>
          <w:p>
            <w:pPr>
              <w:spacing w:after="0"/>
              <w:rPr>
                <w:sz w:val="11"/>
                <w:szCs w:val="11"/>
                <w:color w:val="auto"/>
              </w:rPr>
            </w:pPr>
          </w:p>
        </w:tc>
        <w:tc>
          <w:tcPr>
            <w:tcW w:w="560" w:type="dxa"/>
            <w:vAlign w:val="bottom"/>
            <w:tcBorders>
              <w:top w:val="single" w:sz="8" w:color="585454"/>
            </w:tcBorders>
          </w:tcPr>
          <w:p>
            <w:pPr>
              <w:spacing w:after="0"/>
              <w:rPr>
                <w:sz w:val="11"/>
                <w:szCs w:val="11"/>
                <w:color w:val="auto"/>
              </w:rPr>
            </w:pPr>
          </w:p>
        </w:tc>
        <w:tc>
          <w:tcPr>
            <w:tcW w:w="320" w:type="dxa"/>
            <w:vAlign w:val="bottom"/>
            <w:tcBorders>
              <w:top w:val="single" w:sz="8" w:color="585454"/>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585454"/>
            </w:tcBorders>
          </w:tcPr>
          <w:p>
            <w:pPr>
              <w:spacing w:after="0"/>
              <w:rPr>
                <w:sz w:val="11"/>
                <w:szCs w:val="11"/>
                <w:color w:val="auto"/>
              </w:rPr>
            </w:pPr>
          </w:p>
        </w:tc>
        <w:tc>
          <w:tcPr>
            <w:tcW w:w="540" w:type="dxa"/>
            <w:vAlign w:val="bottom"/>
            <w:tcBorders>
              <w:top w:val="single" w:sz="8" w:color="585454"/>
            </w:tcBorders>
          </w:tcPr>
          <w:p>
            <w:pPr>
              <w:spacing w:after="0"/>
              <w:rPr>
                <w:sz w:val="11"/>
                <w:szCs w:val="11"/>
                <w:color w:val="auto"/>
              </w:rPr>
            </w:pPr>
          </w:p>
        </w:tc>
        <w:tc>
          <w:tcPr>
            <w:tcW w:w="340" w:type="dxa"/>
            <w:vAlign w:val="bottom"/>
            <w:tcBorders>
              <w:top w:val="single" w:sz="8" w:color="585454"/>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585454"/>
            </w:tcBorders>
          </w:tcPr>
          <w:p>
            <w:pPr>
              <w:spacing w:after="0"/>
              <w:rPr>
                <w:sz w:val="11"/>
                <w:szCs w:val="11"/>
                <w:color w:val="auto"/>
              </w:rPr>
            </w:pPr>
          </w:p>
        </w:tc>
        <w:tc>
          <w:tcPr>
            <w:tcW w:w="560" w:type="dxa"/>
            <w:vAlign w:val="bottom"/>
            <w:tcBorders>
              <w:top w:val="single" w:sz="8" w:color="585454"/>
            </w:tcBorders>
          </w:tcPr>
          <w:p>
            <w:pPr>
              <w:spacing w:after="0"/>
              <w:rPr>
                <w:sz w:val="11"/>
                <w:szCs w:val="11"/>
                <w:color w:val="auto"/>
              </w:rPr>
            </w:pPr>
          </w:p>
        </w:tc>
        <w:tc>
          <w:tcPr>
            <w:tcW w:w="380" w:type="dxa"/>
            <w:vAlign w:val="bottom"/>
            <w:tcBorders>
              <w:top w:val="single" w:sz="8" w:color="585454"/>
            </w:tcBorders>
          </w:tcPr>
          <w:p>
            <w:pPr>
              <w:spacing w:after="0"/>
              <w:rPr>
                <w:sz w:val="11"/>
                <w:szCs w:val="11"/>
                <w:color w:val="auto"/>
              </w:rPr>
            </w:pPr>
          </w:p>
        </w:tc>
        <w:tc>
          <w:tcPr>
            <w:tcW w:w="40" w:type="dxa"/>
            <w:vAlign w:val="bottom"/>
            <w:tcBorders>
              <w:top w:val="single" w:sz="8" w:color="585454"/>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7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from</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(28,456 )</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-578.5%</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(29,926)</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-339.9%</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(30,997)</w:t>
            </w: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-1 720.1%</w:t>
            </w: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1,470</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-4 .9%</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1,071</w:t>
            </w: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-3.5%</w:t>
            </w:r>
          </w:p>
        </w:tc>
      </w:tr>
      <w:tr>
        <w:trPr>
          <w:trHeight w:val="34"/>
        </w:trPr>
        <w:tc>
          <w:tcPr>
            <w:tcW w:w="780" w:type="dxa"/>
            <w:vAlign w:val="bottom"/>
            <w:tcBorders>
              <w:right w:val="single" w:sz="8" w:color="585454"/>
            </w:tcBorders>
          </w:tcPr>
          <w:p>
            <w:pPr>
              <w:spacing w:after="0"/>
              <w:rPr>
                <w:sz w:val="2"/>
                <w:szCs w:val="2"/>
                <w:color w:val="auto"/>
              </w:rPr>
            </w:pPr>
          </w:p>
        </w:tc>
        <w:tc>
          <w:tcPr>
            <w:tcW w:w="80" w:type="dxa"/>
            <w:vAlign w:val="bottom"/>
            <w:shd w:val="clear" w:color="auto" w:fill="585454"/>
          </w:tcPr>
          <w:p>
            <w:pPr>
              <w:spacing w:after="0"/>
              <w:rPr>
                <w:sz w:val="2"/>
                <w:szCs w:val="2"/>
                <w:color w:val="auto"/>
              </w:rPr>
            </w:pPr>
          </w:p>
        </w:tc>
        <w:tc>
          <w:tcPr>
            <w:tcW w:w="560" w:type="dxa"/>
            <w:vAlign w:val="bottom"/>
            <w:shd w:val="clear" w:color="auto" w:fill="585454"/>
          </w:tcPr>
          <w:p>
            <w:pPr>
              <w:spacing w:after="0"/>
              <w:rPr>
                <w:sz w:val="2"/>
                <w:szCs w:val="2"/>
                <w:color w:val="auto"/>
              </w:rPr>
            </w:pPr>
          </w:p>
        </w:tc>
        <w:tc>
          <w:tcPr>
            <w:tcW w:w="320" w:type="dxa"/>
            <w:vAlign w:val="bottom"/>
            <w:shd w:val="clear" w:color="auto" w:fill="585454"/>
          </w:tcPr>
          <w:p>
            <w:pPr>
              <w:spacing w:after="0"/>
              <w:rPr>
                <w:sz w:val="2"/>
                <w:szCs w:val="2"/>
                <w:color w:val="auto"/>
              </w:rPr>
            </w:pPr>
          </w:p>
        </w:tc>
        <w:tc>
          <w:tcPr>
            <w:tcW w:w="180" w:type="dxa"/>
            <w:vAlign w:val="bottom"/>
            <w:tcBorders>
              <w:left w:val="single" w:sz="8" w:color="585454"/>
              <w:right w:val="single" w:sz="8" w:color="585454"/>
            </w:tcBorders>
          </w:tcPr>
          <w:p>
            <w:pPr>
              <w:spacing w:after="0"/>
              <w:rPr>
                <w:sz w:val="2"/>
                <w:szCs w:val="2"/>
                <w:color w:val="auto"/>
              </w:rPr>
            </w:pPr>
          </w:p>
        </w:tc>
        <w:tc>
          <w:tcPr>
            <w:tcW w:w="80" w:type="dxa"/>
            <w:vAlign w:val="bottom"/>
            <w:shd w:val="clear" w:color="auto" w:fill="585454"/>
          </w:tcPr>
          <w:p>
            <w:pPr>
              <w:spacing w:after="0"/>
              <w:rPr>
                <w:sz w:val="2"/>
                <w:szCs w:val="2"/>
                <w:color w:val="auto"/>
              </w:rPr>
            </w:pPr>
          </w:p>
        </w:tc>
        <w:tc>
          <w:tcPr>
            <w:tcW w:w="540" w:type="dxa"/>
            <w:vAlign w:val="bottom"/>
            <w:shd w:val="clear" w:color="auto" w:fill="585454"/>
          </w:tcPr>
          <w:p>
            <w:pPr>
              <w:spacing w:after="0"/>
              <w:rPr>
                <w:sz w:val="2"/>
                <w:szCs w:val="2"/>
                <w:color w:val="auto"/>
              </w:rPr>
            </w:pPr>
          </w:p>
        </w:tc>
        <w:tc>
          <w:tcPr>
            <w:tcW w:w="340" w:type="dxa"/>
            <w:vAlign w:val="bottom"/>
            <w:shd w:val="clear" w:color="auto" w:fill="585454"/>
          </w:tcPr>
          <w:p>
            <w:pPr>
              <w:spacing w:after="0"/>
              <w:rPr>
                <w:sz w:val="2"/>
                <w:szCs w:val="2"/>
                <w:color w:val="auto"/>
              </w:rPr>
            </w:pPr>
          </w:p>
        </w:tc>
        <w:tc>
          <w:tcPr>
            <w:tcW w:w="180" w:type="dxa"/>
            <w:vAlign w:val="bottom"/>
            <w:tcBorders>
              <w:left w:val="single" w:sz="8" w:color="585454"/>
              <w:right w:val="single" w:sz="8" w:color="646064"/>
            </w:tcBorders>
          </w:tcPr>
          <w:p>
            <w:pPr>
              <w:spacing w:after="0"/>
              <w:rPr>
                <w:sz w:val="2"/>
                <w:szCs w:val="2"/>
                <w:color w:val="auto"/>
              </w:rPr>
            </w:pPr>
          </w:p>
        </w:tc>
        <w:tc>
          <w:tcPr>
            <w:tcW w:w="80" w:type="dxa"/>
            <w:vAlign w:val="bottom"/>
            <w:shd w:val="clear" w:color="auto" w:fill="646064"/>
          </w:tcPr>
          <w:p>
            <w:pPr>
              <w:spacing w:after="0"/>
              <w:rPr>
                <w:sz w:val="2"/>
                <w:szCs w:val="2"/>
                <w:color w:val="auto"/>
              </w:rPr>
            </w:pPr>
          </w:p>
        </w:tc>
        <w:tc>
          <w:tcPr>
            <w:tcW w:w="560" w:type="dxa"/>
            <w:vAlign w:val="bottom"/>
            <w:shd w:val="clear" w:color="auto" w:fill="646064"/>
          </w:tcPr>
          <w:p>
            <w:pPr>
              <w:spacing w:after="0"/>
              <w:rPr>
                <w:sz w:val="2"/>
                <w:szCs w:val="2"/>
                <w:color w:val="auto"/>
              </w:rPr>
            </w:pPr>
          </w:p>
        </w:tc>
        <w:tc>
          <w:tcPr>
            <w:tcW w:w="380" w:type="dxa"/>
            <w:vAlign w:val="bottom"/>
            <w:shd w:val="clear" w:color="auto" w:fill="646064"/>
          </w:tcPr>
          <w:p>
            <w:pPr>
              <w:spacing w:after="0"/>
              <w:rPr>
                <w:sz w:val="2"/>
                <w:szCs w:val="2"/>
                <w:color w:val="auto"/>
              </w:rPr>
            </w:pPr>
          </w:p>
        </w:tc>
        <w:tc>
          <w:tcPr>
            <w:tcW w:w="40" w:type="dxa"/>
            <w:vAlign w:val="bottom"/>
            <w:tcBorders>
              <w:right w:val="single" w:sz="8" w:color="646064"/>
            </w:tcBorders>
            <w:shd w:val="clear" w:color="auto" w:fill="646064"/>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585454"/>
          </w:tcPr>
          <w:p>
            <w:pPr>
              <w:spacing w:after="0"/>
              <w:rPr>
                <w:sz w:val="2"/>
                <w:szCs w:val="2"/>
                <w:color w:val="auto"/>
              </w:rPr>
            </w:pPr>
          </w:p>
        </w:tc>
        <w:tc>
          <w:tcPr>
            <w:tcW w:w="380" w:type="dxa"/>
            <w:vAlign w:val="bottom"/>
            <w:shd w:val="clear" w:color="auto" w:fill="585454"/>
          </w:tcPr>
          <w:p>
            <w:pPr>
              <w:spacing w:after="0"/>
              <w:rPr>
                <w:sz w:val="2"/>
                <w:szCs w:val="2"/>
                <w:color w:val="auto"/>
              </w:rPr>
            </w:pPr>
          </w:p>
        </w:tc>
        <w:tc>
          <w:tcPr>
            <w:tcW w:w="480" w:type="dxa"/>
            <w:vAlign w:val="bottom"/>
            <w:tcBorders>
              <w:right w:val="single" w:sz="8" w:color="585454"/>
            </w:tcBorders>
            <w:shd w:val="clear" w:color="auto" w:fill="585454"/>
          </w:tcPr>
          <w:p>
            <w:pPr>
              <w:spacing w:after="0"/>
              <w:rPr>
                <w:sz w:val="2"/>
                <w:szCs w:val="2"/>
                <w:color w:val="auto"/>
              </w:rPr>
            </w:pPr>
          </w:p>
        </w:tc>
        <w:tc>
          <w:tcPr>
            <w:tcW w:w="160" w:type="dxa"/>
            <w:vAlign w:val="bottom"/>
            <w:tcBorders>
              <w:right w:val="single" w:sz="8" w:color="585454"/>
            </w:tcBorders>
          </w:tcPr>
          <w:p>
            <w:pPr>
              <w:spacing w:after="0"/>
              <w:rPr>
                <w:sz w:val="2"/>
                <w:szCs w:val="2"/>
                <w:color w:val="auto"/>
              </w:rPr>
            </w:pPr>
          </w:p>
        </w:tc>
        <w:tc>
          <w:tcPr>
            <w:tcW w:w="100" w:type="dxa"/>
            <w:vAlign w:val="bottom"/>
            <w:shd w:val="clear" w:color="auto" w:fill="585454"/>
          </w:tcPr>
          <w:p>
            <w:pPr>
              <w:spacing w:after="0"/>
              <w:rPr>
                <w:sz w:val="2"/>
                <w:szCs w:val="2"/>
                <w:color w:val="auto"/>
              </w:rPr>
            </w:pPr>
          </w:p>
        </w:tc>
        <w:tc>
          <w:tcPr>
            <w:tcW w:w="380" w:type="dxa"/>
            <w:vAlign w:val="bottom"/>
            <w:shd w:val="clear" w:color="auto" w:fill="585454"/>
          </w:tcPr>
          <w:p>
            <w:pPr>
              <w:spacing w:after="0"/>
              <w:rPr>
                <w:sz w:val="2"/>
                <w:szCs w:val="2"/>
                <w:color w:val="auto"/>
              </w:rPr>
            </w:pPr>
          </w:p>
        </w:tc>
        <w:tc>
          <w:tcPr>
            <w:tcW w:w="440" w:type="dxa"/>
            <w:vAlign w:val="bottom"/>
            <w:shd w:val="clear" w:color="auto" w:fill="585454"/>
          </w:tcPr>
          <w:p>
            <w:pPr>
              <w:spacing w:after="0"/>
              <w:rPr>
                <w:sz w:val="2"/>
                <w:szCs w:val="2"/>
                <w:color w:val="auto"/>
              </w:rPr>
            </w:pPr>
          </w:p>
        </w:tc>
        <w:tc>
          <w:tcPr>
            <w:tcW w:w="100" w:type="dxa"/>
            <w:vAlign w:val="bottom"/>
          </w:tcPr>
          <w:p>
            <w:pPr>
              <w:spacing w:after="0"/>
              <w:rPr>
                <w:sz w:val="2"/>
                <w:szCs w:val="2"/>
                <w:color w:val="auto"/>
              </w:rPr>
            </w:pPr>
          </w:p>
        </w:tc>
      </w:tr>
    </w:tbl>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*53 weeks for fiscal 2024 as compared with 52 weeks for fiscal 2023 and 2022.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Fiscal 2024 as Compared to Fiscal 2023</w:t>
      </w:r>
    </w:p>
    <w:p>
      <w:pPr>
        <w:spacing w:after="0" w:line="156" w:lineRule="exact"/>
        <w:rPr>
          <w:sz w:val="20"/>
          <w:szCs w:val="20"/>
          <w:color w:val="auto"/>
        </w:rPr>
      </w:pPr>
    </w:p>
    <w:p>
      <w:pPr>
        <w:jc w:val="both"/>
        <w:ind w:firstLine="4"/>
        <w:spacing w:after="0" w:line="260" w:lineRule="auto"/>
        <w:rPr>
          <w:sz w:val="20"/>
          <w:szCs w:val="20"/>
          <w:color w:val="auto"/>
        </w:rPr>
      </w:pPr>
      <w:r>
        <w:rPr>
          <w:rFonts w:ascii="Times New Roman" w:cs="Times New Roman" w:eastAsia="Times New Roman" w:hAnsi="Times New Roman"/>
          <w:sz w:val="12"/>
          <w:szCs w:val="12"/>
          <w:color w:val="auto"/>
        </w:rPr>
        <w:t xml:space="preserve">Sales and gross profit for the year ended November 30, 2024 declined from fiscal 2023 as we concluded our wind-down of Noa Home's operations and sold off the remaining in ventory during the second half of fi scal 2024. Included in the gross profit is an inventory valuation charge of $500 recognized during the second quarter of 2024 due to our deci sion to cease operations at Noa Home. The $4, 156 decrease in SG&amp;A expenses was primarily due to decreased advertising and warehouse costs for Noa Home as a result of the cessation of operations and decreased corporate overhead spending </w:t>
      </w:r>
      <w:r>
        <w:rPr>
          <w:rFonts w:ascii="Arial" w:cs="Arial" w:eastAsia="Arial" w:hAnsi="Arial"/>
          <w:sz w:val="11"/>
          <w:szCs w:val="11"/>
          <w:i w:val="1"/>
          <w:iCs w:val="1"/>
          <w:color w:val="auto"/>
        </w:rPr>
        <w:t>from</w:t>
      </w:r>
      <w:r>
        <w:rPr>
          <w:rFonts w:ascii="Times New Roman" w:cs="Times New Roman" w:eastAsia="Times New Roman" w:hAnsi="Times New Roman"/>
          <w:sz w:val="12"/>
          <w:szCs w:val="12"/>
          <w:color w:val="auto"/>
        </w:rPr>
        <w:t xml:space="preserve"> better expense management.</w:t>
      </w:r>
    </w:p>
    <w:p>
      <w:pPr>
        <w:sectPr>
          <w:pgSz w:w="15840" w:h="12240" w:orient="landscape"/>
          <w:cols w:equalWidth="0" w:num="2">
            <w:col w:w="7200" w:space="720"/>
            <w:col w:w="6460"/>
          </w:cols>
          <w:pgMar w:left="740" w:top="1440" w:right="720" w:bottom="1440" w:gutter="0" w:footer="0" w:header="0"/>
        </w:sectPr>
      </w:pPr>
    </w:p>
    <w:bookmarkStart w:id="8" w:name="page9"/>
    <w:bookmarkEnd w:id="8"/>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0058400" cy="7772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ind w:right="1560" w:firstLine="6"/>
        <w:spacing w:after="0" w:line="245" w:lineRule="auto"/>
        <w:rPr>
          <w:sz w:val="20"/>
          <w:szCs w:val="20"/>
          <w:color w:val="auto"/>
        </w:rPr>
      </w:pPr>
      <w:r>
        <w:rPr>
          <w:rFonts w:ascii="Times New Roman" w:cs="Times New Roman" w:eastAsia="Times New Roman" w:hAnsi="Times New Roman"/>
          <w:sz w:val="12"/>
          <w:szCs w:val="12"/>
          <w:color w:val="auto"/>
        </w:rPr>
        <w:t>Management's Discussion and Analysis of Financial Condition and Results of Operations - Continued (Amounts in thousands except share and per share data)</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Discontinued Operations- Logistical Services</w:t>
      </w:r>
    </w:p>
    <w:p>
      <w:pPr>
        <w:spacing w:after="0" w:line="162" w:lineRule="exact"/>
        <w:rPr>
          <w:sz w:val="20"/>
          <w:szCs w:val="20"/>
          <w:color w:val="auto"/>
        </w:rPr>
      </w:pPr>
    </w:p>
    <w:p>
      <w:pPr>
        <w:ind w:right="800" w:firstLine="9"/>
        <w:spacing w:after="0" w:line="254" w:lineRule="auto"/>
        <w:rPr>
          <w:sz w:val="20"/>
          <w:szCs w:val="20"/>
          <w:color w:val="auto"/>
        </w:rPr>
      </w:pPr>
      <w:r>
        <w:rPr>
          <w:rFonts w:ascii="Times New Roman" w:cs="Times New Roman" w:eastAsia="Times New Roman" w:hAnsi="Times New Roman"/>
          <w:sz w:val="12"/>
          <w:szCs w:val="12"/>
          <w:color w:val="auto"/>
        </w:rPr>
        <w:t>Revenues, operating expenses and income from operations for our logistical serv ices segment were as follows for the fi scal years ended November 30, 2024, November 25, 2023 and November 26,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bottom w:val="single" w:sz="8" w:color="585454"/>
            </w:tcBorders>
            <w:gridSpan w:val="3"/>
          </w:tcPr>
          <w:p>
            <w:pPr>
              <w:ind w:left="20"/>
              <w:spacing w:after="0"/>
              <w:rPr>
                <w:sz w:val="20"/>
                <w:szCs w:val="20"/>
                <w:color w:val="auto"/>
              </w:rPr>
            </w:pPr>
            <w:r>
              <w:rPr>
                <w:rFonts w:ascii="Arial" w:cs="Arial" w:eastAsia="Arial" w:hAnsi="Arial"/>
                <w:sz w:val="9"/>
                <w:szCs w:val="9"/>
                <w:color w:val="auto"/>
              </w:rPr>
              <w:t xml:space="preserve">Com~arative </w:t>
            </w:r>
            <w:r>
              <w:rPr>
                <w:rFonts w:ascii="Times New Roman" w:cs="Times New Roman" w:eastAsia="Times New Roman" w:hAnsi="Times New Roman"/>
                <w:sz w:val="12"/>
                <w:szCs w:val="12"/>
                <w:color w:val="auto"/>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bottom w:val="single" w:sz="8" w:color="585454"/>
            </w:tcBorders>
          </w:tcPr>
          <w:p>
            <w:pPr>
              <w:spacing w:after="0"/>
              <w:rPr>
                <w:sz w:val="12"/>
                <w:szCs w:val="12"/>
                <w:color w:val="auto"/>
              </w:rPr>
            </w:pPr>
          </w:p>
        </w:tc>
        <w:tc>
          <w:tcPr>
            <w:tcW w:w="1140" w:type="dxa"/>
            <w:vAlign w:val="bottom"/>
            <w:tcBorders>
              <w:bottom w:val="single" w:sz="8" w:color="585454"/>
            </w:tcBorders>
            <w:gridSpan w:val="2"/>
          </w:tcPr>
          <w:p>
            <w:pPr>
              <w:ind w:left="200"/>
              <w:spacing w:after="0"/>
              <w:rPr>
                <w:sz w:val="20"/>
                <w:szCs w:val="20"/>
                <w:color w:val="auto"/>
              </w:rPr>
            </w:pPr>
            <w:r>
              <w:rPr>
                <w:rFonts w:ascii="Times New Roman" w:cs="Times New Roman" w:eastAsia="Times New Roman" w:hAnsi="Times New Roman"/>
                <w:sz w:val="12"/>
                <w:szCs w:val="12"/>
                <w:color w:val="auto"/>
              </w:rPr>
              <w:t>2023 vs 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39"/>
              <w:spacing w:after="0" w:line="136" w:lineRule="exact"/>
              <w:rPr>
                <w:sz w:val="20"/>
                <w:szCs w:val="20"/>
                <w:color w:val="auto"/>
              </w:rPr>
            </w:pPr>
            <w:r>
              <w:rPr>
                <w:rFonts w:ascii="Times New Roman" w:cs="Times New Roman" w:eastAsia="Times New Roman" w:hAnsi="Times New Roman"/>
                <w:sz w:val="12"/>
                <w:szCs w:val="12"/>
                <w:color w:val="auto"/>
              </w:rPr>
              <w:t>2024*</w:t>
            </w:r>
          </w:p>
        </w:tc>
        <w:tc>
          <w:tcPr>
            <w:tcW w:w="180" w:type="dxa"/>
            <w:vAlign w:val="bottom"/>
          </w:tcPr>
          <w:p>
            <w:pPr>
              <w:spacing w:after="0"/>
              <w:rPr>
                <w:sz w:val="12"/>
                <w:szCs w:val="12"/>
                <w:color w:val="auto"/>
              </w:rPr>
            </w:pPr>
          </w:p>
        </w:tc>
        <w:tc>
          <w:tcPr>
            <w:tcW w:w="200" w:type="dxa"/>
            <w:vAlign w:val="bottom"/>
            <w:tcBorders>
              <w:bottom w:val="single" w:sz="8" w:color="585454"/>
            </w:tcBorders>
          </w:tcPr>
          <w:p>
            <w:pPr>
              <w:spacing w:after="0"/>
              <w:rPr>
                <w:sz w:val="12"/>
                <w:szCs w:val="12"/>
                <w:color w:val="auto"/>
              </w:rPr>
            </w:pPr>
          </w:p>
        </w:tc>
        <w:tc>
          <w:tcPr>
            <w:tcW w:w="700" w:type="dxa"/>
            <w:vAlign w:val="bottom"/>
            <w:tcBorders>
              <w:bottom w:val="single" w:sz="8" w:color="585454"/>
            </w:tcBorders>
          </w:tcPr>
          <w:p>
            <w:pPr>
              <w:jc w:val="right"/>
              <w:ind w:right="259"/>
              <w:spacing w:after="0"/>
              <w:rPr>
                <w:sz w:val="20"/>
                <w:szCs w:val="20"/>
                <w:color w:val="auto"/>
              </w:rPr>
            </w:pPr>
            <w:r>
              <w:rPr>
                <w:rFonts w:ascii="Times New Roman" w:cs="Times New Roman" w:eastAsia="Times New Roman" w:hAnsi="Times New Roman"/>
                <w:sz w:val="12"/>
                <w:szCs w:val="12"/>
                <w:color w:val="auto"/>
              </w:rPr>
              <w:t>2023</w:t>
            </w:r>
          </w:p>
        </w:tc>
        <w:tc>
          <w:tcPr>
            <w:tcW w:w="200" w:type="dxa"/>
            <w:vAlign w:val="bottom"/>
          </w:tcPr>
          <w:p>
            <w:pPr>
              <w:spacing w:after="0"/>
              <w:rPr>
                <w:sz w:val="12"/>
                <w:szCs w:val="12"/>
                <w:color w:val="auto"/>
              </w:rPr>
            </w:pPr>
          </w:p>
        </w:tc>
        <w:tc>
          <w:tcPr>
            <w:tcW w:w="62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320" w:type="dxa"/>
            <w:vAlign w:val="bottom"/>
            <w:tcBorders>
              <w:bottom w:val="single" w:sz="8" w:color="585454"/>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bottom w:val="single" w:sz="8" w:color="585454"/>
            </w:tcBorders>
          </w:tcPr>
          <w:p>
            <w:pPr>
              <w:spacing w:after="0"/>
              <w:rPr>
                <w:sz w:val="12"/>
                <w:szCs w:val="12"/>
                <w:color w:val="auto"/>
              </w:rPr>
            </w:pPr>
          </w:p>
        </w:tc>
        <w:tc>
          <w:tcPr>
            <w:tcW w:w="600" w:type="dxa"/>
            <w:vAlign w:val="bottom"/>
            <w:tcBorders>
              <w:bottom w:val="single" w:sz="8" w:color="585454"/>
            </w:tcBorders>
          </w:tcPr>
          <w:p>
            <w:pPr>
              <w:jc w:val="right"/>
              <w:ind w:right="139"/>
              <w:spacing w:after="0"/>
              <w:rPr>
                <w:sz w:val="20"/>
                <w:szCs w:val="20"/>
                <w:color w:val="auto"/>
              </w:rPr>
            </w:pPr>
            <w:r>
              <w:rPr>
                <w:rFonts w:ascii="Times New Roman" w:cs="Times New Roman" w:eastAsia="Times New Roman" w:hAnsi="Times New Roman"/>
                <w:sz w:val="12"/>
                <w:szCs w:val="12"/>
                <w:color w:val="auto"/>
              </w:rPr>
              <w:t>Dollars</w:t>
            </w:r>
          </w:p>
        </w:tc>
        <w:tc>
          <w:tcPr>
            <w:tcW w:w="540" w:type="dxa"/>
            <w:vAlign w:val="bottom"/>
            <w:tcBorders>
              <w:bottom w:val="single" w:sz="8" w:color="585454"/>
            </w:tcBorders>
          </w:tcPr>
          <w:p>
            <w:pPr>
              <w:ind w:left="80"/>
              <w:spacing w:after="0"/>
              <w:rPr>
                <w:sz w:val="20"/>
                <w:szCs w:val="20"/>
                <w:color w:val="auto"/>
              </w:rPr>
            </w:pPr>
            <w:r>
              <w:rPr>
                <w:rFonts w:ascii="Times New Roman" w:cs="Times New Roman" w:eastAsia="Times New Roman" w:hAnsi="Times New Roman"/>
                <w:sz w:val="12"/>
                <w:szCs w:val="12"/>
                <w:color w:val="auto"/>
              </w:rPr>
              <w:t>Percent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Logistical serv ices revenue</w:t>
            </w:r>
          </w:p>
        </w:tc>
        <w:tc>
          <w:tcPr>
            <w:tcW w:w="18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2"/>
                <w:szCs w:val="12"/>
                <w:color w:val="auto"/>
              </w:rPr>
              <w:t>---0-.-0%</w:t>
            </w:r>
          </w:p>
        </w:tc>
        <w:tc>
          <w:tcPr>
            <w:tcW w:w="200" w:type="dxa"/>
            <w:vAlign w:val="bottom"/>
          </w:tcPr>
          <w:p>
            <w:pPr>
              <w:jc w:val="right"/>
              <w:ind w:right="84"/>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0.0%</w:t>
            </w:r>
          </w:p>
        </w:tc>
        <w:tc>
          <w:tcPr>
            <w:tcW w:w="620" w:type="dxa"/>
            <w:vAlign w:val="bottom"/>
            <w:vMerge w:val="restart"/>
          </w:tcPr>
          <w:p>
            <w:pPr>
              <w:jc w:val="right"/>
              <w:ind w:right="138"/>
              <w:spacing w:after="0"/>
              <w:rPr>
                <w:sz w:val="20"/>
                <w:szCs w:val="20"/>
                <w:color w:val="auto"/>
              </w:rPr>
            </w:pPr>
            <w:r>
              <w:rPr>
                <w:rFonts w:ascii="Times New Roman" w:cs="Times New Roman" w:eastAsia="Times New Roman" w:hAnsi="Times New Roman"/>
                <w:sz w:val="12"/>
                <w:szCs w:val="12"/>
                <w:color w:val="auto"/>
              </w:rPr>
              <w:t>$16,776</w:t>
            </w: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100.0%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(16,776)</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6"/>
        </w:trPr>
        <w:tc>
          <w:tcPr>
            <w:tcW w:w="17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1780" w:type="dxa"/>
            <w:vAlign w:val="bottom"/>
          </w:tcPr>
          <w:p>
            <w:pPr>
              <w:spacing w:after="0"/>
              <w:rPr>
                <w:sz w:val="20"/>
                <w:szCs w:val="20"/>
                <w:color w:val="auto"/>
              </w:rPr>
            </w:pPr>
            <w:r>
              <w:rPr>
                <w:rFonts w:ascii="Times New Roman" w:cs="Times New Roman" w:eastAsia="Times New Roman" w:hAnsi="Times New Roman"/>
                <w:sz w:val="12"/>
                <w:szCs w:val="12"/>
                <w:color w:val="auto"/>
              </w:rPr>
              <w:t>Cost of logistical serv ices</w:t>
            </w:r>
          </w:p>
        </w:tc>
        <w:tc>
          <w:tcPr>
            <w:tcW w:w="18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0.0%</w:t>
            </w:r>
          </w:p>
        </w:tc>
        <w:tc>
          <w:tcPr>
            <w:tcW w:w="20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0.0%</w:t>
            </w:r>
          </w:p>
        </w:tc>
        <w:tc>
          <w:tcPr>
            <w:tcW w:w="62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rPr>
              <w:t>15,00 I</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89.4%</w:t>
            </w:r>
          </w:p>
        </w:tc>
        <w:tc>
          <w:tcPr>
            <w:tcW w:w="60" w:type="dxa"/>
            <w:vAlign w:val="bottom"/>
          </w:tcPr>
          <w:p>
            <w:pPr>
              <w:spacing w:after="0"/>
              <w:rPr>
                <w:sz w:val="12"/>
                <w:szCs w:val="12"/>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(15,00 I)</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8"/>
        </w:trPr>
        <w:tc>
          <w:tcPr>
            <w:tcW w:w="1780" w:type="dxa"/>
            <w:vAlign w:val="bottom"/>
          </w:tcPr>
          <w:p>
            <w:pPr>
              <w:spacing w:after="0"/>
              <w:rPr>
                <w:sz w:val="20"/>
                <w:szCs w:val="20"/>
                <w:color w:val="auto"/>
              </w:rPr>
            </w:pPr>
            <w:r>
              <w:rPr>
                <w:rFonts w:ascii="Times New Roman" w:cs="Times New Roman" w:eastAsia="Times New Roman" w:hAnsi="Times New Roman"/>
                <w:sz w:val="12"/>
                <w:szCs w:val="12"/>
                <w:color w:val="auto"/>
              </w:rPr>
              <w:t>Other loss, net</w:t>
            </w:r>
          </w:p>
        </w:tc>
        <w:tc>
          <w:tcPr>
            <w:tcW w:w="18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0.0%</w:t>
            </w:r>
          </w:p>
        </w:tc>
        <w:tc>
          <w:tcPr>
            <w:tcW w:w="20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0.0%</w:t>
            </w:r>
          </w:p>
        </w:tc>
        <w:tc>
          <w:tcPr>
            <w:tcW w:w="620" w:type="dxa"/>
            <w:vAlign w:val="bottom"/>
          </w:tcPr>
          <w:p>
            <w:pPr>
              <w:jc w:val="right"/>
              <w:ind w:right="78"/>
              <w:spacing w:after="0" w:line="149" w:lineRule="exact"/>
              <w:rPr>
                <w:sz w:val="20"/>
                <w:szCs w:val="20"/>
                <w:color w:val="auto"/>
              </w:rPr>
            </w:pPr>
            <w:r>
              <w:rPr>
                <w:rFonts w:ascii="Arial" w:cs="Arial" w:eastAsia="Arial" w:hAnsi="Arial"/>
                <w:sz w:val="13"/>
                <w:szCs w:val="13"/>
                <w:color w:val="auto"/>
              </w:rPr>
              <w:t>____j§l</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-0.4%</w:t>
            </w:r>
          </w:p>
        </w:tc>
        <w:tc>
          <w:tcPr>
            <w:tcW w:w="60" w:type="dxa"/>
            <w:vAlign w:val="bottom"/>
          </w:tcPr>
          <w:p>
            <w:pPr>
              <w:spacing w:after="0"/>
              <w:rPr>
                <w:sz w:val="12"/>
                <w:szCs w:val="12"/>
                <w:color w:val="auto"/>
              </w:rPr>
            </w:pP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63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0"/>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Income from discontinued</w:t>
            </w:r>
          </w:p>
        </w:tc>
        <w:tc>
          <w:tcPr>
            <w:tcW w:w="180" w:type="dxa"/>
            <w:vAlign w:val="bottom"/>
            <w:tcBorders>
              <w:top w:val="single" w:sz="8" w:color="585458"/>
            </w:tcBorders>
          </w:tcPr>
          <w:p>
            <w:pPr>
              <w:spacing w:after="0"/>
              <w:rPr>
                <w:sz w:val="12"/>
                <w:szCs w:val="12"/>
                <w:color w:val="auto"/>
              </w:rPr>
            </w:pPr>
          </w:p>
        </w:tc>
        <w:tc>
          <w:tcPr>
            <w:tcW w:w="720" w:type="dxa"/>
            <w:vAlign w:val="bottom"/>
            <w:tcBorders>
              <w:top w:val="single" w:sz="8" w:color="585458"/>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operations</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3"/>
          </w:tcPr>
          <w:p>
            <w:pPr>
              <w:jc w:val="right"/>
              <w:ind w:right="84"/>
              <w:spacing w:after="0"/>
              <w:rPr>
                <w:sz w:val="20"/>
                <w:szCs w:val="20"/>
                <w:color w:val="auto"/>
              </w:rPr>
            </w:pPr>
            <w:r>
              <w:rPr>
                <w:rFonts w:ascii="Times New Roman" w:cs="Times New Roman" w:eastAsia="Times New Roman" w:hAnsi="Times New Roman"/>
                <w:sz w:val="12"/>
                <w:szCs w:val="12"/>
                <w:color w:val="auto"/>
              </w:rPr>
              <w:t>0.0%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0.0%</w:t>
            </w:r>
          </w:p>
        </w:tc>
        <w:tc>
          <w:tcPr>
            <w:tcW w:w="62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rPr>
              <w:t>$  1,712</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10.2%</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(1,712)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31"/>
        </w:trPr>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Borders>
              <w:right w:val="single" w:sz="8" w:color="484448"/>
            </w:tcBorders>
          </w:tcPr>
          <w:p>
            <w:pPr>
              <w:spacing w:after="0"/>
              <w:rPr>
                <w:sz w:val="2"/>
                <w:szCs w:val="2"/>
                <w:color w:val="auto"/>
              </w:rPr>
            </w:pPr>
          </w:p>
        </w:tc>
        <w:tc>
          <w:tcPr>
            <w:tcW w:w="620" w:type="dxa"/>
            <w:vAlign w:val="bottom"/>
            <w:shd w:val="clear" w:color="auto" w:fill="484448"/>
          </w:tcPr>
          <w:p>
            <w:pPr>
              <w:spacing w:after="0"/>
              <w:rPr>
                <w:sz w:val="2"/>
                <w:szCs w:val="2"/>
                <w:color w:val="auto"/>
              </w:rPr>
            </w:pPr>
          </w:p>
        </w:tc>
        <w:tc>
          <w:tcPr>
            <w:tcW w:w="320" w:type="dxa"/>
            <w:vAlign w:val="bottom"/>
            <w:shd w:val="clear" w:color="auto" w:fill="484448"/>
          </w:tcPr>
          <w:p>
            <w:pPr>
              <w:spacing w:after="0"/>
              <w:rPr>
                <w:sz w:val="2"/>
                <w:szCs w:val="2"/>
                <w:color w:val="auto"/>
              </w:rPr>
            </w:pPr>
          </w:p>
        </w:tc>
        <w:tc>
          <w:tcPr>
            <w:tcW w:w="200" w:type="dxa"/>
            <w:vAlign w:val="bottom"/>
            <w:tcBorders>
              <w:right w:val="single" w:sz="8" w:color="585454"/>
            </w:tcBorders>
          </w:tcPr>
          <w:p>
            <w:pPr>
              <w:spacing w:after="0"/>
              <w:rPr>
                <w:sz w:val="2"/>
                <w:szCs w:val="2"/>
                <w:color w:val="auto"/>
              </w:rPr>
            </w:pPr>
          </w:p>
        </w:tc>
        <w:tc>
          <w:tcPr>
            <w:tcW w:w="60" w:type="dxa"/>
            <w:vAlign w:val="bottom"/>
            <w:shd w:val="clear" w:color="auto" w:fill="585454"/>
          </w:tcPr>
          <w:p>
            <w:pPr>
              <w:spacing w:after="0"/>
              <w:rPr>
                <w:sz w:val="2"/>
                <w:szCs w:val="2"/>
                <w:color w:val="auto"/>
              </w:rPr>
            </w:pPr>
          </w:p>
        </w:tc>
        <w:tc>
          <w:tcPr>
            <w:tcW w:w="600" w:type="dxa"/>
            <w:vAlign w:val="bottom"/>
            <w:shd w:val="clear" w:color="auto" w:fill="585454"/>
          </w:tcPr>
          <w:p>
            <w:pPr>
              <w:spacing w:after="0"/>
              <w:rPr>
                <w:sz w:val="2"/>
                <w:szCs w:val="2"/>
                <w:color w:val="auto"/>
              </w:rPr>
            </w:pPr>
          </w:p>
        </w:tc>
        <w:tc>
          <w:tcPr>
            <w:tcW w:w="540" w:type="dxa"/>
            <w:vAlign w:val="bottom"/>
            <w:shd w:val="clear" w:color="auto" w:fill="585454"/>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Analysis ofDiscontinued Operations - Logistical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amounts shown above represent the results of Zenith's busin ess transactions with third parties.</w:t>
      </w:r>
    </w:p>
    <w:p>
      <w:pPr>
        <w:spacing w:after="0" w:line="162" w:lineRule="exact"/>
        <w:rPr>
          <w:sz w:val="20"/>
          <w:szCs w:val="20"/>
          <w:color w:val="auto"/>
        </w:rPr>
      </w:pPr>
    </w:p>
    <w:p>
      <w:pPr>
        <w:jc w:val="both"/>
        <w:ind w:right="760" w:firstLine="1"/>
        <w:spacing w:after="0" w:line="257" w:lineRule="auto"/>
        <w:rPr>
          <w:sz w:val="20"/>
          <w:szCs w:val="20"/>
          <w:color w:val="auto"/>
        </w:rPr>
      </w:pPr>
      <w:r>
        <w:rPr>
          <w:rFonts w:ascii="Times New Roman" w:cs="Times New Roman" w:eastAsia="Times New Roman" w:hAnsi="Times New Roman"/>
          <w:sz w:val="12"/>
          <w:szCs w:val="12"/>
          <w:color w:val="auto"/>
        </w:rPr>
        <w:t>Zenith only operated as a subsidiary of the Company for the first quarter offiscal2022, during which period Zenith charged Bassett $9,121 for logistical services provided to our wholesale segment. These shipping and handling costs are included in selling, general and administrative expenses in the accompanying condensed consolidated statements of income. We entered into a service agreement with J.B. Hunt for the continuation of these services for a period of seven years following the sale of Zenith. Subsequent to the sale, we incurred $22,721, $26, 125 and $27,604 of expense during fiscal 2024, 2023 and 2022, respectively, forthe performance of logistical services by J.B. Hunt.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Items Affecting Net Income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items affecting net income (loss) for fiscal 2024, 2023 and 2022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020" w:type="dxa"/>
            <w:vAlign w:val="bottom"/>
          </w:tcPr>
          <w:p>
            <w:pPr>
              <w:spacing w:after="0"/>
              <w:rPr>
                <w:sz w:val="12"/>
                <w:szCs w:val="12"/>
                <w:color w:val="auto"/>
              </w:rPr>
            </w:pPr>
          </w:p>
        </w:tc>
        <w:tc>
          <w:tcPr>
            <w:tcW w:w="1040" w:type="dxa"/>
            <w:vAlign w:val="bottom"/>
            <w:tcBorders>
              <w:bottom w:val="single" w:sz="8" w:color="3C383C"/>
            </w:tcBorders>
          </w:tcPr>
          <w:p>
            <w:pPr>
              <w:jc w:val="right"/>
              <w:ind w:right="339"/>
              <w:spacing w:after="0"/>
              <w:rPr>
                <w:sz w:val="20"/>
                <w:szCs w:val="20"/>
                <w:color w:val="auto"/>
              </w:rPr>
            </w:pPr>
            <w:r>
              <w:rPr>
                <w:rFonts w:ascii="Times New Roman" w:cs="Times New Roman" w:eastAsia="Times New Roman" w:hAnsi="Times New Roman"/>
                <w:sz w:val="12"/>
                <w:szCs w:val="12"/>
                <w:color w:val="auto"/>
              </w:rPr>
              <w:t>2024</w:t>
            </w:r>
          </w:p>
        </w:tc>
        <w:tc>
          <w:tcPr>
            <w:tcW w:w="120" w:type="dxa"/>
            <w:vAlign w:val="bottom"/>
          </w:tcPr>
          <w:p>
            <w:pPr>
              <w:spacing w:after="0"/>
              <w:rPr>
                <w:sz w:val="12"/>
                <w:szCs w:val="12"/>
                <w:color w:val="auto"/>
              </w:rPr>
            </w:pPr>
          </w:p>
        </w:tc>
        <w:tc>
          <w:tcPr>
            <w:tcW w:w="220" w:type="dxa"/>
            <w:vAlign w:val="bottom"/>
            <w:tcBorders>
              <w:bottom w:val="single" w:sz="8" w:color="3C383C"/>
            </w:tcBorders>
          </w:tcPr>
          <w:p>
            <w:pPr>
              <w:spacing w:after="0"/>
              <w:rPr>
                <w:sz w:val="12"/>
                <w:szCs w:val="12"/>
                <w:color w:val="auto"/>
              </w:rPr>
            </w:pPr>
          </w:p>
        </w:tc>
        <w:tc>
          <w:tcPr>
            <w:tcW w:w="840" w:type="dxa"/>
            <w:vAlign w:val="bottom"/>
            <w:tcBorders>
              <w:bottom w:val="single" w:sz="8" w:color="3C383C"/>
            </w:tcBorders>
          </w:tcPr>
          <w:p>
            <w:pPr>
              <w:jc w:val="right"/>
              <w:ind w:right="359"/>
              <w:spacing w:after="0"/>
              <w:rPr>
                <w:sz w:val="20"/>
                <w:szCs w:val="20"/>
                <w:color w:val="auto"/>
              </w:rPr>
            </w:pPr>
            <w:r>
              <w:rPr>
                <w:rFonts w:ascii="Times New Roman" w:cs="Times New Roman" w:eastAsia="Times New Roman" w:hAnsi="Times New Roman"/>
                <w:sz w:val="12"/>
                <w:szCs w:val="12"/>
                <w:color w:val="auto"/>
              </w:rPr>
              <w:t>2023</w:t>
            </w:r>
          </w:p>
        </w:tc>
        <w:tc>
          <w:tcPr>
            <w:tcW w:w="100" w:type="dxa"/>
            <w:vAlign w:val="bottom"/>
          </w:tcPr>
          <w:p>
            <w:pPr>
              <w:spacing w:after="0"/>
              <w:rPr>
                <w:sz w:val="12"/>
                <w:szCs w:val="12"/>
                <w:color w:val="auto"/>
              </w:rPr>
            </w:pPr>
          </w:p>
        </w:tc>
        <w:tc>
          <w:tcPr>
            <w:tcW w:w="220" w:type="dxa"/>
            <w:vAlign w:val="bottom"/>
            <w:tcBorders>
              <w:bottom w:val="single" w:sz="8" w:color="3C383C"/>
            </w:tcBorders>
          </w:tcPr>
          <w:p>
            <w:pPr>
              <w:spacing w:after="0"/>
              <w:rPr>
                <w:sz w:val="12"/>
                <w:szCs w:val="12"/>
                <w:color w:val="auto"/>
              </w:rPr>
            </w:pPr>
          </w:p>
        </w:tc>
        <w:tc>
          <w:tcPr>
            <w:tcW w:w="840" w:type="dxa"/>
            <w:vAlign w:val="bottom"/>
            <w:tcBorders>
              <w:bottom w:val="single" w:sz="8" w:color="3C383C"/>
            </w:tcBorders>
          </w:tcPr>
          <w:p>
            <w:pPr>
              <w:jc w:val="right"/>
              <w:ind w:right="359"/>
              <w:spacing w:after="0"/>
              <w:rPr>
                <w:sz w:val="20"/>
                <w:szCs w:val="20"/>
                <w:color w:val="auto"/>
              </w:rPr>
            </w:pPr>
            <w:r>
              <w:rPr>
                <w:rFonts w:ascii="Times New Roman" w:cs="Times New Roman" w:eastAsia="Times New Roman" w:hAnsi="Times New Roman"/>
                <w:sz w:val="12"/>
                <w:szCs w:val="12"/>
                <w:color w:val="auto"/>
              </w:rPr>
              <w:t>2022</w:t>
            </w:r>
          </w:p>
        </w:tc>
        <w:tc>
          <w:tcPr>
            <w:tcW w:w="20" w:type="dxa"/>
            <w:vAlign w:val="bottom"/>
          </w:tcPr>
          <w:p>
            <w:pPr>
              <w:spacing w:after="0"/>
              <w:rPr>
                <w:sz w:val="12"/>
                <w:szCs w:val="12"/>
                <w:color w:val="auto"/>
              </w:rPr>
            </w:pPr>
          </w:p>
        </w:tc>
      </w:tr>
      <w:tr>
        <w:trPr>
          <w:trHeight w:val="286"/>
        </w:trPr>
        <w:tc>
          <w:tcPr>
            <w:tcW w:w="3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income (I)</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2,673</w:t>
            </w:r>
          </w:p>
        </w:tc>
        <w:tc>
          <w:tcPr>
            <w:tcW w:w="120" w:type="dxa"/>
            <w:vAlign w:val="bottom"/>
          </w:tcPr>
          <w:p>
            <w:pPr>
              <w:spacing w:after="0"/>
              <w:rPr>
                <w:sz w:val="24"/>
                <w:szCs w:val="24"/>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2,528</w:t>
            </w:r>
          </w:p>
        </w:tc>
        <w:tc>
          <w:tcPr>
            <w:tcW w:w="100" w:type="dxa"/>
            <w:vAlign w:val="bottom"/>
          </w:tcPr>
          <w:p>
            <w:pPr>
              <w:spacing w:after="0"/>
              <w:rPr>
                <w:sz w:val="24"/>
                <w:szCs w:val="24"/>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20" w:type="dxa"/>
            <w:vAlign w:val="bottom"/>
          </w:tcPr>
          <w:p>
            <w:pPr>
              <w:spacing w:after="0"/>
              <w:rPr>
                <w:sz w:val="24"/>
                <w:szCs w:val="24"/>
                <w:color w:val="auto"/>
              </w:rPr>
            </w:pPr>
          </w:p>
        </w:tc>
      </w:tr>
      <w:tr>
        <w:trPr>
          <w:trHeight w:val="149"/>
        </w:trPr>
        <w:tc>
          <w:tcPr>
            <w:tcW w:w="3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expense (2)</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w:t>
            </w:r>
          </w:p>
        </w:tc>
        <w:tc>
          <w:tcPr>
            <w:tcW w:w="22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(22)</w:t>
            </w:r>
          </w:p>
        </w:tc>
        <w:tc>
          <w:tcPr>
            <w:tcW w:w="22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49"/>
        </w:trPr>
        <w:tc>
          <w:tcPr>
            <w:tcW w:w="3020" w:type="dxa"/>
            <w:vAlign w:val="bottom"/>
          </w:tcPr>
          <w:p>
            <w:pPr>
              <w:spacing w:after="0"/>
              <w:rPr>
                <w:sz w:val="20"/>
                <w:szCs w:val="20"/>
                <w:color w:val="auto"/>
              </w:rPr>
            </w:pPr>
            <w:r>
              <w:rPr>
                <w:rFonts w:ascii="Times New Roman" w:cs="Times New Roman" w:eastAsia="Times New Roman" w:hAnsi="Times New Roman"/>
                <w:sz w:val="12"/>
                <w:szCs w:val="12"/>
                <w:color w:val="auto"/>
              </w:rPr>
              <w:t>Net periodic pension costs (3)</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(430)</w:t>
            </w:r>
          </w:p>
        </w:tc>
        <w:tc>
          <w:tcPr>
            <w:tcW w:w="22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(496)</w:t>
            </w:r>
          </w:p>
        </w:tc>
        <w:tc>
          <w:tcPr>
            <w:tcW w:w="22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(489)</w:t>
            </w:r>
          </w:p>
        </w:tc>
      </w:tr>
      <w:tr>
        <w:trPr>
          <w:trHeight w:val="149"/>
        </w:trPr>
        <w:tc>
          <w:tcPr>
            <w:tcW w:w="3020" w:type="dxa"/>
            <w:vAlign w:val="bottom"/>
          </w:tcPr>
          <w:p>
            <w:pPr>
              <w:spacing w:after="0"/>
              <w:rPr>
                <w:sz w:val="20"/>
                <w:szCs w:val="20"/>
                <w:color w:val="auto"/>
              </w:rPr>
            </w:pPr>
            <w:r>
              <w:rPr>
                <w:rFonts w:ascii="Times New Roman" w:cs="Times New Roman" w:eastAsia="Times New Roman" w:hAnsi="Times New Roman"/>
                <w:sz w:val="12"/>
                <w:szCs w:val="12"/>
                <w:color w:val="auto"/>
              </w:rPr>
              <w:t>Net gains (cost) of company-owned life insurance (4)</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(572)</w:t>
            </w: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20" w:type="dxa"/>
            <w:vAlign w:val="bottom"/>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_____].(6:::lcc:6)</w:t>
            </w:r>
          </w:p>
        </w:tc>
        <w:tc>
          <w:tcPr>
            <w:tcW w:w="22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(791)</w:t>
            </w:r>
          </w:p>
        </w:tc>
        <w:tc>
          <w:tcPr>
            <w:tcW w:w="22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(739)</w:t>
            </w:r>
          </w:p>
        </w:tc>
      </w:tr>
      <w:tr>
        <w:trPr>
          <w:trHeight w:val="296"/>
        </w:trPr>
        <w:tc>
          <w:tcPr>
            <w:tcW w:w="3020" w:type="dxa"/>
            <w:vAlign w:val="bottom"/>
          </w:tcPr>
          <w:p>
            <w:pPr>
              <w:spacing w:after="0"/>
              <w:rPr>
                <w:sz w:val="20"/>
                <w:szCs w:val="20"/>
                <w:color w:val="auto"/>
              </w:rPr>
            </w:pPr>
            <w:r>
              <w:rPr>
                <w:rFonts w:ascii="Times New Roman" w:cs="Times New Roman" w:eastAsia="Times New Roman" w:hAnsi="Times New Roman"/>
                <w:sz w:val="12"/>
                <w:szCs w:val="12"/>
                <w:color w:val="auto"/>
              </w:rPr>
              <w:t>Total other income (loss), net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(803)</w:t>
            </w:r>
          </w:p>
        </w:tc>
      </w:tr>
      <w:tr>
        <w:trPr>
          <w:trHeight w:val="34"/>
        </w:trPr>
        <w:tc>
          <w:tcPr>
            <w:tcW w:w="3020" w:type="dxa"/>
            <w:vAlign w:val="bottom"/>
            <w:tcBorders>
              <w:right w:val="single" w:sz="8" w:color="242020"/>
            </w:tcBorders>
          </w:tcPr>
          <w:p>
            <w:pPr>
              <w:spacing w:after="0"/>
              <w:rPr>
                <w:sz w:val="2"/>
                <w:szCs w:val="2"/>
                <w:color w:val="auto"/>
              </w:rPr>
            </w:pPr>
          </w:p>
        </w:tc>
        <w:tc>
          <w:tcPr>
            <w:tcW w:w="1040" w:type="dxa"/>
            <w:vAlign w:val="bottom"/>
            <w:shd w:val="clear" w:color="auto" w:fill="242020"/>
          </w:tcPr>
          <w:p>
            <w:pPr>
              <w:spacing w:after="0"/>
              <w:rPr>
                <w:sz w:val="2"/>
                <w:szCs w:val="2"/>
                <w:color w:val="auto"/>
              </w:rPr>
            </w:pPr>
          </w:p>
        </w:tc>
        <w:tc>
          <w:tcPr>
            <w:tcW w:w="120" w:type="dxa"/>
            <w:vAlign w:val="bottom"/>
            <w:tcBorders>
              <w:right w:val="single" w:sz="8" w:color="201C20"/>
            </w:tcBorders>
          </w:tcPr>
          <w:p>
            <w:pPr>
              <w:spacing w:after="0"/>
              <w:rPr>
                <w:sz w:val="2"/>
                <w:szCs w:val="2"/>
                <w:color w:val="auto"/>
              </w:rPr>
            </w:pPr>
          </w:p>
        </w:tc>
        <w:tc>
          <w:tcPr>
            <w:tcW w:w="220" w:type="dxa"/>
            <w:vAlign w:val="bottom"/>
            <w:shd w:val="clear" w:color="auto" w:fill="201C20"/>
          </w:tcPr>
          <w:p>
            <w:pPr>
              <w:spacing w:after="0"/>
              <w:rPr>
                <w:sz w:val="2"/>
                <w:szCs w:val="2"/>
                <w:color w:val="auto"/>
              </w:rPr>
            </w:pPr>
          </w:p>
        </w:tc>
        <w:tc>
          <w:tcPr>
            <w:tcW w:w="840" w:type="dxa"/>
            <w:vAlign w:val="bottom"/>
            <w:tcBorders>
              <w:right w:val="single" w:sz="8" w:color="201C20"/>
            </w:tcBorders>
            <w:shd w:val="clear" w:color="auto" w:fill="201C20"/>
          </w:tcPr>
          <w:p>
            <w:pPr>
              <w:spacing w:after="0"/>
              <w:rPr>
                <w:sz w:val="2"/>
                <w:szCs w:val="2"/>
                <w:color w:val="auto"/>
              </w:rPr>
            </w:pPr>
          </w:p>
        </w:tc>
        <w:tc>
          <w:tcPr>
            <w:tcW w:w="100" w:type="dxa"/>
            <w:vAlign w:val="bottom"/>
            <w:tcBorders>
              <w:right w:val="single" w:sz="8" w:color="242020"/>
            </w:tcBorders>
          </w:tcPr>
          <w:p>
            <w:pPr>
              <w:spacing w:after="0"/>
              <w:rPr>
                <w:sz w:val="2"/>
                <w:szCs w:val="2"/>
                <w:color w:val="auto"/>
              </w:rPr>
            </w:pPr>
          </w:p>
        </w:tc>
        <w:tc>
          <w:tcPr>
            <w:tcW w:w="220" w:type="dxa"/>
            <w:vAlign w:val="bottom"/>
            <w:shd w:val="clear" w:color="auto" w:fill="242020"/>
          </w:tcPr>
          <w:p>
            <w:pPr>
              <w:spacing w:after="0"/>
              <w:rPr>
                <w:sz w:val="2"/>
                <w:szCs w:val="2"/>
                <w:color w:val="auto"/>
              </w:rPr>
            </w:pPr>
          </w:p>
        </w:tc>
        <w:tc>
          <w:tcPr>
            <w:tcW w:w="840" w:type="dxa"/>
            <w:vAlign w:val="bottom"/>
            <w:tcBorders>
              <w:right w:val="single" w:sz="8" w:color="242020"/>
            </w:tcBorders>
            <w:shd w:val="clear" w:color="auto" w:fill="242020"/>
          </w:tcPr>
          <w:p>
            <w:pPr>
              <w:spacing w:after="0"/>
              <w:rPr>
                <w:sz w:val="2"/>
                <w:szCs w:val="2"/>
                <w:color w:val="auto"/>
              </w:rPr>
            </w:pPr>
          </w:p>
        </w:tc>
        <w:tc>
          <w:tcPr>
            <w:tcW w:w="20" w:type="dxa"/>
            <w:vAlign w:val="bottom"/>
          </w:tcPr>
          <w:p>
            <w:pPr>
              <w:spacing w:after="0"/>
              <w:rPr>
                <w:sz w:val="2"/>
                <w:szCs w:val="2"/>
                <w:color w:val="auto"/>
              </w:rPr>
            </w:pPr>
          </w:p>
        </w:tc>
      </w:tr>
    </w:tbl>
    <w:p>
      <w:pPr>
        <w:spacing w:after="0" w:line="169" w:lineRule="exact"/>
        <w:rPr>
          <w:sz w:val="20"/>
          <w:szCs w:val="20"/>
          <w:color w:val="auto"/>
        </w:rPr>
      </w:pPr>
    </w:p>
    <w:p>
      <w:pPr>
        <w:jc w:val="both"/>
        <w:ind w:left="500" w:right="760" w:hanging="249"/>
        <w:spacing w:after="0" w:line="256" w:lineRule="auto"/>
        <w:tabs>
          <w:tab w:leader="none" w:pos="499" w:val="left"/>
        </w:tabs>
        <w:numPr>
          <w:ilvl w:val="0"/>
          <w:numId w:val="8"/>
        </w:numPr>
        <w:rPr>
          <w:rFonts w:ascii="Arial" w:cs="Arial" w:eastAsia="Arial" w:hAnsi="Arial"/>
          <w:sz w:val="12"/>
          <w:szCs w:val="12"/>
          <w:color w:val="auto"/>
        </w:rPr>
      </w:pPr>
      <w:r>
        <w:rPr>
          <w:rFonts w:ascii="Times New Roman" w:cs="Times New Roman" w:eastAsia="Times New Roman" w:hAnsi="Times New Roman"/>
          <w:sz w:val="12"/>
          <w:szCs w:val="12"/>
          <w:color w:val="auto"/>
        </w:rPr>
        <w:t>Consists of interest income arising from our short-term investments and interest-bearin g cash equivalents. Th e increase in interest income for fi scal 2024 as compared with fi scal 2023 was due primarily to higher interest rates paid on certificates of deposit. See Note 4 to the Consolidated Financial Statements for additional information regarding our investm ents in certificates of deposit.</w:t>
      </w:r>
    </w:p>
    <w:p>
      <w:pPr>
        <w:spacing w:after="0" w:line="6" w:lineRule="exact"/>
        <w:rPr>
          <w:sz w:val="20"/>
          <w:szCs w:val="20"/>
          <w:color w:val="auto"/>
        </w:rPr>
      </w:pPr>
    </w:p>
    <w:p>
      <w:pPr>
        <w:ind w:left="500" w:right="780" w:hanging="248"/>
        <w:spacing w:after="0" w:line="253" w:lineRule="auto"/>
        <w:tabs>
          <w:tab w:leader="none" w:pos="50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expense is attributable to finance leases for computer and office eq uipment. See Note 15 to the Consolidated Financial Statements for additional information regarding our leases.</w:t>
      </w:r>
    </w:p>
    <w:p>
      <w:pPr>
        <w:spacing w:after="0" w:line="6" w:lineRule="exact"/>
        <w:rPr>
          <w:rFonts w:ascii="Times New Roman" w:cs="Times New Roman" w:eastAsia="Times New Roman" w:hAnsi="Times New Roman"/>
          <w:sz w:val="12"/>
          <w:szCs w:val="12"/>
          <w:color w:val="auto"/>
        </w:rPr>
      </w:pPr>
    </w:p>
    <w:p>
      <w:pPr>
        <w:ind w:left="500" w:right="760" w:hanging="248"/>
        <w:spacing w:after="0" w:line="254" w:lineRule="auto"/>
        <w:tabs>
          <w:tab w:leader="none" w:pos="505"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portion of net periodic pension costs not included in income from operations. See Note 10 to th e Consolidated Financial Statements for additional information related to our defin ed benefit pension plans.</w:t>
      </w:r>
    </w:p>
    <w:p>
      <w:pPr>
        <w:spacing w:after="0" w:line="2" w:lineRule="exact"/>
        <w:rPr>
          <w:rFonts w:ascii="Times New Roman" w:cs="Times New Roman" w:eastAsia="Times New Roman" w:hAnsi="Times New Roman"/>
          <w:sz w:val="12"/>
          <w:szCs w:val="12"/>
          <w:color w:val="auto"/>
        </w:rPr>
      </w:pPr>
    </w:p>
    <w:p>
      <w:pPr>
        <w:ind w:left="500" w:hanging="248"/>
        <w:spacing w:after="0"/>
        <w:tabs>
          <w:tab w:leader="none" w:pos="50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 gain arising from death benefits from Company-owned life insurance of$1 ,441  in fiscal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Provision for Income taxes</w:t>
      </w:r>
    </w:p>
    <w:p>
      <w:pPr>
        <w:spacing w:after="0" w:line="162" w:lineRule="exact"/>
        <w:rPr>
          <w:sz w:val="20"/>
          <w:szCs w:val="20"/>
          <w:color w:val="auto"/>
        </w:rPr>
      </w:pPr>
    </w:p>
    <w:p>
      <w:pPr>
        <w:jc w:val="both"/>
        <w:ind w:right="760" w:firstLine="16"/>
        <w:spacing w:after="0" w:line="258" w:lineRule="auto"/>
        <w:rPr>
          <w:sz w:val="20"/>
          <w:szCs w:val="20"/>
          <w:color w:val="auto"/>
        </w:rPr>
      </w:pPr>
      <w:r>
        <w:rPr>
          <w:rFonts w:ascii="Times New Roman" w:cs="Times New Roman" w:eastAsia="Times New Roman" w:hAnsi="Times New Roman"/>
          <w:sz w:val="12"/>
          <w:szCs w:val="12"/>
          <w:color w:val="auto"/>
        </w:rPr>
        <w:t>We record ed an income tax benefit of$4,675 on the loss from continuing operations for 2024. In 2023 , we recorded income tax expense on the loss from continuing operations of $683 and in 2022, we record ed $8,702 of income tax ex pense on th e income from continuing operations. Our effective tax rate of32.5% for 2024 differs from the federal statutory rate of21.0% due to the increases in the valuation allowance placed on deferred tax assets resulting from pre-tax losses in foreign tax jurisdictions associated with Noa !-lome, the nondeductible impairment of the Noa !-lome tradename, the tax benefit record ed for the capital loss associated with the cumulative investment in Noa Home due to the shutdown of the operations, and th e effects of state income taxes and various permanent differences. Our effective tax rate of(27.5%) for 2023 differs from th e</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820" w:firstLine="6"/>
        <w:spacing w:after="0" w:line="254" w:lineRule="auto"/>
        <w:rPr>
          <w:sz w:val="20"/>
          <w:szCs w:val="20"/>
          <w:color w:val="auto"/>
        </w:rPr>
      </w:pPr>
      <w:r>
        <w:rPr>
          <w:rFonts w:ascii="Times New Roman" w:cs="Times New Roman" w:eastAsia="Times New Roman" w:hAnsi="Times New Roman"/>
          <w:sz w:val="12"/>
          <w:szCs w:val="12"/>
          <w:color w:val="auto"/>
        </w:rPr>
        <w:t>Management's Discussion and Analysis of Financial Condition and Results of Operations - Continued (Amounts in thou sands except share and per share data)</w:t>
      </w:r>
    </w:p>
    <w:p>
      <w:pPr>
        <w:spacing w:after="0" w:line="154" w:lineRule="exact"/>
        <w:rPr>
          <w:sz w:val="20"/>
          <w:szCs w:val="20"/>
          <w:color w:val="auto"/>
        </w:rPr>
      </w:pPr>
    </w:p>
    <w:p>
      <w:pPr>
        <w:jc w:val="both"/>
        <w:ind w:right="20" w:firstLine="4"/>
        <w:spacing w:after="0" w:line="257" w:lineRule="auto"/>
        <w:rPr>
          <w:sz w:val="20"/>
          <w:szCs w:val="20"/>
          <w:color w:val="auto"/>
        </w:rPr>
      </w:pPr>
      <w:r>
        <w:rPr>
          <w:rFonts w:ascii="Times New Roman" w:cs="Times New Roman" w:eastAsia="Times New Roman" w:hAnsi="Times New Roman"/>
          <w:sz w:val="12"/>
          <w:szCs w:val="12"/>
          <w:color w:val="auto"/>
        </w:rPr>
        <w:t>federal statutory rate of21.0% due to the non-taxable goodwill impairment and non-taxable gain on revaluation of contingent consideration both of which are associated with the acquisition ofNoa Home, increases in the valuation allowance placed on deferred tax assets resulting from pre-tax losses in foreign tax jurisd ictions associated with Noa Home, and the effects of state income taxes and various permanent differences.</w:t>
      </w:r>
    </w:p>
    <w:p>
      <w:pPr>
        <w:spacing w:after="0" w:line="153" w:lineRule="exact"/>
        <w:rPr>
          <w:sz w:val="20"/>
          <w:szCs w:val="20"/>
          <w:color w:val="auto"/>
        </w:rPr>
      </w:pPr>
    </w:p>
    <w:p>
      <w:pPr>
        <w:jc w:val="both"/>
        <w:ind w:right="20" w:firstLine="6"/>
        <w:spacing w:after="0" w:line="262" w:lineRule="auto"/>
        <w:rPr>
          <w:sz w:val="20"/>
          <w:szCs w:val="20"/>
          <w:color w:val="auto"/>
        </w:rPr>
      </w:pPr>
      <w:r>
        <w:rPr>
          <w:rFonts w:ascii="Times New Roman" w:cs="Times New Roman" w:eastAsia="Times New Roman" w:hAnsi="Times New Roman"/>
          <w:sz w:val="12"/>
          <w:szCs w:val="12"/>
          <w:color w:val="auto"/>
        </w:rPr>
        <w:t>We have net deferred tax assets of$6,867 as of November 30, 2024, which, upon utilization, are expected to reduce our cash outlays for income taxes in future years. It will require approximately $31,700 of future taxable income to utilize our net deferred tax assets.</w:t>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Liquidity and Capital Resources</w:t>
      </w:r>
    </w:p>
    <w:p>
      <w:pPr>
        <w:spacing w:after="0" w:line="162" w:lineRule="exact"/>
        <w:rPr>
          <w:sz w:val="20"/>
          <w:szCs w:val="20"/>
          <w:color w:val="auto"/>
        </w:rPr>
      </w:pPr>
    </w:p>
    <w:p>
      <w:pPr>
        <w:jc w:val="both"/>
        <w:ind w:right="20" w:firstLine="6"/>
        <w:spacing w:after="0" w:line="254" w:lineRule="auto"/>
        <w:rPr>
          <w:sz w:val="20"/>
          <w:szCs w:val="20"/>
          <w:color w:val="auto"/>
        </w:rPr>
      </w:pPr>
      <w:r>
        <w:rPr>
          <w:rFonts w:ascii="Times New Roman" w:cs="Times New Roman" w:eastAsia="Times New Roman" w:hAnsi="Times New Roman"/>
          <w:sz w:val="12"/>
          <w:szCs w:val="12"/>
          <w:color w:val="auto"/>
        </w:rPr>
        <w:t>We are committed to maintaining a strong balance sheet in order to weather difficult industry conditions, to allow us to take advantage of opportunities as market conditions improve, and to execute our long-term retail strategies.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Flows</w:t>
      </w:r>
    </w:p>
    <w:p>
      <w:pPr>
        <w:spacing w:after="0" w:line="162" w:lineRule="exact"/>
        <w:rPr>
          <w:sz w:val="20"/>
          <w:szCs w:val="20"/>
          <w:color w:val="auto"/>
        </w:rPr>
      </w:pPr>
    </w:p>
    <w:p>
      <w:pPr>
        <w:jc w:val="both"/>
        <w:ind w:firstLine="1"/>
        <w:spacing w:after="0" w:line="257" w:lineRule="auto"/>
        <w:rPr>
          <w:sz w:val="20"/>
          <w:szCs w:val="20"/>
          <w:color w:val="auto"/>
        </w:rPr>
      </w:pPr>
      <w:r>
        <w:rPr>
          <w:rFonts w:ascii="Times New Roman" w:cs="Times New Roman" w:eastAsia="Times New Roman" w:hAnsi="Times New Roman"/>
          <w:sz w:val="12"/>
          <w:szCs w:val="12"/>
          <w:color w:val="auto"/>
        </w:rPr>
        <w:t>Cash provided by operations for the year ended November 30, 2024 was $4,050 compared to cash provided by operations of $18,724 for the year ended November 25, 2023, representing a decrease of $14,674 in cash flo ws from operations. This decrease was primarily the result of changes in workjng capital due to the timing impact of expenditures as a result of an additional week in the first quarter of2024 coupled wi th larger net loss in fi scal2024.</w:t>
      </w:r>
    </w:p>
    <w:p>
      <w:pPr>
        <w:spacing w:after="0" w:line="15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2"/>
          <w:szCs w:val="12"/>
          <w:color w:val="auto"/>
        </w:rPr>
        <w:t>Our overall cash position declined $12,993 during fiscal2024. During fiscal 2024, we spent $5,211 on purchases of property and equipment primarily consisting of the upfit of the new Tampa, Florida and Houston, Texas stores that opened in the first quarter of2024, final payments on the Austin, Texas store remodel, update of the fayade of the Greensboro, North Carolina store location and expenditures related to various infonnation technology and manufacturin g plant projects. During the fourth quarter of fi scal 2024 ,we purchased a $2,500 CD which has been pledged as collateral against our merchant services agreement wi th a bank. We also paid $6,654 in dividends during fiscal 2024. During 2024, we spent $1,420 to repurchase shares under our existing stock repurchase program as compared to $4, 176 in 2023. As of November 30, 2024, $20,403 remains available for future purchases under our stock repurchase plan. With cash and cash equivalents and short-term investments totaling $59,911 on hand at November 30,2024, expected future operating cash flows and the availability under our credit line noted below, we believe we have su fficient liquidity to fund operations for the foreseeable future.</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Debt and Other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Bank Credit Facility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On May 15 , 2024, we entered into the Eighth Amended and Restated Credit Agreement with our bank (the "Cred it Facility"). This Credit Facility provides for a line of credit of up to $25,000. At November 30,2024, we had $6,013 outstanding under standby letters of credit against our line. The line bears interest at the One-Month Term Secured Overnight Financing Rate ("One-Month Term SOFR") plus 1.75 % and is secured by our accounts receivable and in ventory . Our bank charges a fee of 0.25% on the daily unused balance of the line, payable quarterly. Under the terms of the Credit Facility, Conso lidated Minimum Tangible Net Worth (as defined in the Credit Facility) shall at no time be less than $120,000. In addition, we must maintain the follo 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spacing w:after="0" w:line="2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Conso lidated Fixed Charge Coverage Ratio (as defined in the Credit Facility) of not less than 1.2 times and</w:t>
      </w:r>
    </w:p>
    <w:p>
      <w:pPr>
        <w:spacing w:after="0" w:line="162" w:lineRule="exact"/>
        <w:rPr>
          <w:sz w:val="20"/>
          <w:szCs w:val="20"/>
          <w:color w:val="auto"/>
        </w:rPr>
      </w:pPr>
    </w:p>
    <w:p>
      <w:pPr>
        <w:ind w:left="500" w:right="40" w:hanging="244"/>
        <w:spacing w:after="0" w:line="247" w:lineRule="auto"/>
        <w:tabs>
          <w:tab w:leader="none" w:pos="499"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Consolidated Lease Adjusted Leverage to EB ITDAR Ratio (as defined in the Credit Facility) not to exceed 3.35 times.</w:t>
      </w:r>
    </w:p>
    <w:p>
      <w:pPr>
        <w:spacing w:after="0" w:line="305" w:lineRule="exact"/>
        <w:rPr>
          <w:sz w:val="20"/>
          <w:szCs w:val="20"/>
          <w:color w:val="auto"/>
        </w:rPr>
      </w:pPr>
    </w:p>
    <w:p>
      <w:pPr>
        <w:jc w:val="both"/>
        <w:ind w:right="20" w:firstLine="4"/>
        <w:spacing w:after="0" w:line="257" w:lineRule="auto"/>
        <w:rPr>
          <w:sz w:val="20"/>
          <w:szCs w:val="20"/>
          <w:color w:val="auto"/>
        </w:rPr>
      </w:pPr>
      <w:r>
        <w:rPr>
          <w:rFonts w:ascii="Times New Roman" w:cs="Times New Roman" w:eastAsia="Times New Roman" w:hAnsi="Times New Roman"/>
          <w:sz w:val="12"/>
          <w:szCs w:val="12"/>
          <w:color w:val="auto"/>
        </w:rPr>
        <w:t>Since our used commitment was less than $8,250 at November 30, 2024, we were not required to test the Conso lidated Fixed Charge Coverage Ratio or the Conso lidated Lease Adjusted Leverage to EB ITDAR Ratio. Had we been required to test those ratios, we wou ld not have been able to achieve the required leve ls for either of these ratios. Conseq uently, our availability under the Credit Facility is currently limited to an additional $2,237.</w:t>
      </w:r>
    </w:p>
    <w:p>
      <w:pPr>
        <w:spacing w:after="0" w:line="541" w:lineRule="exact"/>
        <w:rPr>
          <w:sz w:val="20"/>
          <w:szCs w:val="20"/>
          <w:color w:val="auto"/>
        </w:rPr>
      </w:pPr>
    </w:p>
    <w:p>
      <w:pPr>
        <w:sectPr>
          <w:pgSz w:w="15840" w:h="12240" w:orient="landscape"/>
          <w:cols w:equalWidth="0" w:num="2">
            <w:col w:w="7200" w:space="720"/>
            <w:col w:w="6460"/>
          </w:cols>
          <w:pgMar w:left="740" w:top="1440" w:right="720" w:bottom="918" w:gutter="0" w:footer="0" w:header="0"/>
        </w:sectPr>
      </w:pPr>
    </w:p>
    <w:p>
      <w:pPr>
        <w:ind w:left="11100"/>
        <w:spacing w:after="0"/>
        <w:rPr>
          <w:sz w:val="20"/>
          <w:szCs w:val="20"/>
          <w:color w:val="auto"/>
        </w:rPr>
      </w:pPr>
      <w:r>
        <w:rPr>
          <w:rFonts w:ascii="Times New Roman" w:cs="Times New Roman" w:eastAsia="Times New Roman" w:hAnsi="Times New Roman"/>
          <w:sz w:val="10"/>
          <w:szCs w:val="10"/>
          <w:color w:val="auto"/>
        </w:rPr>
        <w:t>10</w:t>
      </w:r>
    </w:p>
    <w:p>
      <w:pPr>
        <w:sectPr>
          <w:pgSz w:w="15840" w:h="12240" w:orient="landscape"/>
          <w:cols w:equalWidth="0" w:num="1">
            <w:col w:w="14380"/>
          </w:cols>
          <w:pgMar w:left="740" w:top="1440" w:right="720" w:bottom="918" w:gutter="0" w:footer="0" w:header="0"/>
          <w:type w:val="continuous"/>
        </w:sectPr>
      </w:pPr>
    </w:p>
    <w:bookmarkStart w:id="9" w:name="page10"/>
    <w:bookmarkEnd w:id="9"/>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0058400" cy="7772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ind w:right="1560" w:firstLine="6"/>
        <w:spacing w:after="0" w:line="255" w:lineRule="auto"/>
        <w:rPr>
          <w:sz w:val="20"/>
          <w:szCs w:val="20"/>
          <w:color w:val="auto"/>
        </w:rPr>
      </w:pPr>
      <w:r>
        <w:rPr>
          <w:rFonts w:ascii="Times New Roman" w:cs="Times New Roman" w:eastAsia="Times New Roman" w:hAnsi="Times New Roman"/>
          <w:sz w:val="12"/>
          <w:szCs w:val="12"/>
          <w:b w:val="1"/>
          <w:bCs w:val="1"/>
          <w:color w:val="auto"/>
        </w:rPr>
        <w:t xml:space="preserve">Management's Discussion and Analysis of Financial Condition and Results of Operations - Continued </w:t>
      </w:r>
      <w:r>
        <w:rPr>
          <w:rFonts w:ascii="Times New Roman" w:cs="Times New Roman" w:eastAsia="Times New Roman" w:hAnsi="Times New Roman"/>
          <w:sz w:val="12"/>
          <w:szCs w:val="12"/>
          <w:color w:val="auto"/>
        </w:rPr>
        <w:t>(Amounts in thousands except share and per share data)</w:t>
      </w:r>
    </w:p>
    <w:p>
      <w:pPr>
        <w:spacing w:after="0" w:line="157" w:lineRule="exact"/>
        <w:rPr>
          <w:sz w:val="20"/>
          <w:szCs w:val="20"/>
          <w:color w:val="auto"/>
        </w:rPr>
      </w:pPr>
    </w:p>
    <w:p>
      <w:pPr>
        <w:jc w:val="both"/>
        <w:ind w:right="740" w:firstLine="6"/>
        <w:spacing w:after="0" w:line="258" w:lineRule="auto"/>
        <w:rPr>
          <w:sz w:val="20"/>
          <w:szCs w:val="20"/>
          <w:color w:val="auto"/>
        </w:rPr>
      </w:pPr>
      <w:r>
        <w:rPr>
          <w:rFonts w:ascii="Times New Roman" w:cs="Times New Roman" w:eastAsia="Times New Roman" w:hAnsi="Times New Roman"/>
          <w:sz w:val="12"/>
          <w:szCs w:val="12"/>
          <w:color w:val="auto"/>
        </w:rPr>
        <w:t>We lease land and buildings that are used in the operation of our Company-owned retail stores as well as in the operation of certain of our licensee-owned stores, and we lease land and buildings at various locations throughout the continental Un ited States for warehouse space used in our retail segment. We also lease local deli very trucks used in our retail segment. The total future minimum lease payments for leases with terms in excess of one year at November 30, 2024 is $128,530 the present va lue of which is $106,445 and is included in our accompanying consolidated balance sheet at November 30, 2024. We were contingently liable under licensee lease obligation guarantees in the amount of$5, 131 at November 30, 2024. The remaining terms under these lease guarantees range from approximately one to fi ve years. See Note 15 to our consolidated financial statements for a schedule of future cash payments on our lease obligations and additional details regarding our leases and lease guarantees.</w:t>
      </w:r>
    </w:p>
    <w:p>
      <w:pPr>
        <w:spacing w:after="0" w:line="301" w:lineRule="exact"/>
        <w:rPr>
          <w:sz w:val="20"/>
          <w:szCs w:val="20"/>
          <w:color w:val="auto"/>
        </w:rPr>
      </w:pPr>
    </w:p>
    <w:p>
      <w:pPr>
        <w:jc w:val="both"/>
        <w:ind w:right="740" w:firstLine="6"/>
        <w:spacing w:after="0" w:line="259" w:lineRule="auto"/>
        <w:rPr>
          <w:sz w:val="20"/>
          <w:szCs w:val="20"/>
          <w:color w:val="auto"/>
        </w:rPr>
      </w:pPr>
      <w:r>
        <w:rPr>
          <w:rFonts w:ascii="Times New Roman" w:cs="Times New Roman" w:eastAsia="Times New Roman" w:hAnsi="Times New Roman"/>
          <w:sz w:val="12"/>
          <w:szCs w:val="12"/>
          <w:color w:val="auto"/>
        </w:rPr>
        <w:t>We provide post-employment benefits to certain current and former executives and management leve l employees of the Company. Included among these benefits are two defined-benefit plans with a combined projected benefit obligation of $6,917 at November 30,2024. See Note I 0 to our consolidated financial statements for a prqjection of future benefit payments under these plans from 2025 through 2034. We also have deferred compensation plans with a total liability of $5,055 at November 30, 2024, the current portion of which is $330. See Note 10 to our consolidated financial statements for additional information regarding these plans.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Dividends and Share Repurchases</w:t>
      </w:r>
    </w:p>
    <w:p>
      <w:pPr>
        <w:spacing w:after="0" w:line="161" w:lineRule="exact"/>
        <w:rPr>
          <w:sz w:val="20"/>
          <w:szCs w:val="20"/>
          <w:color w:val="auto"/>
        </w:rPr>
      </w:pPr>
    </w:p>
    <w:p>
      <w:pPr>
        <w:jc w:val="both"/>
        <w:ind w:right="740" w:firstLine="5"/>
        <w:spacing w:after="0" w:line="258" w:lineRule="auto"/>
        <w:rPr>
          <w:sz w:val="20"/>
          <w:szCs w:val="20"/>
          <w:color w:val="auto"/>
        </w:rPr>
      </w:pPr>
      <w:r>
        <w:rPr>
          <w:rFonts w:ascii="Times New Roman" w:cs="Times New Roman" w:eastAsia="Times New Roman" w:hAnsi="Times New Roman"/>
          <w:sz w:val="12"/>
          <w:szCs w:val="12"/>
          <w:color w:val="auto"/>
        </w:rPr>
        <w:t>During fiscal2024, we declared and paid four quarterly di vidends totaling $6,654, or $0.76 per share. During fiscal2024, we repurchased 101 ,305 shares of our stock for $1,420 under our share repurchase program. The weighted-average effect of these share repurchases on basic earnings per share from continuing operations was less than $0.0 I per share. On March 9, 2022, our Board of Directors increased the remaining limit of the repurchase plan to $40,000. The approximate dollar va lue that may yet be purchased pursuant to our stock repurchase program as ofNovember 30, 2024 was $20,403.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Capital Expenditures</w:t>
      </w:r>
    </w:p>
    <w:p>
      <w:pPr>
        <w:spacing w:after="0" w:line="161" w:lineRule="exact"/>
        <w:rPr>
          <w:sz w:val="20"/>
          <w:szCs w:val="20"/>
          <w:color w:val="auto"/>
        </w:rPr>
      </w:pPr>
    </w:p>
    <w:p>
      <w:pPr>
        <w:jc w:val="both"/>
        <w:ind w:right="760" w:firstLine="5"/>
        <w:spacing w:after="0" w:line="258" w:lineRule="auto"/>
        <w:rPr>
          <w:sz w:val="20"/>
          <w:szCs w:val="20"/>
          <w:color w:val="auto"/>
        </w:rPr>
      </w:pPr>
      <w:r>
        <w:rPr>
          <w:rFonts w:ascii="Times New Roman" w:cs="Times New Roman" w:eastAsia="Times New Roman" w:hAnsi="Times New Roman"/>
          <w:sz w:val="12"/>
          <w:szCs w:val="12"/>
          <w:color w:val="auto"/>
        </w:rPr>
        <w:t>We currently anticipate that total capital expenditures for fiscal2025 will be between $8 million and $12 million, which will be used for remodeling various retail stores and additional in vestments in information technology, including enhancements to our website. Our capital expenditure and workjng capital requirements in the foreseeable future may change depending on many factors, including but not limited to the overall performance of the store program, our rate of growth, our operating results and any acUustments in our operating plan needed in response to industry conditions, competition or unexpected events. We believe that our existing cash, together with cash from operations, will be sufficient to meet our capital expenditure and work ing capital requirements for the foreseeable future.</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Fair Value Measurements</w:t>
      </w:r>
    </w:p>
    <w:p>
      <w:pPr>
        <w:spacing w:after="0" w:line="164" w:lineRule="exact"/>
        <w:rPr>
          <w:sz w:val="20"/>
          <w:szCs w:val="20"/>
          <w:color w:val="auto"/>
        </w:rPr>
      </w:pPr>
    </w:p>
    <w:p>
      <w:pPr>
        <w:jc w:val="both"/>
        <w:ind w:right="760" w:firstLine="6"/>
        <w:spacing w:after="0" w:line="258" w:lineRule="auto"/>
        <w:rPr>
          <w:sz w:val="20"/>
          <w:szCs w:val="20"/>
          <w:color w:val="auto"/>
        </w:rPr>
      </w:pPr>
      <w:r>
        <w:rPr>
          <w:rFonts w:ascii="Times New Roman" w:cs="Times New Roman" w:eastAsia="Times New Roman" w:hAnsi="Times New Roman"/>
          <w:sz w:val="12"/>
          <w:szCs w:val="12"/>
          <w:color w:val="auto"/>
        </w:rPr>
        <w:t xml:space="preserve">We account for items measured at fair va lue in accordance wi th ASC Topic 820, </w:t>
      </w:r>
      <w:r>
        <w:rPr>
          <w:rFonts w:ascii="Times New Roman" w:cs="Times New Roman" w:eastAsia="Times New Roman" w:hAnsi="Times New Roman"/>
          <w:sz w:val="12"/>
          <w:szCs w:val="12"/>
          <w:i w:val="1"/>
          <w:iCs w:val="1"/>
          <w:color w:val="auto"/>
        </w:rPr>
        <w:t>Fair Value Measurements and Disclosures.</w:t>
      </w:r>
      <w:r>
        <w:rPr>
          <w:rFonts w:ascii="Times New Roman" w:cs="Times New Roman" w:eastAsia="Times New Roman" w:hAnsi="Times New Roman"/>
          <w:sz w:val="12"/>
          <w:szCs w:val="12"/>
          <w:color w:val="auto"/>
        </w:rPr>
        <w:t xml:space="preserve"> ASC 820 ' s va luation techniques are based on observable and unobservable inputs. Observable inputs reflect readily obtainable data from independent sources, while unobservable inputs reflect our market assumptions. ASC 820 classifies these inputs into the following hierarchy: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 xml:space="preserve">Level 1 Inputs- </w:t>
      </w:r>
      <w:r>
        <w:rPr>
          <w:rFonts w:ascii="Times New Roman" w:cs="Times New Roman" w:eastAsia="Times New Roman" w:hAnsi="Times New Roman"/>
          <w:sz w:val="12"/>
          <w:szCs w:val="12"/>
          <w:color w:val="auto"/>
        </w:rPr>
        <w:t>Quoted prices for identical instruments in active markets.</w:t>
      </w:r>
    </w:p>
    <w:p>
      <w:pPr>
        <w:spacing w:after="0" w:line="161" w:lineRule="exact"/>
        <w:rPr>
          <w:sz w:val="20"/>
          <w:szCs w:val="20"/>
          <w:color w:val="auto"/>
        </w:rPr>
      </w:pPr>
    </w:p>
    <w:p>
      <w:pPr>
        <w:jc w:val="both"/>
        <w:ind w:right="760" w:hanging="6"/>
        <w:spacing w:after="0" w:line="243" w:lineRule="auto"/>
        <w:rPr>
          <w:sz w:val="20"/>
          <w:szCs w:val="20"/>
          <w:color w:val="auto"/>
        </w:rPr>
      </w:pPr>
      <w:r>
        <w:rPr>
          <w:rFonts w:ascii="Times New Roman" w:cs="Times New Roman" w:eastAsia="Times New Roman" w:hAnsi="Times New Roman"/>
          <w:sz w:val="13"/>
          <w:szCs w:val="13"/>
          <w:i w:val="1"/>
          <w:iCs w:val="1"/>
          <w:color w:val="auto"/>
        </w:rPr>
        <w:t xml:space="preserve">Level 2 Inputs- </w:t>
      </w:r>
      <w:r>
        <w:rPr>
          <w:rFonts w:ascii="Times New Roman" w:cs="Times New Roman" w:eastAsia="Times New Roman" w:hAnsi="Times New Roman"/>
          <w:sz w:val="12"/>
          <w:szCs w:val="12"/>
          <w:color w:val="auto"/>
        </w:rPr>
        <w:t>Quoted prices for similar instrum ents in active markets; quoted prices for identical or similar instruments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2"/>
          <w:szCs w:val="12"/>
          <w:color w:val="auto"/>
        </w:rPr>
        <w:t>markets that are not active; and model-deri ved va luations whose inputs are observable or whose significant va lue drivers are observable.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 xml:space="preserve">Level 3 </w:t>
      </w:r>
      <w:r>
        <w:rPr>
          <w:rFonts w:ascii="Times New Roman" w:cs="Times New Roman" w:eastAsia="Times New Roman" w:hAnsi="Times New Roman"/>
          <w:sz w:val="12"/>
          <w:szCs w:val="12"/>
          <w:color w:val="auto"/>
        </w:rPr>
        <w:t>Inputs-Instruments with primarily unobservable value drivers.</w:t>
      </w:r>
    </w:p>
    <w:p>
      <w:pPr>
        <w:spacing w:after="0" w:line="161" w:lineRule="exact"/>
        <w:rPr>
          <w:sz w:val="20"/>
          <w:szCs w:val="20"/>
          <w:color w:val="auto"/>
        </w:rPr>
      </w:pPr>
    </w:p>
    <w:p>
      <w:pPr>
        <w:jc w:val="both"/>
        <w:ind w:right="760" w:firstLine="6"/>
        <w:spacing w:after="0" w:line="259" w:lineRule="auto"/>
        <w:rPr>
          <w:sz w:val="20"/>
          <w:szCs w:val="20"/>
          <w:color w:val="auto"/>
        </w:rPr>
      </w:pPr>
      <w:r>
        <w:rPr>
          <w:rFonts w:ascii="Times New Roman" w:cs="Times New Roman" w:eastAsia="Times New Roman" w:hAnsi="Times New Roman"/>
          <w:sz w:val="12"/>
          <w:szCs w:val="12"/>
          <w:color w:val="auto"/>
        </w:rPr>
        <w:t>We believe that the carrying amounts of our current assets and current liabilities approximate fair value du e to th e short-term nature of th ese items. Our primary non-recurring fair value estimates, typ ically involving the valuation of business acquisitions (see Note 3 to the Consolidated Financial Statements), goodwill impairments (see Note 8 to the Consolidated Financial Statements) and asset impairments (see Note 14 to the Consolidated Financial Statements) have utili zed Level 3 inputs.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820" w:firstLine="6"/>
        <w:spacing w:after="0" w:line="263" w:lineRule="auto"/>
        <w:rPr>
          <w:sz w:val="20"/>
          <w:szCs w:val="20"/>
          <w:color w:val="auto"/>
        </w:rPr>
      </w:pPr>
      <w:r>
        <w:rPr>
          <w:rFonts w:ascii="Times New Roman" w:cs="Times New Roman" w:eastAsia="Times New Roman" w:hAnsi="Times New Roman"/>
          <w:sz w:val="12"/>
          <w:szCs w:val="12"/>
          <w:b w:val="1"/>
          <w:bCs w:val="1"/>
          <w:color w:val="auto"/>
        </w:rPr>
        <w:t xml:space="preserve">Management's Discussion and Analysis of Financial Condition and Results of Operations - Continued </w:t>
      </w:r>
      <w:r>
        <w:rPr>
          <w:rFonts w:ascii="Times New Roman" w:cs="Times New Roman" w:eastAsia="Times New Roman" w:hAnsi="Times New Roman"/>
          <w:sz w:val="12"/>
          <w:szCs w:val="12"/>
          <w:color w:val="auto"/>
        </w:rPr>
        <w:t>(Amounts in thou sands except share and per share data)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Off-Balance Sheet Arrangements</w:t>
      </w:r>
    </w:p>
    <w:p>
      <w:pPr>
        <w:spacing w:after="0" w:line="161" w:lineRule="exact"/>
        <w:rPr>
          <w:sz w:val="20"/>
          <w:szCs w:val="20"/>
          <w:color w:val="auto"/>
        </w:rPr>
      </w:pPr>
    </w:p>
    <w:p>
      <w:pPr>
        <w:jc w:val="both"/>
        <w:ind w:right="20" w:firstLine="5"/>
        <w:spacing w:after="0" w:line="258" w:lineRule="auto"/>
        <w:rPr>
          <w:sz w:val="20"/>
          <w:szCs w:val="20"/>
          <w:color w:val="auto"/>
        </w:rPr>
      </w:pPr>
      <w:r>
        <w:rPr>
          <w:rFonts w:ascii="Times New Roman" w:cs="Times New Roman" w:eastAsia="Times New Roman" w:hAnsi="Times New Roman"/>
          <w:sz w:val="12"/>
          <w:szCs w:val="12"/>
          <w:color w:val="auto"/>
        </w:rPr>
        <w:t>We utilize stand-by letters of credit in the procurement of certain goods in the normal course of business. We lease land and buildings that are primarily used in the operation of our retail BHF stores and di stribution facilities as well as certain manufacturing facilities in our upholstery operations. We have guaranteed certain lease obligations of licensee operators as part of our retail strategy . See Note 15 to the Consolidated Financial Statements, included in Item 8 of thi s Annual Report on Form I 0-K, for further di sc ussion of lease guarantees, including descriptions of the terms of such commitments and methods used to mitigate ri sks associated with these arrangements.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Contingencies</w:t>
      </w:r>
    </w:p>
    <w:p>
      <w:pPr>
        <w:spacing w:after="0" w:line="163" w:lineRule="exact"/>
        <w:rPr>
          <w:sz w:val="20"/>
          <w:szCs w:val="20"/>
          <w:color w:val="auto"/>
        </w:rPr>
      </w:pPr>
    </w:p>
    <w:p>
      <w:pPr>
        <w:jc w:val="both"/>
        <w:ind w:firstLine="4"/>
        <w:spacing w:after="0" w:line="258" w:lineRule="auto"/>
        <w:rPr>
          <w:sz w:val="20"/>
          <w:szCs w:val="20"/>
          <w:color w:val="auto"/>
        </w:rPr>
      </w:pPr>
      <w:r>
        <w:rPr>
          <w:rFonts w:ascii="Times New Roman" w:cs="Times New Roman" w:eastAsia="Times New Roman" w:hAnsi="Times New Roman"/>
          <w:sz w:val="12"/>
          <w:szCs w:val="12"/>
          <w:color w:val="auto"/>
        </w:rPr>
        <w:t>We are involved in various claims and litigation as well as environmental matters, which arise in the normal course of business . Although the final outcome of these legal and environmental matters cannot be detennined, based on the facts presently known, it is our opinion that the final resolution of these matters will not have a material adverse effect on our financial position or future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6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2"/>
          <w:szCs w:val="12"/>
          <w:color w:val="auto"/>
        </w:rPr>
        <w:t>Our consolidated financial statements have been prepared in conformity wi th accounting principles generally accepted in the United States of America ("GAAP") which requires that certain estimates and assumptions be made that affect the amounts and disc losures reported in those financial statements and th e related accompanying notes. Actual results could differ from these estimates and assumptions. We use our best judgment in va luing these estimates and may, as warranted, solicit external advice. Estimates are based on current facts and circumstances, prior experience and other assumptions believed to be reasonabl e. The following critical accounting policies, some of which are impacted significantly by judgments, assumptions and estimates, affect our consolidated financial statem ents.</w:t>
      </w:r>
    </w:p>
    <w:p>
      <w:pPr>
        <w:spacing w:after="0" w:line="152" w:lineRule="exact"/>
        <w:rPr>
          <w:sz w:val="20"/>
          <w:szCs w:val="20"/>
          <w:color w:val="auto"/>
        </w:rPr>
      </w:pPr>
    </w:p>
    <w:p>
      <w:pPr>
        <w:jc w:val="both"/>
        <w:ind w:right="20" w:hanging="2"/>
        <w:spacing w:after="0" w:line="247" w:lineRule="auto"/>
        <w:rPr>
          <w:sz w:val="20"/>
          <w:szCs w:val="20"/>
          <w:color w:val="auto"/>
        </w:rPr>
      </w:pPr>
      <w:r>
        <w:rPr>
          <w:rFonts w:ascii="Times New Roman" w:cs="Times New Roman" w:eastAsia="Times New Roman" w:hAnsi="Times New Roman"/>
          <w:sz w:val="13"/>
          <w:szCs w:val="13"/>
          <w:i w:val="1"/>
          <w:iCs w:val="1"/>
          <w:color w:val="auto"/>
        </w:rPr>
        <w:t xml:space="preserve">Revenue Recognition- </w:t>
      </w:r>
      <w:r>
        <w:rPr>
          <w:rFonts w:ascii="Times New Roman" w:cs="Times New Roman" w:eastAsia="Times New Roman" w:hAnsi="Times New Roman"/>
          <w:sz w:val="12"/>
          <w:szCs w:val="12"/>
          <w:color w:val="auto"/>
        </w:rPr>
        <w:t>We recognize revenu e when we transfer promised goods to our customers in an amount that refl ects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2"/>
          <w:szCs w:val="12"/>
          <w:color w:val="auto"/>
        </w:rPr>
        <w:t>the consideration that we expect to receive in exchange for those goods. For our wholesale and retail segments, revenue is recognized when the ri sks and rewards of ownership and title to th e product have transferred to the buyer.</w:t>
      </w:r>
    </w:p>
    <w:p>
      <w:pPr>
        <w:spacing w:after="0" w:line="157" w:lineRule="exact"/>
        <w:rPr>
          <w:sz w:val="20"/>
          <w:szCs w:val="20"/>
          <w:color w:val="auto"/>
        </w:rPr>
      </w:pPr>
    </w:p>
    <w:p>
      <w:pPr>
        <w:jc w:val="both"/>
        <w:ind w:right="20" w:firstLine="1"/>
        <w:spacing w:after="0" w:line="258" w:lineRule="auto"/>
        <w:rPr>
          <w:sz w:val="20"/>
          <w:szCs w:val="20"/>
          <w:color w:val="auto"/>
        </w:rPr>
      </w:pPr>
      <w:r>
        <w:rPr>
          <w:rFonts w:ascii="Times New Roman" w:cs="Times New Roman" w:eastAsia="Times New Roman" w:hAnsi="Times New Roman"/>
          <w:sz w:val="12"/>
          <w:szCs w:val="12"/>
          <w:color w:val="auto"/>
        </w:rPr>
        <w:t>At wholesale, transfer occurs and revenu e is recogni zed upon th e shipment of goods to independent dealers and licensee-owned 81-IF stores. We offer payment terms varying from 30 to 60 days for wholesale customers. Estimates for returns and allowances have been recorded as a reduction of revenue based on our historical return pattern s. The contracts with our licensee store owners do not provide for any roya lty or license fee to be paid to us.</w:t>
      </w:r>
    </w:p>
    <w:p>
      <w:pPr>
        <w:spacing w:after="0" w:line="151" w:lineRule="exact"/>
        <w:rPr>
          <w:sz w:val="20"/>
          <w:szCs w:val="20"/>
          <w:color w:val="auto"/>
        </w:rPr>
      </w:pPr>
    </w:p>
    <w:p>
      <w:pPr>
        <w:jc w:val="both"/>
        <w:ind w:right="20" w:firstLine="1"/>
        <w:spacing w:after="0" w:line="258" w:lineRule="auto"/>
        <w:rPr>
          <w:sz w:val="20"/>
          <w:szCs w:val="20"/>
          <w:color w:val="auto"/>
        </w:rPr>
      </w:pPr>
      <w:r>
        <w:rPr>
          <w:rFonts w:ascii="Times New Roman" w:cs="Times New Roman" w:eastAsia="Times New Roman" w:hAnsi="Times New Roman"/>
          <w:sz w:val="12"/>
          <w:szCs w:val="12"/>
          <w:color w:val="auto"/>
        </w:rPr>
        <w:t>At retail, tran sfer occurs and revenue is recognized upon delivery of goods to the customer. We typically collect a significant portion of the purchase price as a customer deposit upon order, with the balance typ ically collected upon delivery. These deposits are carried on our balance sheet as a current liability until delivery is fulfilled and amounted to $25,742 and $22,788 as of November 30, 2024 and November 25, 2023, respectively. Substantially all of th e customer deposits held at November 25, 2023 related to performance obligations satisfied during fiscal 2024 and have th erefore been recogni zed in revenue for the year ended November 30, 2024. Estimates for return s and allowances have been recorded as a reduction of revenue based on our historical return patterns. We also se ll furniture protection plans to our retail customers on behalf of a third party which is responsible for th e performance obligations und er th e plans. Revenue from th e sale of th ese plans is recogni zed upon delivery of th e goods net of amounts payable to th e third-party service provider.</w:t>
      </w:r>
    </w:p>
    <w:p>
      <w:pPr>
        <w:spacing w:after="0" w:line="153" w:lineRule="exact"/>
        <w:rPr>
          <w:sz w:val="20"/>
          <w:szCs w:val="20"/>
          <w:color w:val="auto"/>
        </w:rPr>
      </w:pPr>
    </w:p>
    <w:p>
      <w:pPr>
        <w:jc w:val="both"/>
        <w:ind w:hanging="5"/>
        <w:spacing w:after="0" w:line="256" w:lineRule="auto"/>
        <w:rPr>
          <w:sz w:val="20"/>
          <w:szCs w:val="20"/>
          <w:color w:val="auto"/>
        </w:rPr>
      </w:pPr>
      <w:r>
        <w:rPr>
          <w:rFonts w:ascii="Times New Roman" w:cs="Times New Roman" w:eastAsia="Times New Roman" w:hAnsi="Times New Roman"/>
          <w:sz w:val="13"/>
          <w:szCs w:val="13"/>
          <w:i w:val="1"/>
          <w:iCs w:val="1"/>
          <w:color w:val="auto"/>
        </w:rPr>
        <w:t xml:space="preserve">Allowance for credit losses- </w:t>
      </w:r>
      <w:r>
        <w:rPr>
          <w:rFonts w:ascii="Times New Roman" w:cs="Times New Roman" w:eastAsia="Times New Roman" w:hAnsi="Times New Roman"/>
          <w:sz w:val="12"/>
          <w:szCs w:val="12"/>
          <w:color w:val="auto"/>
        </w:rPr>
        <w:t>We maintain an allowance for credit losses for estimated losses resulting from th e inability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2"/>
          <w:szCs w:val="12"/>
          <w:color w:val="auto"/>
        </w:rPr>
        <w:t>our customers to make required payments. Our accounts receivable reserves were $1 ,097 and $535 at November 30, 2024 and November 25 , 2023 , respectively, representing 7. 7% and 3. 7% of our gross accounts receivable balances at those dates, respectively. The allowance for credit losses is based on a review of specifically identified customer accounts in addition to an overall aging analysis which is applied to accounts pooled on th e basis of similar ri sk characteristics. Judgm ents are made with respect to th e collectibility of accounts receivable within each pool based on hi storical experi ence, current payment practices and current economic trends based on our ex pectations over the expected life of the receivables, which is generally ninety days or less. Although actual losses have not differed materially from our previous estimates, future losses could differ from our current estimates. Unforeseen events such as a licensee or customer bankruptcy filing could have a material impact on our results of operations.</w:t>
      </w:r>
    </w:p>
    <w:p>
      <w:pPr>
        <w:spacing w:after="0" w:line="202" w:lineRule="exact"/>
        <w:rPr>
          <w:sz w:val="20"/>
          <w:szCs w:val="20"/>
          <w:color w:val="auto"/>
        </w:rPr>
      </w:pPr>
    </w:p>
    <w:p>
      <w:pPr>
        <w:sectPr>
          <w:pgSz w:w="15840" w:h="12240" w:orient="landscape"/>
          <w:cols w:equalWidth="0" w:num="2">
            <w:col w:w="7200" w:space="720"/>
            <w:col w:w="6460"/>
          </w:cols>
          <w:pgMar w:left="740" w:top="1440" w:right="720" w:bottom="919" w:gutter="0" w:footer="0" w:header="0"/>
        </w:sectPr>
      </w:pPr>
    </w:p>
    <w:p>
      <w:pPr>
        <w:spacing w:after="0" w:line="200" w:lineRule="exact"/>
        <w:rPr>
          <w:sz w:val="20"/>
          <w:szCs w:val="20"/>
          <w:color w:val="auto"/>
        </w:rPr>
      </w:pPr>
    </w:p>
    <w:p>
      <w:pPr>
        <w:spacing w:after="0" w:line="286" w:lineRule="exact"/>
        <w:rPr>
          <w:sz w:val="20"/>
          <w:szCs w:val="20"/>
          <w:color w:val="auto"/>
        </w:rPr>
      </w:pPr>
    </w:p>
    <w:p>
      <w:pPr>
        <w:ind w:left="3180"/>
        <w:spacing w:after="0"/>
        <w:tabs>
          <w:tab w:leader="none" w:pos="11080" w:val="left"/>
        </w:tabs>
        <w:rPr>
          <w:sz w:val="20"/>
          <w:szCs w:val="20"/>
          <w:color w:val="auto"/>
        </w:rPr>
      </w:pPr>
      <w:r>
        <w:rPr>
          <w:rFonts w:ascii="Arial" w:cs="Arial" w:eastAsia="Arial" w:hAnsi="Arial"/>
          <w:sz w:val="10"/>
          <w:szCs w:val="10"/>
          <w:color w:val="auto"/>
        </w:rPr>
        <w:t>II</w:t>
      </w:r>
      <w:r>
        <w:rPr>
          <w:sz w:val="20"/>
          <w:szCs w:val="20"/>
          <w:color w:val="auto"/>
        </w:rPr>
        <w:tab/>
      </w:r>
      <w:r>
        <w:rPr>
          <w:rFonts w:ascii="Times New Roman" w:cs="Times New Roman" w:eastAsia="Times New Roman" w:hAnsi="Times New Roman"/>
          <w:sz w:val="10"/>
          <w:szCs w:val="10"/>
          <w:color w:val="auto"/>
        </w:rPr>
        <w:t>12</w:t>
      </w:r>
    </w:p>
    <w:p>
      <w:pPr>
        <w:sectPr>
          <w:pgSz w:w="15840" w:h="12240" w:orient="landscape"/>
          <w:cols w:equalWidth="0" w:num="1">
            <w:col w:w="14380"/>
          </w:cols>
          <w:pgMar w:left="740" w:top="1440" w:right="720" w:bottom="919" w:gutter="0" w:footer="0" w:header="0"/>
          <w:type w:val="continuous"/>
        </w:sectPr>
      </w:pPr>
    </w:p>
    <w:bookmarkStart w:id="10" w:name="page11"/>
    <w:bookmarkEnd w:id="10"/>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0058400" cy="7772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ind w:right="1560" w:firstLine="6"/>
        <w:spacing w:after="0" w:line="227" w:lineRule="auto"/>
        <w:rPr>
          <w:sz w:val="20"/>
          <w:szCs w:val="20"/>
          <w:color w:val="auto"/>
        </w:rPr>
      </w:pPr>
      <w:r>
        <w:rPr>
          <w:rFonts w:ascii="Times New Roman" w:cs="Times New Roman" w:eastAsia="Times New Roman" w:hAnsi="Times New Roman"/>
          <w:sz w:val="13"/>
          <w:szCs w:val="13"/>
          <w:color w:val="auto"/>
        </w:rPr>
        <w:t xml:space="preserve">Management's Discussion and Analysis of Financial Condition and Results of Operations - Continued </w:t>
      </w:r>
      <w:r>
        <w:rPr>
          <w:rFonts w:ascii="Times New Roman" w:cs="Times New Roman" w:eastAsia="Times New Roman" w:hAnsi="Times New Roman"/>
          <w:sz w:val="12"/>
          <w:szCs w:val="12"/>
          <w:color w:val="auto"/>
        </w:rPr>
        <w:t>(Amounts in thousands except share and per share data)</w:t>
      </w:r>
    </w:p>
    <w:p>
      <w:pPr>
        <w:spacing w:after="0" w:line="166" w:lineRule="exact"/>
        <w:rPr>
          <w:sz w:val="20"/>
          <w:szCs w:val="20"/>
          <w:color w:val="auto"/>
        </w:rPr>
      </w:pPr>
    </w:p>
    <w:p>
      <w:pPr>
        <w:jc w:val="both"/>
        <w:ind w:right="760" w:hanging="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Inventories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Inventories accounted for under the first-in , first out ("FLFO") method are stated at the lower of cost or net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realizable value, and in ventory accounted for under the last-in , first out method (" LIFO") is stated at the lower of cost or market. Cost is detennined for domestic furniture in ventories, excluding outdoor furniture products, using the LIFO method. The cost of imported inventories, domestic outdoor furniture products and Noa Home product inventori es is determined on a FIFO basis. We estimate an inventory reserve for excess quantities and obsolete items based on speci fie identification and historical write-offs, taking into account future demand and market conditions. Our reserves for excess and obsolete in ventory were $5,395 and $5,183 at November 30, 2024 and November 25, 2023, respecti ve ly, representing 8.9% and 7.6%, respective ly, of our in ventories on a LIFO basis. I factual demand or market conditions in the future are less fa vorable than those estimated, additional inventory write-downs may be required.</w:t>
      </w:r>
    </w:p>
    <w:p>
      <w:pPr>
        <w:spacing w:after="0" w:line="150" w:lineRule="exact"/>
        <w:rPr>
          <w:sz w:val="20"/>
          <w:szCs w:val="20"/>
          <w:color w:val="auto"/>
        </w:rPr>
      </w:pPr>
    </w:p>
    <w:p>
      <w:pPr>
        <w:jc w:val="both"/>
        <w:ind w:right="760"/>
        <w:spacing w:after="0" w:line="259" w:lineRule="auto"/>
        <w:rPr>
          <w:sz w:val="20"/>
          <w:szCs w:val="20"/>
          <w:color w:val="auto"/>
        </w:rPr>
      </w:pPr>
      <w:r>
        <w:rPr>
          <w:rFonts w:ascii="Times New Roman" w:cs="Times New Roman" w:eastAsia="Times New Roman" w:hAnsi="Times New Roman"/>
          <w:sz w:val="12"/>
          <w:szCs w:val="12"/>
          <w:i w:val="1"/>
          <w:iCs w:val="1"/>
          <w:color w:val="auto"/>
        </w:rPr>
        <w:t xml:space="preserve">Goodwill - </w:t>
      </w:r>
      <w:r>
        <w:rPr>
          <w:rFonts w:ascii="Times New Roman" w:cs="Times New Roman" w:eastAsia="Times New Roman" w:hAnsi="Times New Roman"/>
          <w:sz w:val="12"/>
          <w:szCs w:val="12"/>
          <w:color w:val="auto"/>
        </w:rPr>
        <w:t>Goodwill represents the excess of the fair va lue of consideration given over the fair va lue of the tangible assets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liabilities and identifiable intangible assets of businesses acquired. The acquisition of assets and liabilities and the resulting good will is allocated to the respective reporting unit: Wood, Upholstery, Retail - Company-Owned Stores, and Noa Home. We rev iew goodwill at the reporting unit leve l annually for impairment or more frequentl y if events or circumstances indicate that assets might be impaired.</w:t>
      </w:r>
    </w:p>
    <w:p>
      <w:pPr>
        <w:spacing w:after="0" w:line="153" w:lineRule="exact"/>
        <w:rPr>
          <w:sz w:val="20"/>
          <w:szCs w:val="20"/>
          <w:color w:val="auto"/>
        </w:rPr>
      </w:pPr>
    </w:p>
    <w:p>
      <w:pPr>
        <w:jc w:val="both"/>
        <w:ind w:right="740" w:firstLine="9"/>
        <w:spacing w:after="0" w:line="258" w:lineRule="auto"/>
        <w:rPr>
          <w:sz w:val="20"/>
          <w:szCs w:val="20"/>
          <w:color w:val="auto"/>
        </w:rPr>
      </w:pPr>
      <w:r>
        <w:rPr>
          <w:rFonts w:ascii="Times New Roman" w:cs="Times New Roman" w:eastAsia="Times New Roman" w:hAnsi="Times New Roman"/>
          <w:sz w:val="12"/>
          <w:szCs w:val="12"/>
          <w:color w:val="auto"/>
        </w:rPr>
        <w:t xml:space="preserve">In accordance with ASC Topic 350, </w:t>
      </w:r>
      <w:r>
        <w:rPr>
          <w:rFonts w:ascii="Times New Roman" w:cs="Times New Roman" w:eastAsia="Times New Roman" w:hAnsi="Times New Roman"/>
          <w:sz w:val="12"/>
          <w:szCs w:val="12"/>
          <w:i w:val="1"/>
          <w:iCs w:val="1"/>
          <w:color w:val="auto"/>
        </w:rPr>
        <w:t>Intangibles - Goodwill</w:t>
      </w:r>
      <w:r>
        <w:rPr>
          <w:rFonts w:ascii="Times New Roman" w:cs="Times New Roman" w:eastAsia="Times New Roman" w:hAnsi="Times New Roman"/>
          <w:sz w:val="12"/>
          <w:szCs w:val="12"/>
          <w:color w:val="auto"/>
        </w:rPr>
        <w:t xml:space="preserve"> </w:t>
      </w:r>
      <w:r>
        <w:rPr>
          <w:rFonts w:ascii="Arial" w:cs="Arial" w:eastAsia="Arial" w:hAnsi="Arial"/>
          <w:sz w:val="11"/>
          <w:szCs w:val="11"/>
          <w:i w:val="1"/>
          <w:iCs w:val="1"/>
          <w:color w:val="auto"/>
        </w:rPr>
        <w:t>&amp;</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Other,</w:t>
      </w:r>
      <w:r>
        <w:rPr>
          <w:rFonts w:ascii="Times New Roman" w:cs="Times New Roman" w:eastAsia="Times New Roman" w:hAnsi="Times New Roman"/>
          <w:sz w:val="12"/>
          <w:szCs w:val="12"/>
          <w:color w:val="auto"/>
        </w:rPr>
        <w:t xml:space="preserve"> we first assess qualitative factors to determine whether it is more likely than not that the fair va lue of a reporting unit is less than its carrying amount as a basis for determining whether it is necessary to perform the quantitative goodw ill impairment test described in ASC Topic 350 (as amended by Accounting Standards Update No. 2017-04, </w:t>
      </w:r>
      <w:r>
        <w:rPr>
          <w:rFonts w:ascii="Times New Roman" w:cs="Times New Roman" w:eastAsia="Times New Roman" w:hAnsi="Times New Roman"/>
          <w:sz w:val="12"/>
          <w:szCs w:val="12"/>
          <w:i w:val="1"/>
          <w:iCs w:val="1"/>
          <w:color w:val="auto"/>
        </w:rPr>
        <w:t>Intangibles - Goodwill and Other (Topic 350): SimplifYing the Test f or Goodwill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Impairment). </w:t>
      </w:r>
      <w:r>
        <w:rPr>
          <w:rFonts w:ascii="Times New Roman" w:cs="Times New Roman" w:eastAsia="Times New Roman" w:hAnsi="Times New Roman"/>
          <w:sz w:val="12"/>
          <w:szCs w:val="12"/>
          <w:color w:val="auto"/>
        </w:rPr>
        <w:t>The more likely than not threshold is defin ed as having a likelihood of more than 50 percent. If, after assessing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totality of events or circumstances, we determine that it is not more likely than not that the fair va lue of a reporting unit is less than its carrying amount, then performing the quantitati ve impairment test is unnecessary and our good will is considered to be unimpaired. However, if based on our qualitative assessment we conclude that it is more likely than not that the fair va lue of a reportin g unit is less than its carrying amount, we will proceed with perfonning the quantitative evaluation process. For th e annual test of goodwill performed as of th e beg inning of th e fourth quarter of fi scal 2024, we perfonned th e qualitative assessment as described above with respect to our upholstery reporting unit and concluded that there was no impairment of the goodwill allocated to that reporting unit as of November 30, 2024. For the annual test of the goodwill performed as of th e beg inning of the fourth quarter offiscal2023, we concluded that th ere was no impairment of the goodwill allocated to our uphol stery reporting unit, however with respect to our Noa Home reporting unit, we proceeded to the quantitative test and concluded that the goodwill allocated to that reporting unit as of November 25, 2023 was full y impaired as th e difficult environm ent for companies selling furniture on the web resulted in Noa !-lom e performing well below initial proj ections and expectations. For th e annual test of goodwill perform ed as of the beg inning of the fourth fi scal quarter of 2022, we perform ed the qualitative assessment as described above and concluded that there was no impairment of our goodwill as of November 26, 2022.</w:t>
      </w:r>
    </w:p>
    <w:p>
      <w:pPr>
        <w:spacing w:after="0" w:line="306" w:lineRule="exact"/>
        <w:rPr>
          <w:sz w:val="20"/>
          <w:szCs w:val="20"/>
          <w:color w:val="auto"/>
        </w:rPr>
      </w:pPr>
    </w:p>
    <w:p>
      <w:pPr>
        <w:jc w:val="both"/>
        <w:ind w:right="760" w:firstLine="10"/>
        <w:spacing w:after="0" w:line="258" w:lineRule="auto"/>
        <w:rPr>
          <w:sz w:val="20"/>
          <w:szCs w:val="20"/>
          <w:color w:val="auto"/>
        </w:rPr>
      </w:pPr>
      <w:r>
        <w:rPr>
          <w:rFonts w:ascii="Times New Roman" w:cs="Times New Roman" w:eastAsia="Times New Roman" w:hAnsi="Times New Roman"/>
          <w:sz w:val="12"/>
          <w:szCs w:val="12"/>
          <w:color w:val="auto"/>
        </w:rPr>
        <w:t xml:space="preserve">The quantitative eva luation compares the carrying value of each reporting unit that has goodwill with th e estimated fair value of the respective reporting unit. Should th e carrying value of a reporting unit be in excess of th e estimated fair value of that reporting unit, a goodwill impainnent charge will be recognized in th e amount by which the reporting unit' s carrying amount exceeds its fair value, but not to exceed th e total goodwill assigned to the reporting unit. The determination of th e fair value of our reporting units is based on a combination of a market approach, that considers benchmark company market multiples, an income approach, that utili zes discounted cash flows for each reporting unit and other Level 3 inputs as spec ifi ed in th e fair value hierarchy in ASC Topic 820, </w:t>
      </w:r>
      <w:r>
        <w:rPr>
          <w:rFonts w:ascii="Times New Roman" w:cs="Times New Roman" w:eastAsia="Times New Roman" w:hAnsi="Times New Roman"/>
          <w:sz w:val="12"/>
          <w:szCs w:val="12"/>
          <w:i w:val="1"/>
          <w:iCs w:val="1"/>
          <w:color w:val="auto"/>
        </w:rPr>
        <w:t>Fair Valu e Measurements and Disclosure,</w:t>
      </w:r>
      <w:r>
        <w:rPr>
          <w:rFonts w:ascii="Times New Roman" w:cs="Times New Roman" w:eastAsia="Times New Roman" w:hAnsi="Times New Roman"/>
          <w:sz w:val="12"/>
          <w:szCs w:val="12"/>
          <w:color w:val="auto"/>
        </w:rPr>
        <w:t xml:space="preserve"> and, in the case of our retail reporting unit, a cost approach that utilizes estimates of net asset value. Th e cash flows used to determin e fair value are depend ent on a number of significant managem ent assumptions such as our expectations of future performance and the expected future economic environm ent, which are partly based upon our historical experi ence. Our estimates are subj ect to change given th e inh erent uncertainty in predicting future results. Additionally, the di scount rate and the terminal growth rate are based on our judgment of the rates that would be utili zed by a hypothetical market participant. As part of the goodwill impainnent testing, we al so consider our market capitalization in assessing th e reasonablen ess of th e combined fair values estimated for our reporting uni ts . While we believe such assumptions and estimates are reasonabl e, th e actual results may differ materially from the proj ected amounts.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820" w:firstLine="6"/>
        <w:spacing w:after="0" w:line="231" w:lineRule="auto"/>
        <w:rPr>
          <w:sz w:val="20"/>
          <w:szCs w:val="20"/>
          <w:color w:val="auto"/>
        </w:rPr>
      </w:pPr>
      <w:r>
        <w:rPr>
          <w:rFonts w:ascii="Times New Roman" w:cs="Times New Roman" w:eastAsia="Times New Roman" w:hAnsi="Times New Roman"/>
          <w:sz w:val="13"/>
          <w:szCs w:val="13"/>
          <w:color w:val="auto"/>
        </w:rPr>
        <w:t xml:space="preserve">Management's Discussion and Analysis of Financial Condition and Results of Operations - Continued </w:t>
      </w:r>
      <w:r>
        <w:rPr>
          <w:rFonts w:ascii="Times New Roman" w:cs="Times New Roman" w:eastAsia="Times New Roman" w:hAnsi="Times New Roman"/>
          <w:sz w:val="12"/>
          <w:szCs w:val="12"/>
          <w:color w:val="auto"/>
        </w:rPr>
        <w:t>(Amounts in thou sand s except share and per share data)</w:t>
      </w:r>
    </w:p>
    <w:p>
      <w:pPr>
        <w:spacing w:after="0" w:line="16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Other Intangible Assets - </w:t>
      </w:r>
      <w:r>
        <w:rPr>
          <w:rFonts w:ascii="Times New Roman" w:cs="Times New Roman" w:eastAsia="Times New Roman" w:hAnsi="Times New Roman"/>
          <w:sz w:val="12"/>
          <w:szCs w:val="12"/>
          <w:color w:val="auto"/>
        </w:rPr>
        <w:t>Intangible assets acquired in a business combination and determined to have an indefinite useful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life are not amortized but are tested for impairment annually or between annual tests when an impairment indicator exists. The recoverability of indefinite-li ved intangible assets is assessed by comparison of the carrying va lue of the asset to its estimated fair va lue. If we determine that the carrying value of the asset exceeds its estimated fair va lue, an impairment loss equal to the excess wo uld be recorded. During fiscal 2024, as a result of our decision to cease operations at Noa Home, we recognized a charge of $1 ,827 to full y impair the Noa Home trade name intangible asset. At November 30, 2024, our indefinite-li ved intangible asset other than goodwill consisted of the trade name acquired in the acquisition of Lane Venture and had a carrying va lue of$6,848.</w:t>
      </w:r>
    </w:p>
    <w:p>
      <w:pPr>
        <w:spacing w:after="0" w:line="301" w:lineRule="exact"/>
        <w:rPr>
          <w:sz w:val="20"/>
          <w:szCs w:val="20"/>
          <w:color w:val="auto"/>
        </w:rPr>
      </w:pPr>
    </w:p>
    <w:p>
      <w:pPr>
        <w:jc w:val="both"/>
        <w:ind w:firstLine="5"/>
        <w:spacing w:after="0" w:line="258" w:lineRule="auto"/>
        <w:rPr>
          <w:sz w:val="20"/>
          <w:szCs w:val="20"/>
          <w:color w:val="auto"/>
        </w:rPr>
      </w:pPr>
      <w:r>
        <w:rPr>
          <w:rFonts w:ascii="Times New Roman" w:cs="Times New Roman" w:eastAsia="Times New Roman" w:hAnsi="Times New Roman"/>
          <w:sz w:val="12"/>
          <w:szCs w:val="12"/>
          <w:color w:val="auto"/>
        </w:rPr>
        <w:t>Definite-lived intangible assets are amortized over their respecti ve estimated use ful li ves and reviewed for impairment whenever events or changes in circumstances indicate that their carrying amounts may not be recoverable. We estimate the useful li ves of our intangible assets and ratably amorti ze the va lue over the estimated useful lives of those assets. If the estimates of the useful lives should change, we will amortize the remaining book va lue over the remaining useful li ves or, if an asset is deemed to be impaired, a write-down of the va lue of the asset may be required at such time. At November 30, 2024 our definite-lived intangible assets consist of customer relation ships acquired in the acquisition of Lane Venture with a carrying va lue of$120.</w:t>
      </w:r>
    </w:p>
    <w:p>
      <w:pPr>
        <w:spacing w:after="0" w:line="300" w:lineRule="exact"/>
        <w:rPr>
          <w:sz w:val="20"/>
          <w:szCs w:val="20"/>
          <w:color w:val="auto"/>
        </w:rPr>
      </w:pPr>
    </w:p>
    <w:p>
      <w:pPr>
        <w:jc w:val="both"/>
        <w:ind w:hanging="1"/>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Impairment of Long-Lived Assets - </w:t>
      </w:r>
      <w:r>
        <w:rPr>
          <w:rFonts w:ascii="Times New Roman" w:cs="Times New Roman" w:eastAsia="Times New Roman" w:hAnsi="Times New Roman"/>
          <w:sz w:val="12"/>
          <w:szCs w:val="12"/>
          <w:color w:val="auto"/>
        </w:rPr>
        <w:t>We periodically evaluate whether events or circumstances have occurred that indicate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lon g-li ved assets may not be recoverable or that the remainin g use ful life may warrant revision. When such events or circumstances are present, we assess the recoverability of long-li ved assets by determinin g whether the carrying value will be recovered through the expected undi scounted future cash flows resulting from the use of th e asset. In the event the sum of the expected undi scounted future cash flows is less than the carrying va lue of the asset, an impainnent loss equal to the excess of the asset' s carrying va lue over its fair va lue is recorded. When analyzing our real estate properties for potential impairment, we consider such qualitative factors as our experience in leasin g and selling rea l estate properties as well as specific site and local market characteristics. Upon the closure of a Bassett Home Furnishings store, we generally write off all tenant improvements which are only suitable for use in such a store. Right of use assets und er operating leases are written down to their estimated fair value. Our estimates of th e fair value of th e impaired right of use assets include estimates of discounted cash flows based upon current market rents and other inputs which we consider to be Leve l 3 inputs as specified in the fair value hierarchy in ASC Topic 820, Fair Value Measurement and Disclosure.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Recent Accouutiug Prououucemeuts</w:t>
      </w:r>
    </w:p>
    <w:p>
      <w:pPr>
        <w:spacing w:after="0" w:line="160" w:lineRule="exact"/>
        <w:rPr>
          <w:sz w:val="20"/>
          <w:szCs w:val="20"/>
          <w:color w:val="auto"/>
        </w:rPr>
      </w:pPr>
    </w:p>
    <w:p>
      <w:pPr>
        <w:ind w:right="20" w:firstLine="2"/>
        <w:spacing w:after="0" w:line="254" w:lineRule="auto"/>
        <w:rPr>
          <w:sz w:val="20"/>
          <w:szCs w:val="20"/>
          <w:color w:val="auto"/>
        </w:rPr>
      </w:pPr>
      <w:r>
        <w:rPr>
          <w:rFonts w:ascii="Times New Roman" w:cs="Times New Roman" w:eastAsia="Times New Roman" w:hAnsi="Times New Roman"/>
          <w:sz w:val="12"/>
          <w:szCs w:val="12"/>
          <w:color w:val="auto"/>
        </w:rPr>
        <w:t>See Note 2 to our Conso lidated Financial Statements regarding th e impact or potential impact of recent accounting pronouncements upon our financial position and results of operations.</w:t>
      </w:r>
    </w:p>
    <w:p>
      <w:pPr>
        <w:spacing w:after="0" w:line="2579" w:lineRule="exact"/>
        <w:rPr>
          <w:sz w:val="20"/>
          <w:szCs w:val="20"/>
          <w:color w:val="auto"/>
        </w:rPr>
      </w:pPr>
    </w:p>
    <w:p>
      <w:pPr>
        <w:sectPr>
          <w:pgSz w:w="15840" w:h="12240" w:orient="landscape"/>
          <w:cols w:equalWidth="0" w:num="2">
            <w:col w:w="7200" w:space="720"/>
            <w:col w:w="6460"/>
          </w:cols>
          <w:pgMar w:left="740" w:top="1440" w:right="720" w:bottom="9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180"/>
        <w:spacing w:after="0"/>
        <w:tabs>
          <w:tab w:leader="none" w:pos="11080" w:val="left"/>
        </w:tabs>
        <w:rPr>
          <w:sz w:val="20"/>
          <w:szCs w:val="20"/>
          <w:color w:val="auto"/>
        </w:rPr>
      </w:pPr>
      <w:r>
        <w:rPr>
          <w:rFonts w:ascii="Times New Roman" w:cs="Times New Roman" w:eastAsia="Times New Roman" w:hAnsi="Times New Roman"/>
          <w:sz w:val="10"/>
          <w:szCs w:val="10"/>
          <w:color w:val="auto"/>
        </w:rPr>
        <w:t>13</w:t>
      </w:r>
      <w:r>
        <w:rPr>
          <w:sz w:val="20"/>
          <w:szCs w:val="20"/>
          <w:color w:val="auto"/>
        </w:rPr>
        <w:tab/>
      </w:r>
      <w:r>
        <w:rPr>
          <w:rFonts w:ascii="Times New Roman" w:cs="Times New Roman" w:eastAsia="Times New Roman" w:hAnsi="Times New Roman"/>
          <w:sz w:val="10"/>
          <w:szCs w:val="10"/>
          <w:color w:val="auto"/>
        </w:rPr>
        <w:t>14</w:t>
      </w:r>
    </w:p>
    <w:p>
      <w:pPr>
        <w:sectPr>
          <w:pgSz w:w="15840" w:h="12240" w:orient="landscape"/>
          <w:cols w:equalWidth="0" w:num="1">
            <w:col w:w="14380"/>
          </w:cols>
          <w:pgMar w:left="740" w:top="1440" w:right="720" w:bottom="918" w:gutter="0" w:footer="0" w:header="0"/>
          <w:type w:val="continuous"/>
        </w:sectPr>
      </w:pPr>
    </w:p>
    <w:bookmarkStart w:id="11" w:name="page12"/>
    <w:bookmarkEnd w:id="11"/>
    <w:p>
      <w:pPr>
        <w:spacing w:after="0" w:line="2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0058400" cy="7772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QUANTITATIVE AND QUALITATIVE DISCLOSURES ABOUT MARKET RISK</w:t>
      </w:r>
    </w:p>
    <w:p>
      <w:pPr>
        <w:spacing w:after="0" w:line="167" w:lineRule="exact"/>
        <w:rPr>
          <w:sz w:val="20"/>
          <w:szCs w:val="20"/>
          <w:color w:val="auto"/>
        </w:rPr>
      </w:pPr>
    </w:p>
    <w:p>
      <w:pPr>
        <w:jc w:val="both"/>
        <w:ind w:right="740" w:firstLine="6"/>
        <w:spacing w:after="0" w:line="256" w:lineRule="auto"/>
        <w:rPr>
          <w:sz w:val="20"/>
          <w:szCs w:val="20"/>
          <w:color w:val="auto"/>
        </w:rPr>
      </w:pPr>
      <w:r>
        <w:rPr>
          <w:rFonts w:ascii="Times New Roman" w:cs="Times New Roman" w:eastAsia="Times New Roman" w:hAnsi="Times New Roman"/>
          <w:sz w:val="12"/>
          <w:szCs w:val="12"/>
          <w:color w:val="auto"/>
        </w:rPr>
        <w:t xml:space="preserve">We are exposed to market ri sk </w:t>
      </w:r>
      <w:r>
        <w:rPr>
          <w:rFonts w:ascii="Arial" w:cs="Arial" w:eastAsia="Arial" w:hAnsi="Arial"/>
          <w:sz w:val="11"/>
          <w:szCs w:val="11"/>
          <w:i w:val="1"/>
          <w:iCs w:val="1"/>
          <w:color w:val="auto"/>
        </w:rPr>
        <w:t>from</w:t>
      </w:r>
      <w:r>
        <w:rPr>
          <w:rFonts w:ascii="Times New Roman" w:cs="Times New Roman" w:eastAsia="Times New Roman" w:hAnsi="Times New Roman"/>
          <w:sz w:val="12"/>
          <w:szCs w:val="12"/>
          <w:color w:val="auto"/>
        </w:rPr>
        <w:t xml:space="preserve"> changes in the va lue of foreign currencies. Substantially all of our purchases outside of North America are denominated in U.S. dollars. Therefore, we believe that gains or losses resulting </w:t>
      </w:r>
      <w:r>
        <w:rPr>
          <w:rFonts w:ascii="Arial" w:cs="Arial" w:eastAsia="Arial" w:hAnsi="Arial"/>
          <w:sz w:val="11"/>
          <w:szCs w:val="11"/>
          <w:i w:val="1"/>
          <w:iCs w:val="1"/>
          <w:color w:val="auto"/>
        </w:rPr>
        <w:t>from</w:t>
      </w:r>
      <w:r>
        <w:rPr>
          <w:rFonts w:ascii="Times New Roman" w:cs="Times New Roman" w:eastAsia="Times New Roman" w:hAnsi="Times New Roman"/>
          <w:sz w:val="12"/>
          <w:szCs w:val="12"/>
          <w:color w:val="auto"/>
        </w:rPr>
        <w:t xml:space="preserve"> changes </w:t>
      </w:r>
      <w:r>
        <w:rPr>
          <w:rFonts w:ascii="Arial" w:cs="Arial" w:eastAsia="Arial" w:hAnsi="Arial"/>
          <w:sz w:val="12"/>
          <w:szCs w:val="12"/>
          <w:color w:val="auto"/>
        </w:rPr>
        <w:t>in</w:t>
      </w:r>
      <w:r>
        <w:rPr>
          <w:rFonts w:ascii="Times New Roman" w:cs="Times New Roman" w:eastAsia="Times New Roman" w:hAnsi="Times New Roman"/>
          <w:sz w:val="12"/>
          <w:szCs w:val="12"/>
          <w:color w:val="auto"/>
        </w:rPr>
        <w:t xml:space="preserve"> the va lue of foreign currencies relating to foreign purchases not denominated in U.S. dollars would not be material to our results from operations in fi scal 2024. We were al so exposed to foreign currency market ri sk through our in vestment in Noa Home. Our investment </w:t>
      </w:r>
      <w:r>
        <w:rPr>
          <w:rFonts w:ascii="Arial" w:cs="Arial" w:eastAsia="Arial" w:hAnsi="Arial"/>
          <w:sz w:val="12"/>
          <w:szCs w:val="12"/>
          <w:color w:val="auto"/>
        </w:rPr>
        <w:t>in</w:t>
      </w:r>
      <w:r>
        <w:rPr>
          <w:rFonts w:ascii="Times New Roman" w:cs="Times New Roman" w:eastAsia="Times New Roman" w:hAnsi="Times New Roman"/>
          <w:sz w:val="12"/>
          <w:szCs w:val="12"/>
          <w:color w:val="auto"/>
        </w:rPr>
        <w:t xml:space="preserve"> Noa Home was subject to changes </w:t>
      </w:r>
      <w:r>
        <w:rPr>
          <w:rFonts w:ascii="Arial" w:cs="Arial" w:eastAsia="Arial" w:hAnsi="Arial"/>
          <w:sz w:val="12"/>
          <w:szCs w:val="12"/>
          <w:color w:val="auto"/>
        </w:rPr>
        <w:t>in</w:t>
      </w:r>
      <w:r>
        <w:rPr>
          <w:rFonts w:ascii="Times New Roman" w:cs="Times New Roman" w:eastAsia="Times New Roman" w:hAnsi="Times New Roman"/>
          <w:sz w:val="12"/>
          <w:szCs w:val="12"/>
          <w:color w:val="auto"/>
        </w:rPr>
        <w:t xml:space="preserve"> the va lue of the Canadian dollar versus the U.S. dollar. Additionall y, Noa Home was exposed to other local currency fluctuation risk through its operations in Australia, Singapore, the United States and the United Kingdom. During fiscal 2024, we recognized a charge of$962 resultin g from the reali zation ofNoa Home's cumulative tran slation losses that were previously carried in accumulated other comprehensive income.</w:t>
      </w:r>
    </w:p>
    <w:p>
      <w:pPr>
        <w:spacing w:after="0" w:line="160" w:lineRule="exact"/>
        <w:rPr>
          <w:sz w:val="20"/>
          <w:szCs w:val="20"/>
          <w:color w:val="auto"/>
        </w:rPr>
      </w:pPr>
    </w:p>
    <w:p>
      <w:pPr>
        <w:jc w:val="both"/>
        <w:ind w:right="760" w:firstLine="5"/>
        <w:spacing w:after="0" w:line="256" w:lineRule="auto"/>
        <w:rPr>
          <w:sz w:val="20"/>
          <w:szCs w:val="20"/>
          <w:color w:val="auto"/>
        </w:rPr>
      </w:pPr>
      <w:r>
        <w:rPr>
          <w:rFonts w:ascii="Times New Roman" w:cs="Times New Roman" w:eastAsia="Times New Roman" w:hAnsi="Times New Roman"/>
          <w:sz w:val="12"/>
          <w:szCs w:val="12"/>
          <w:color w:val="auto"/>
        </w:rPr>
        <w:t>We are exposed to market risk from changes in the cost of raw materials used in our manufacturing processes, principally wood, woven fabric, and foam products. The cost of foam products, which are petroleum-based, is sensiti ve to changes in the prices of oil and refmed petroleum materials.</w:t>
      </w:r>
    </w:p>
    <w:p>
      <w:pPr>
        <w:spacing w:after="0" w:line="149" w:lineRule="exact"/>
        <w:rPr>
          <w:sz w:val="20"/>
          <w:szCs w:val="20"/>
          <w:color w:val="auto"/>
        </w:rPr>
      </w:pPr>
    </w:p>
    <w:p>
      <w:pPr>
        <w:jc w:val="both"/>
        <w:ind w:right="760" w:firstLine="6"/>
        <w:spacing w:after="0" w:line="260" w:lineRule="auto"/>
        <w:rPr>
          <w:sz w:val="20"/>
          <w:szCs w:val="20"/>
          <w:color w:val="auto"/>
        </w:rPr>
      </w:pPr>
      <w:r>
        <w:rPr>
          <w:rFonts w:ascii="Times New Roman" w:cs="Times New Roman" w:eastAsia="Times New Roman" w:hAnsi="Times New Roman"/>
          <w:sz w:val="12"/>
          <w:szCs w:val="12"/>
          <w:color w:val="auto"/>
        </w:rPr>
        <w:t>We are also exposed to commodity price ri sk related to diesel fuel prices for fuel used in our retail segment for home delivery as well as through amounts we are charged for logistical services by our service providers. We manage our exposure to that ri sk primarily through the application of fuel surcharges to our customers.</w:t>
      </w:r>
    </w:p>
    <w:p>
      <w:pPr>
        <w:spacing w:after="0" w:line="146" w:lineRule="exact"/>
        <w:rPr>
          <w:sz w:val="20"/>
          <w:szCs w:val="20"/>
          <w:color w:val="auto"/>
        </w:rPr>
      </w:pPr>
    </w:p>
    <w:p>
      <w:pPr>
        <w:jc w:val="both"/>
        <w:ind w:right="760" w:firstLine="9"/>
        <w:spacing w:after="0" w:line="259" w:lineRule="auto"/>
        <w:rPr>
          <w:sz w:val="20"/>
          <w:szCs w:val="20"/>
          <w:color w:val="auto"/>
        </w:rPr>
      </w:pPr>
      <w:r>
        <w:rPr>
          <w:rFonts w:ascii="Times New Roman" w:cs="Times New Roman" w:eastAsia="Times New Roman" w:hAnsi="Times New Roman"/>
          <w:sz w:val="12"/>
          <w:szCs w:val="12"/>
          <w:color w:val="auto"/>
        </w:rPr>
        <w:t>We have potential exposure to market ri sk related to conditions in the commercial real estate market. Our retail real estate holdings of$24, 127 and $24,279 at November 30, 2024 and November 25, 2023, respecti ve ly, for Company-owned stores, consisting of eight locations with a total of203,465 square feet of space, could suffer significant impairment in value if we are forced to close additional stores and se ll or lease the related properties durin g periods of weakness in certain markets. Additionally, if we are required to assume responsibility for payment underthe lease obligations of$5, 131 and $1,845 which we have guaranteed on behalf of licensees as of November 30, 2024 and November 25, 2023, respecti ve ly, we may not be able to sec ure sufficient sub-lease income in the current market to offset the payments required under the guarantees . We are also exposed to ri sk related to conditions in the commercial real estate rental market with respect to the ri ght-of-use assets we carry on our balance sheet for leased retail store locations and warehouse faciliti es. At November 30, 2024, th e unamorti zed balance of such ri ght-of-use assets total ed $93,472. Should we have to close or otherwise abandon one of these leased locations, we could incur additional impairment charges if rental market conditions do not support a fair va lue for the ri ght of use asset in excess of its carrying va lue.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ind w:firstLine="236"/>
        <w:spacing w:after="0" w:line="235" w:lineRule="auto"/>
        <w:rPr>
          <w:sz w:val="20"/>
          <w:szCs w:val="20"/>
          <w:color w:val="auto"/>
        </w:rPr>
      </w:pPr>
      <w:r>
        <w:rPr>
          <w:rFonts w:ascii="Times New Roman" w:cs="Times New Roman" w:eastAsia="Times New Roman" w:hAnsi="Times New Roman"/>
          <w:sz w:val="13"/>
          <w:szCs w:val="13"/>
          <w:i w:val="1"/>
          <w:iCs w:val="1"/>
          <w:color w:val="auto"/>
        </w:rPr>
        <w:t>As used herein, unless the context otherwise requires, "Bassett," the "Company," "we," "us" and "our" refer to Bassett Furniture i ndustries, incorporated and its subsidiaries. References to 2024, 2023 and 2022 mean the fiscal years ended November 30, 2024, November 25,2023 and November 26, 2022. Please note that fiscal 2024 contained 53 weeks while fiscal 2023 and 2022 each contained 52 weeks.</w:t>
      </w:r>
    </w:p>
    <w:p>
      <w:pPr>
        <w:spacing w:after="0" w:line="30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2"/>
          <w:szCs w:val="12"/>
          <w:color w:val="auto"/>
        </w:rPr>
        <w:t>SAFE-HARBOR, FORWARD-LOOKING STATEMENTS</w:t>
      </w:r>
    </w:p>
    <w:p>
      <w:pPr>
        <w:spacing w:after="0" w:line="162" w:lineRule="exact"/>
        <w:rPr>
          <w:sz w:val="20"/>
          <w:szCs w:val="20"/>
          <w:color w:val="auto"/>
        </w:rPr>
      </w:pPr>
    </w:p>
    <w:p>
      <w:pPr>
        <w:jc w:val="both"/>
        <w:ind w:firstLine="1"/>
        <w:spacing w:after="0" w:line="258" w:lineRule="auto"/>
        <w:rPr>
          <w:sz w:val="20"/>
          <w:szCs w:val="20"/>
          <w:color w:val="auto"/>
        </w:rPr>
      </w:pPr>
      <w:r>
        <w:rPr>
          <w:rFonts w:ascii="Times New Roman" w:cs="Times New Roman" w:eastAsia="Times New Roman" w:hAnsi="Times New Roman"/>
          <w:sz w:val="12"/>
          <w:szCs w:val="12"/>
          <w:color w:val="auto"/>
        </w:rPr>
        <w:t xml:space="preserve">This report contains certain forward-lookin g statements within the meanin g of the Pri vate Securities Liti gation Reform Act of 1995 with respect to the fmancial condition, results of operations and business of Bassett Furniture Industries, Incorporated and subsidiaries. Such forward-looking statements are identified by use of forward-looking words such as "anticipates", "believes", "plans", "estimates", "expects", "aimed" and " intends" or words or phrases of similar expression. These forward-lookjng statements in vo lve certain ri sks and uncertainties. No assurance can be given that any such matters will be realized. Important factors, which should be read in conjunction with Item lA "Risk Factors", that could cause actual results to differ materiall y </w:t>
      </w:r>
      <w:r>
        <w:rPr>
          <w:rFonts w:ascii="Arial" w:cs="Arial" w:eastAsia="Arial" w:hAnsi="Arial"/>
          <w:sz w:val="11"/>
          <w:szCs w:val="11"/>
          <w:i w:val="1"/>
          <w:iCs w:val="1"/>
          <w:color w:val="auto"/>
        </w:rPr>
        <w:t>from</w:t>
      </w:r>
      <w:r>
        <w:rPr>
          <w:rFonts w:ascii="Times New Roman" w:cs="Times New Roman" w:eastAsia="Times New Roman" w:hAnsi="Times New Roman"/>
          <w:sz w:val="12"/>
          <w:szCs w:val="12"/>
          <w:color w:val="auto"/>
        </w:rPr>
        <w:t xml:space="preserve"> those contemplated by such forward-lookjng statements include:</w:t>
      </w:r>
    </w:p>
    <w:p>
      <w:pPr>
        <w:spacing w:after="0" w:line="157" w:lineRule="exact"/>
        <w:rPr>
          <w:sz w:val="20"/>
          <w:szCs w:val="20"/>
          <w:color w:val="auto"/>
        </w:rPr>
      </w:pPr>
    </w:p>
    <w:p>
      <w:pPr>
        <w:jc w:val="both"/>
        <w:ind w:left="500" w:hanging="244"/>
        <w:spacing w:after="0" w:line="252" w:lineRule="auto"/>
        <w:tabs>
          <w:tab w:leader="none" w:pos="504"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fluctuation s in the cost and availability of raw material s, fuel , labor, deli very costs and sourced products, including those which may result </w:t>
      </w:r>
      <w:r>
        <w:rPr>
          <w:rFonts w:ascii="Arial" w:cs="Arial" w:eastAsia="Arial" w:hAnsi="Arial"/>
          <w:sz w:val="11"/>
          <w:szCs w:val="11"/>
          <w:i w:val="1"/>
          <w:iCs w:val="1"/>
          <w:color w:val="auto"/>
        </w:rPr>
        <w:t>from</w:t>
      </w:r>
      <w:r>
        <w:rPr>
          <w:rFonts w:ascii="Times New Roman" w:cs="Times New Roman" w:eastAsia="Times New Roman" w:hAnsi="Times New Roman"/>
          <w:sz w:val="12"/>
          <w:szCs w:val="12"/>
          <w:color w:val="auto"/>
        </w:rPr>
        <w:t xml:space="preserve"> supply chain di sruptions and shortages and the imposition of new or increased duties, tariffs, retaliatory tariffs and trade limitations w ith respect to foreign- sourced products</w:t>
      </w:r>
    </w:p>
    <w:p>
      <w:pPr>
        <w:spacing w:after="0" w:line="157" w:lineRule="exact"/>
        <w:rPr>
          <w:rFonts w:ascii="Times New Roman" w:cs="Times New Roman" w:eastAsia="Times New Roman" w:hAnsi="Times New Roman"/>
          <w:sz w:val="12"/>
          <w:szCs w:val="12"/>
          <w:color w:val="auto"/>
        </w:rPr>
      </w:pPr>
    </w:p>
    <w:p>
      <w:pPr>
        <w:ind w:left="500" w:hanging="244"/>
        <w:spacing w:after="0"/>
        <w:tabs>
          <w:tab w:leader="none" w:pos="50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competitive conditions in the home furni shin gs industry</w:t>
      </w:r>
    </w:p>
    <w:p>
      <w:pPr>
        <w:spacing w:after="0" w:line="191" w:lineRule="exact"/>
        <w:rPr>
          <w:rFonts w:ascii="Times New Roman" w:cs="Times New Roman" w:eastAsia="Times New Roman" w:hAnsi="Times New Roman"/>
          <w:sz w:val="12"/>
          <w:szCs w:val="12"/>
          <w:color w:val="auto"/>
        </w:rPr>
      </w:pPr>
    </w:p>
    <w:p>
      <w:pPr>
        <w:ind w:left="500" w:right="980" w:hanging="244"/>
        <w:spacing w:after="0" w:line="563" w:lineRule="auto"/>
        <w:tabs>
          <w:tab w:leader="none" w:pos="50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overall retail traffic levels in stores and on the web and consumer demand for home furni shin gs ability of our customers and consumers to obtain affordable credit due to increased interest rates</w:t>
      </w:r>
    </w:p>
    <w:p>
      <w:pPr>
        <w:spacing w:after="0" w:line="5" w:lineRule="exact"/>
        <w:rPr>
          <w:rFonts w:ascii="Times New Roman" w:cs="Times New Roman" w:eastAsia="Times New Roman" w:hAnsi="Times New Roman"/>
          <w:sz w:val="12"/>
          <w:szCs w:val="12"/>
          <w:color w:val="auto"/>
        </w:rPr>
      </w:pPr>
    </w:p>
    <w:p>
      <w:pPr>
        <w:ind w:left="500" w:firstLine="1"/>
        <w:spacing w:after="0" w:line="25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profitability of th e stores (independent licensees and Company-owned retail stores) which may result in future store closings</w:t>
      </w:r>
    </w:p>
    <w:p>
      <w:pPr>
        <w:spacing w:after="0" w:line="154" w:lineRule="exact"/>
        <w:rPr>
          <w:rFonts w:ascii="Times New Roman" w:cs="Times New Roman" w:eastAsia="Times New Roman" w:hAnsi="Times New Roman"/>
          <w:sz w:val="12"/>
          <w:szCs w:val="12"/>
          <w:color w:val="auto"/>
        </w:rPr>
      </w:pPr>
    </w:p>
    <w:p>
      <w:pPr>
        <w:ind w:left="500" w:firstLine="1"/>
        <w:spacing w:after="0" w:line="562"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 sk of additional asset impairment charges arising from th e ongoing efforts to consolidate our reta il warehouses ability to implement our Company-owned reta il strateg ies and rea li ze th e benefits from such strateg ies</w:t>
      </w:r>
    </w:p>
    <w:p>
      <w:pPr>
        <w:spacing w:after="0" w:line="11" w:lineRule="exact"/>
        <w:rPr>
          <w:rFonts w:ascii="Times New Roman" w:cs="Times New Roman" w:eastAsia="Times New Roman" w:hAnsi="Times New Roman"/>
          <w:sz w:val="12"/>
          <w:szCs w:val="12"/>
          <w:color w:val="auto"/>
        </w:rPr>
      </w:pPr>
    </w:p>
    <w:p>
      <w:pPr>
        <w:jc w:val="both"/>
        <w:ind w:left="500" w:hanging="244"/>
        <w:spacing w:after="0" w:line="256" w:lineRule="auto"/>
        <w:tabs>
          <w:tab w:leader="none" w:pos="499"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effectiveness and security of our information technology system s and possible di sruptions due to cybersecurity threats, includin g any impacts </w:t>
      </w:r>
      <w:r>
        <w:rPr>
          <w:rFonts w:ascii="Arial" w:cs="Arial" w:eastAsia="Arial" w:hAnsi="Arial"/>
          <w:sz w:val="11"/>
          <w:szCs w:val="11"/>
          <w:i w:val="1"/>
          <w:iCs w:val="1"/>
          <w:color w:val="auto"/>
        </w:rPr>
        <w:t>from</w:t>
      </w:r>
      <w:r>
        <w:rPr>
          <w:rFonts w:ascii="Times New Roman" w:cs="Times New Roman" w:eastAsia="Times New Roman" w:hAnsi="Times New Roman"/>
          <w:sz w:val="12"/>
          <w:szCs w:val="12"/>
          <w:color w:val="auto"/>
        </w:rPr>
        <w:t xml:space="preserve"> a network security incident; and the sufficiency of our insurance coverage, including cybersecurity insurance</w:t>
      </w:r>
    </w:p>
    <w:p>
      <w:pPr>
        <w:spacing w:after="0" w:line="150" w:lineRule="exact"/>
        <w:rPr>
          <w:rFonts w:ascii="Times New Roman" w:cs="Times New Roman" w:eastAsia="Times New Roman" w:hAnsi="Times New Roman"/>
          <w:sz w:val="12"/>
          <w:szCs w:val="12"/>
          <w:color w:val="auto"/>
        </w:rPr>
      </w:pPr>
    </w:p>
    <w:p>
      <w:pPr>
        <w:ind w:left="500" w:hanging="244"/>
        <w:spacing w:after="0"/>
        <w:tabs>
          <w:tab w:leader="none" w:pos="50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future tax legislation, or regulatory or judicial positions</w:t>
      </w:r>
    </w:p>
    <w:p>
      <w:pPr>
        <w:spacing w:after="0" w:line="188" w:lineRule="exact"/>
        <w:rPr>
          <w:rFonts w:ascii="Times New Roman" w:cs="Times New Roman" w:eastAsia="Times New Roman" w:hAnsi="Times New Roman"/>
          <w:sz w:val="12"/>
          <w:szCs w:val="12"/>
          <w:color w:val="auto"/>
        </w:rPr>
      </w:pPr>
    </w:p>
    <w:p>
      <w:pPr>
        <w:ind w:left="500" w:hanging="244"/>
        <w:spacing w:after="0"/>
        <w:tabs>
          <w:tab w:leader="none" w:pos="50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ability to efficiently manage the import supply chain to minimize business interruption</w:t>
      </w:r>
    </w:p>
    <w:p>
      <w:pPr>
        <w:spacing w:after="0" w:line="191" w:lineRule="exact"/>
        <w:rPr>
          <w:sz w:val="20"/>
          <w:szCs w:val="20"/>
          <w:color w:val="auto"/>
        </w:rPr>
      </w:pPr>
    </w:p>
    <w:p>
      <w:pPr>
        <w:ind w:left="500" w:hanging="4"/>
        <w:spacing w:after="0" w:line="254" w:lineRule="auto"/>
        <w:rPr>
          <w:sz w:val="20"/>
          <w:szCs w:val="20"/>
          <w:color w:val="auto"/>
        </w:rPr>
      </w:pPr>
      <w:r>
        <w:rPr>
          <w:rFonts w:ascii="Times New Roman" w:cs="Times New Roman" w:eastAsia="Times New Roman" w:hAnsi="Times New Roman"/>
          <w:sz w:val="12"/>
          <w:szCs w:val="12"/>
          <w:color w:val="auto"/>
        </w:rPr>
        <w:t>concentration of dom estic manufacturin g, particularly of uphol stery products, and the resultin g exposure to busin ess interruption from accidents, weather and other events and circumstances beyond our control</w:t>
      </w:r>
    </w:p>
    <w:p>
      <w:pPr>
        <w:spacing w:after="0" w:line="155" w:lineRule="exact"/>
        <w:rPr>
          <w:sz w:val="20"/>
          <w:szCs w:val="20"/>
          <w:color w:val="auto"/>
        </w:rPr>
      </w:pPr>
    </w:p>
    <w:p>
      <w:pPr>
        <w:jc w:val="both"/>
        <w:ind w:firstLine="1"/>
        <w:spacing w:after="0" w:line="257" w:lineRule="auto"/>
        <w:rPr>
          <w:sz w:val="20"/>
          <w:szCs w:val="20"/>
          <w:color w:val="auto"/>
        </w:rPr>
      </w:pPr>
      <w:r>
        <w:rPr>
          <w:rFonts w:ascii="Times New Roman" w:cs="Times New Roman" w:eastAsia="Times New Roman" w:hAnsi="Times New Roman"/>
          <w:sz w:val="12"/>
          <w:szCs w:val="12"/>
          <w:color w:val="auto"/>
        </w:rPr>
        <w:t>You should keep in mind that any forward-looking statement mad e by us in this report speaks only as of th e date on which such forward-looking statement is made. New risks and uncertainti es arise from tim e to tim e, and it is impossibl e for us to predict th ese events or how they may affect us. We have no duty to, and do not intend to, update or rev ise th e forward-looking statements in thi s report after th e date hereof, except as may be required by law. In li ght of th ese risks and uncertainti es, you should keep in mind that th e events described in any forward-looking statement mad e in this report, mi ght not occur.</w:t>
      </w:r>
    </w:p>
    <w:p>
      <w:pPr>
        <w:spacing w:after="0" w:line="200" w:lineRule="exact"/>
        <w:rPr>
          <w:sz w:val="20"/>
          <w:szCs w:val="20"/>
          <w:color w:val="auto"/>
        </w:rPr>
      </w:pPr>
    </w:p>
    <w:p>
      <w:pPr>
        <w:sectPr>
          <w:pgSz w:w="15840" w:h="12240" w:orient="landscape"/>
          <w:cols w:equalWidth="0" w:num="2">
            <w:col w:w="7200" w:space="720"/>
            <w:col w:w="6440"/>
          </w:cols>
          <w:pgMar w:left="740" w:top="1440" w:right="740" w:bottom="9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180"/>
        <w:spacing w:after="0"/>
        <w:tabs>
          <w:tab w:leader="none" w:pos="11080" w:val="left"/>
        </w:tabs>
        <w:rPr>
          <w:sz w:val="20"/>
          <w:szCs w:val="20"/>
          <w:color w:val="auto"/>
        </w:rPr>
      </w:pPr>
      <w:r>
        <w:rPr>
          <w:rFonts w:ascii="Times New Roman" w:cs="Times New Roman" w:eastAsia="Times New Roman" w:hAnsi="Times New Roman"/>
          <w:sz w:val="10"/>
          <w:szCs w:val="10"/>
          <w:color w:val="auto"/>
        </w:rPr>
        <w:t>15</w:t>
      </w:r>
      <w:r>
        <w:rPr>
          <w:sz w:val="20"/>
          <w:szCs w:val="20"/>
          <w:color w:val="auto"/>
        </w:rPr>
        <w:tab/>
      </w:r>
      <w:r>
        <w:rPr>
          <w:rFonts w:ascii="Times New Roman" w:cs="Times New Roman" w:eastAsia="Times New Roman" w:hAnsi="Times New Roman"/>
          <w:sz w:val="10"/>
          <w:szCs w:val="10"/>
          <w:color w:val="auto"/>
        </w:rPr>
        <w:t>16</w:t>
      </w:r>
    </w:p>
    <w:p>
      <w:pPr>
        <w:sectPr>
          <w:pgSz w:w="15840" w:h="12240" w:orient="landscape"/>
          <w:cols w:equalWidth="0" w:num="1">
            <w:col w:w="14360"/>
          </w:cols>
          <w:pgMar w:left="740" w:top="1440" w:right="740" w:bottom="918" w:gutter="0" w:footer="0" w:header="0"/>
          <w:type w:val="continuous"/>
        </w:sectPr>
      </w:pPr>
    </w:p>
    <w:bookmarkStart w:id="12" w:name="page13"/>
    <w:bookmarkEnd w:id="12"/>
    <w:p>
      <w:pPr>
        <w:spacing w:after="0" w:line="212"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2"/>
          <w:szCs w:val="12"/>
          <w:color w:val="auto"/>
        </w:rPr>
        <w:t>Consolidated Balance Sheets</w:t>
      </w:r>
    </w:p>
    <w:p>
      <w:pPr>
        <w:spacing w:after="0" w:line="1"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3"/>
          <w:szCs w:val="13"/>
          <w:color w:val="auto"/>
        </w:rPr>
        <w:t>Bassett Furniture Industries, Incorporated and Subsidiaries</w:t>
      </w:r>
    </w:p>
    <w:p>
      <w:pPr>
        <w:spacing w:after="0" w:line="13"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2"/>
          <w:szCs w:val="12"/>
          <w:color w:val="auto"/>
        </w:rPr>
        <w:t>November 30, 2024 and November 25,2023</w:t>
      </w:r>
    </w:p>
    <w:p>
      <w:pPr>
        <w:spacing w:after="0" w:line="6"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2"/>
          <w:szCs w:val="12"/>
          <w:color w:val="auto"/>
        </w:rPr>
        <w:t>(In thousands, except share and per 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bottom w:val="single" w:sz="8" w:color="3C383C"/>
            </w:tcBorders>
          </w:tcPr>
          <w:p>
            <w:pPr>
              <w:jc w:val="right"/>
              <w:ind w:right="221"/>
              <w:spacing w:after="0"/>
              <w:rPr>
                <w:sz w:val="20"/>
                <w:szCs w:val="20"/>
                <w:color w:val="auto"/>
              </w:rPr>
            </w:pPr>
            <w:r>
              <w:rPr>
                <w:rFonts w:ascii="Times New Roman" w:cs="Times New Roman" w:eastAsia="Times New Roman" w:hAnsi="Times New Roman"/>
                <w:sz w:val="12"/>
                <w:szCs w:val="12"/>
                <w:color w:val="auto"/>
              </w:rPr>
              <w:t>2024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3C383C"/>
            </w:tcBorders>
          </w:tcPr>
          <w:p>
            <w:pPr>
              <w:spacing w:after="0"/>
              <w:rPr>
                <w:sz w:val="12"/>
                <w:szCs w:val="12"/>
                <w:color w:val="auto"/>
              </w:rPr>
            </w:pPr>
          </w:p>
        </w:tc>
        <w:tc>
          <w:tcPr>
            <w:tcW w:w="660" w:type="dxa"/>
            <w:vAlign w:val="bottom"/>
            <w:tcBorders>
              <w:bottom w:val="single" w:sz="8" w:color="3C383C"/>
            </w:tcBorders>
          </w:tcPr>
          <w:p>
            <w:pPr>
              <w:jc w:val="right"/>
              <w:ind w:right="241"/>
              <w:spacing w:after="0"/>
              <w:rPr>
                <w:sz w:val="20"/>
                <w:szCs w:val="20"/>
                <w:color w:val="auto"/>
              </w:rPr>
            </w:pPr>
            <w:r>
              <w:rPr>
                <w:rFonts w:ascii="Times New Roman" w:cs="Times New Roman" w:eastAsia="Times New Roman" w:hAnsi="Times New Roman"/>
                <w:sz w:val="12"/>
                <w:szCs w:val="12"/>
                <w:color w:val="auto"/>
              </w:rPr>
              <w:t>2023</w:t>
            </w:r>
          </w:p>
        </w:tc>
      </w:tr>
      <w:tr>
        <w:trPr>
          <w:trHeight w:val="140"/>
        </w:trPr>
        <w:tc>
          <w:tcPr>
            <w:tcW w:w="458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auto"/>
              </w:rPr>
              <w:t>Assets</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4"/>
        </w:trPr>
        <w:tc>
          <w:tcPr>
            <w:tcW w:w="458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Current assets</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7"/>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39,551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52,407</w:t>
            </w:r>
          </w:p>
        </w:tc>
      </w:tr>
      <w:tr>
        <w:trPr>
          <w:trHeight w:val="154"/>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Short-term investments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20,360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17,775</w:t>
            </w:r>
          </w:p>
        </w:tc>
      </w:tr>
      <w:tr>
        <w:trPr>
          <w:trHeight w:val="144"/>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Accounts recei vable, net of allowance for credit losses of$1 ,097 and $535 as of</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November 30, 2024 and November 25, 2023, respecti ve ly</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13, 181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13,736</w:t>
            </w:r>
          </w:p>
        </w:tc>
      </w:tr>
      <w:tr>
        <w:trPr>
          <w:trHeight w:val="154"/>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Inventories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54,965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62,982</w:t>
            </w:r>
          </w:p>
        </w:tc>
      </w:tr>
      <w:tr>
        <w:trPr>
          <w:trHeight w:val="144"/>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Recoverable income taxes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4 ,240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2,574</w:t>
            </w:r>
          </w:p>
        </w:tc>
      </w:tr>
      <w:tr>
        <w:trPr>
          <w:trHeight w:val="154"/>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Other current assets</w:t>
            </w:r>
          </w:p>
        </w:tc>
        <w:tc>
          <w:tcPr>
            <w:tcW w:w="820" w:type="dxa"/>
            <w:vAlign w:val="bottom"/>
            <w:tcBorders>
              <w:bottom w:val="single" w:sz="8" w:color="3C383C"/>
            </w:tcBorders>
          </w:tcPr>
          <w:p>
            <w:pPr>
              <w:jc w:val="right"/>
              <w:spacing w:after="0"/>
              <w:rPr>
                <w:sz w:val="20"/>
                <w:szCs w:val="20"/>
                <w:color w:val="auto"/>
              </w:rPr>
            </w:pPr>
            <w:r>
              <w:rPr>
                <w:rFonts w:ascii="Times New Roman" w:cs="Times New Roman" w:eastAsia="Times New Roman" w:hAnsi="Times New Roman"/>
                <w:sz w:val="12"/>
                <w:szCs w:val="12"/>
                <w:color w:val="auto"/>
              </w:rPr>
              <w:t>9,242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3C383C"/>
            </w:tcBorders>
          </w:tcPr>
          <w:p>
            <w:pPr>
              <w:spacing w:after="0"/>
              <w:rPr>
                <w:sz w:val="13"/>
                <w:szCs w:val="13"/>
                <w:color w:val="auto"/>
              </w:rPr>
            </w:pPr>
          </w:p>
        </w:tc>
        <w:tc>
          <w:tcPr>
            <w:tcW w:w="660" w:type="dxa"/>
            <w:vAlign w:val="bottom"/>
            <w:tcBorders>
              <w:bottom w:val="single" w:sz="8" w:color="3C383C"/>
            </w:tcBorders>
          </w:tcPr>
          <w:p>
            <w:pPr>
              <w:jc w:val="right"/>
              <w:spacing w:after="0"/>
              <w:rPr>
                <w:sz w:val="20"/>
                <w:szCs w:val="20"/>
                <w:color w:val="auto"/>
              </w:rPr>
            </w:pPr>
            <w:r>
              <w:rPr>
                <w:rFonts w:ascii="Times New Roman" w:cs="Times New Roman" w:eastAsia="Times New Roman" w:hAnsi="Times New Roman"/>
                <w:sz w:val="12"/>
                <w:szCs w:val="12"/>
                <w:color w:val="auto"/>
              </w:rPr>
              <w:t>8,480</w:t>
            </w:r>
          </w:p>
        </w:tc>
      </w:tr>
      <w:tr>
        <w:trPr>
          <w:trHeight w:val="138"/>
        </w:trPr>
        <w:tc>
          <w:tcPr>
            <w:tcW w:w="4580" w:type="dxa"/>
            <w:vAlign w:val="bottom"/>
            <w:gridSpan w:val="2"/>
          </w:tcPr>
          <w:p>
            <w:pPr>
              <w:spacing w:after="0" w:line="134" w:lineRule="exact"/>
              <w:rPr>
                <w:sz w:val="20"/>
                <w:szCs w:val="20"/>
                <w:color w:val="auto"/>
              </w:rPr>
            </w:pPr>
            <w:r>
              <w:rPr>
                <w:rFonts w:ascii="Times New Roman" w:cs="Times New Roman" w:eastAsia="Times New Roman" w:hAnsi="Times New Roman"/>
                <w:sz w:val="12"/>
                <w:szCs w:val="12"/>
                <w:color w:val="auto"/>
              </w:rPr>
              <w:t>Total current assets</w:t>
            </w:r>
          </w:p>
        </w:tc>
        <w:tc>
          <w:tcPr>
            <w:tcW w:w="820" w:type="dxa"/>
            <w:vAlign w:val="bottom"/>
            <w:tcBorders>
              <w:bottom w:val="single" w:sz="8" w:color="3C383C"/>
            </w:tcBorders>
          </w:tcPr>
          <w:p>
            <w:pPr>
              <w:jc w:val="right"/>
              <w:spacing w:after="0"/>
              <w:rPr>
                <w:sz w:val="20"/>
                <w:szCs w:val="20"/>
                <w:color w:val="auto"/>
              </w:rPr>
            </w:pPr>
            <w:r>
              <w:rPr>
                <w:rFonts w:ascii="Times New Roman" w:cs="Times New Roman" w:eastAsia="Times New Roman" w:hAnsi="Times New Roman"/>
                <w:sz w:val="12"/>
                <w:szCs w:val="12"/>
                <w:color w:val="auto"/>
              </w:rPr>
              <w:t>141 ,539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3C383C"/>
            </w:tcBorders>
          </w:tcPr>
          <w:p>
            <w:pPr>
              <w:spacing w:after="0"/>
              <w:rPr>
                <w:sz w:val="12"/>
                <w:szCs w:val="12"/>
                <w:color w:val="auto"/>
              </w:rPr>
            </w:pPr>
          </w:p>
        </w:tc>
        <w:tc>
          <w:tcPr>
            <w:tcW w:w="660" w:type="dxa"/>
            <w:vAlign w:val="bottom"/>
            <w:tcBorders>
              <w:bottom w:val="single" w:sz="8" w:color="3C383C"/>
            </w:tcBorders>
          </w:tcPr>
          <w:p>
            <w:pPr>
              <w:jc w:val="right"/>
              <w:spacing w:after="0"/>
              <w:rPr>
                <w:sz w:val="20"/>
                <w:szCs w:val="20"/>
                <w:color w:val="auto"/>
              </w:rPr>
            </w:pPr>
            <w:r>
              <w:rPr>
                <w:rFonts w:ascii="Times New Roman" w:cs="Times New Roman" w:eastAsia="Times New Roman" w:hAnsi="Times New Roman"/>
                <w:sz w:val="12"/>
                <w:szCs w:val="12"/>
                <w:color w:val="auto"/>
              </w:rPr>
              <w:t>157,954</w:t>
            </w:r>
          </w:p>
        </w:tc>
      </w:tr>
      <w:tr>
        <w:trPr>
          <w:trHeight w:val="28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77,047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83,981</w:t>
            </w:r>
          </w:p>
        </w:tc>
      </w:tr>
      <w:tr>
        <w:trPr>
          <w:trHeight w:val="295"/>
        </w:trPr>
        <w:tc>
          <w:tcPr>
            <w:tcW w:w="4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long-term assets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52"/>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Deferred income taxes, net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6,867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4,645</w:t>
            </w:r>
          </w:p>
        </w:tc>
      </w:tr>
      <w:tr>
        <w:trPr>
          <w:trHeight w:val="144"/>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Goodwill and other intangible assets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14, 185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16,067</w:t>
            </w:r>
          </w:p>
        </w:tc>
      </w:tr>
      <w:tr>
        <w:trPr>
          <w:trHeight w:val="153"/>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Right of use assets under operating leases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93 ,624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100,888</w:t>
            </w:r>
          </w:p>
        </w:tc>
      </w:tr>
      <w:tr>
        <w:trPr>
          <w:trHeight w:val="14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82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7,908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585454"/>
            </w:tcBorders>
          </w:tcPr>
          <w:p>
            <w:pPr>
              <w:spacing w:after="0"/>
              <w:rPr>
                <w:sz w:val="12"/>
                <w:szCs w:val="12"/>
                <w:color w:val="auto"/>
              </w:rPr>
            </w:pPr>
          </w:p>
        </w:tc>
        <w:tc>
          <w:tcPr>
            <w:tcW w:w="66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6,889</w:t>
            </w:r>
          </w:p>
        </w:tc>
      </w:tr>
      <w:tr>
        <w:trPr>
          <w:trHeight w:val="139"/>
        </w:trPr>
        <w:tc>
          <w:tcPr>
            <w:tcW w:w="4580" w:type="dxa"/>
            <w:vAlign w:val="bottom"/>
            <w:gridSpan w:val="2"/>
          </w:tcPr>
          <w:p>
            <w:pPr>
              <w:spacing w:after="0" w:line="134" w:lineRule="exact"/>
              <w:rPr>
                <w:sz w:val="20"/>
                <w:szCs w:val="20"/>
                <w:color w:val="auto"/>
              </w:rPr>
            </w:pPr>
            <w:r>
              <w:rPr>
                <w:rFonts w:ascii="Times New Roman" w:cs="Times New Roman" w:eastAsia="Times New Roman" w:hAnsi="Times New Roman"/>
                <w:sz w:val="12"/>
                <w:szCs w:val="12"/>
                <w:color w:val="auto"/>
              </w:rPr>
              <w:t>Total other Jong-tenn assets</w:t>
            </w:r>
          </w:p>
        </w:tc>
        <w:tc>
          <w:tcPr>
            <w:tcW w:w="82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122,584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585454"/>
            </w:tcBorders>
          </w:tcPr>
          <w:p>
            <w:pPr>
              <w:spacing w:after="0"/>
              <w:rPr>
                <w:sz w:val="12"/>
                <w:szCs w:val="12"/>
                <w:color w:val="auto"/>
              </w:rPr>
            </w:pPr>
          </w:p>
        </w:tc>
        <w:tc>
          <w:tcPr>
            <w:tcW w:w="66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128,489</w:t>
            </w:r>
          </w:p>
        </w:tc>
      </w:tr>
      <w:tr>
        <w:trPr>
          <w:trHeight w:val="128"/>
        </w:trPr>
        <w:tc>
          <w:tcPr>
            <w:tcW w:w="45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Total assets</w:t>
            </w:r>
          </w:p>
        </w:tc>
        <w:tc>
          <w:tcPr>
            <w:tcW w:w="20" w:type="dxa"/>
            <w:vAlign w:val="bottom"/>
            <w:tcBorders>
              <w:bottom w:val="single" w:sz="8" w:color="585458"/>
            </w:tcBorders>
          </w:tcPr>
          <w:p>
            <w:pPr>
              <w:spacing w:after="0"/>
              <w:rPr>
                <w:sz w:val="11"/>
                <w:szCs w:val="11"/>
                <w:color w:val="auto"/>
              </w:rPr>
            </w:pPr>
          </w:p>
        </w:tc>
        <w:tc>
          <w:tcPr>
            <w:tcW w:w="820" w:type="dxa"/>
            <w:vAlign w:val="bottom"/>
            <w:tcBorders>
              <w:bottom w:val="single" w:sz="8" w:color="585458"/>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341 , 170</w:t>
            </w:r>
          </w:p>
        </w:tc>
        <w:tc>
          <w:tcPr>
            <w:tcW w:w="20" w:type="dxa"/>
            <w:vAlign w:val="bottom"/>
            <w:tcBorders>
              <w:bottom w:val="single" w:sz="8" w:color="585458"/>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585458"/>
            </w:tcBorders>
          </w:tcPr>
          <w:p>
            <w:pPr>
              <w:spacing w:after="0"/>
              <w:rPr>
                <w:sz w:val="11"/>
                <w:szCs w:val="11"/>
                <w:color w:val="auto"/>
              </w:rPr>
            </w:pPr>
          </w:p>
        </w:tc>
        <w:tc>
          <w:tcPr>
            <w:tcW w:w="180" w:type="dxa"/>
            <w:vAlign w:val="bottom"/>
            <w:tcBorders>
              <w:bottom w:val="single" w:sz="8" w:color="585458"/>
            </w:tcBorders>
          </w:tcPr>
          <w:p>
            <w:pPr>
              <w:spacing w:after="0"/>
              <w:rPr>
                <w:sz w:val="11"/>
                <w:szCs w:val="11"/>
                <w:color w:val="auto"/>
              </w:rPr>
            </w:pPr>
          </w:p>
        </w:tc>
        <w:tc>
          <w:tcPr>
            <w:tcW w:w="660" w:type="dxa"/>
            <w:vAlign w:val="bottom"/>
            <w:tcBorders>
              <w:bottom w:val="single" w:sz="8" w:color="585458"/>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370,424</w:t>
            </w:r>
          </w:p>
        </w:tc>
      </w:tr>
      <w:tr>
        <w:trPr>
          <w:trHeight w:val="312"/>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Liabilities and Stockholders'  Equity</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55"/>
        </w:trPr>
        <w:tc>
          <w:tcPr>
            <w:tcW w:w="4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7"/>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13,303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16,338</w:t>
            </w:r>
          </w:p>
        </w:tc>
      </w:tr>
      <w:tr>
        <w:trPr>
          <w:trHeight w:val="14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Accrued compensation and benefits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6,898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8,934</w:t>
            </w:r>
          </w:p>
        </w:tc>
      </w:tr>
      <w:tr>
        <w:trPr>
          <w:trHeight w:val="14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Customer deposits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25,742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22,788</w:t>
            </w:r>
          </w:p>
        </w:tc>
      </w:tr>
      <w:tr>
        <w:trPr>
          <w:trHeight w:val="14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Current portion of operating lease obligations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18,050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18,827</w:t>
            </w:r>
          </w:p>
        </w:tc>
      </w:tr>
      <w:tr>
        <w:trPr>
          <w:trHeight w:val="14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Other accrued liabilities</w:t>
            </w:r>
          </w:p>
        </w:tc>
        <w:tc>
          <w:tcPr>
            <w:tcW w:w="82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9,410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585454"/>
            </w:tcBorders>
          </w:tcPr>
          <w:p>
            <w:pPr>
              <w:spacing w:after="0"/>
              <w:rPr>
                <w:sz w:val="12"/>
                <w:szCs w:val="12"/>
                <w:color w:val="auto"/>
              </w:rPr>
            </w:pPr>
          </w:p>
        </w:tc>
        <w:tc>
          <w:tcPr>
            <w:tcW w:w="66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11,003</w:t>
            </w:r>
          </w:p>
        </w:tc>
      </w:tr>
      <w:tr>
        <w:trPr>
          <w:trHeight w:val="138"/>
        </w:trPr>
        <w:tc>
          <w:tcPr>
            <w:tcW w:w="4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current liabilities</w:t>
            </w:r>
          </w:p>
        </w:tc>
        <w:tc>
          <w:tcPr>
            <w:tcW w:w="82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73,403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585454"/>
            </w:tcBorders>
          </w:tcPr>
          <w:p>
            <w:pPr>
              <w:spacing w:after="0"/>
              <w:rPr>
                <w:sz w:val="12"/>
                <w:szCs w:val="12"/>
                <w:color w:val="auto"/>
              </w:rPr>
            </w:pPr>
          </w:p>
        </w:tc>
        <w:tc>
          <w:tcPr>
            <w:tcW w:w="66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77,890</w:t>
            </w:r>
          </w:p>
        </w:tc>
      </w:tr>
      <w:tr>
        <w:trPr>
          <w:trHeight w:val="28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Long-term liabilities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47"/>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Post employment benefit obligations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10,882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10,207</w:t>
            </w:r>
          </w:p>
        </w:tc>
      </w:tr>
      <w:tr>
        <w:trPr>
          <w:trHeight w:val="149"/>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Long-term portion of operating lease obligations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88,395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97,357</w:t>
            </w:r>
          </w:p>
        </w:tc>
      </w:tr>
      <w:tr>
        <w:trPr>
          <w:trHeight w:val="14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820" w:type="dxa"/>
            <w:vAlign w:val="bottom"/>
            <w:tcBorders>
              <w:bottom w:val="single" w:sz="8" w:color="6C6868"/>
            </w:tcBorders>
          </w:tcPr>
          <w:p>
            <w:pPr>
              <w:jc w:val="right"/>
              <w:spacing w:after="0"/>
              <w:rPr>
                <w:sz w:val="20"/>
                <w:szCs w:val="20"/>
                <w:color w:val="auto"/>
              </w:rPr>
            </w:pPr>
            <w:r>
              <w:rPr>
                <w:rFonts w:ascii="Times New Roman" w:cs="Times New Roman" w:eastAsia="Times New Roman" w:hAnsi="Times New Roman"/>
                <w:sz w:val="12"/>
                <w:szCs w:val="12"/>
                <w:color w:val="auto"/>
              </w:rPr>
              <w:t>1,163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6C6868"/>
            </w:tcBorders>
          </w:tcPr>
          <w:p>
            <w:pPr>
              <w:spacing w:after="0"/>
              <w:rPr>
                <w:sz w:val="12"/>
                <w:szCs w:val="12"/>
                <w:color w:val="auto"/>
              </w:rPr>
            </w:pPr>
          </w:p>
        </w:tc>
        <w:tc>
          <w:tcPr>
            <w:tcW w:w="660" w:type="dxa"/>
            <w:vAlign w:val="bottom"/>
            <w:tcBorders>
              <w:bottom w:val="single" w:sz="8" w:color="6C6868"/>
            </w:tcBorders>
          </w:tcPr>
          <w:p>
            <w:pPr>
              <w:jc w:val="right"/>
              <w:spacing w:after="0"/>
              <w:rPr>
                <w:sz w:val="20"/>
                <w:szCs w:val="20"/>
                <w:color w:val="auto"/>
              </w:rPr>
            </w:pPr>
            <w:r>
              <w:rPr>
                <w:rFonts w:ascii="Times New Roman" w:cs="Times New Roman" w:eastAsia="Times New Roman" w:hAnsi="Times New Roman"/>
                <w:sz w:val="12"/>
                <w:szCs w:val="12"/>
                <w:color w:val="auto"/>
              </w:rPr>
              <w:t>1,529</w:t>
            </w:r>
          </w:p>
        </w:tc>
      </w:tr>
      <w:tr>
        <w:trPr>
          <w:trHeight w:val="138"/>
        </w:trPr>
        <w:tc>
          <w:tcPr>
            <w:tcW w:w="4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long-term liabilities</w:t>
            </w:r>
          </w:p>
        </w:tc>
        <w:tc>
          <w:tcPr>
            <w:tcW w:w="820" w:type="dxa"/>
            <w:vAlign w:val="bottom"/>
            <w:tcBorders>
              <w:bottom w:val="single" w:sz="8" w:color="6C6868"/>
            </w:tcBorders>
          </w:tcPr>
          <w:p>
            <w:pPr>
              <w:jc w:val="right"/>
              <w:spacing w:after="0"/>
              <w:rPr>
                <w:sz w:val="20"/>
                <w:szCs w:val="20"/>
                <w:color w:val="auto"/>
              </w:rPr>
            </w:pPr>
            <w:r>
              <w:rPr>
                <w:rFonts w:ascii="Times New Roman" w:cs="Times New Roman" w:eastAsia="Times New Roman" w:hAnsi="Times New Roman"/>
                <w:sz w:val="12"/>
                <w:szCs w:val="12"/>
                <w:color w:val="auto"/>
              </w:rPr>
              <w:t>100,440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6C6868"/>
            </w:tcBorders>
          </w:tcPr>
          <w:p>
            <w:pPr>
              <w:spacing w:after="0"/>
              <w:rPr>
                <w:sz w:val="12"/>
                <w:szCs w:val="12"/>
                <w:color w:val="auto"/>
              </w:rPr>
            </w:pPr>
          </w:p>
        </w:tc>
        <w:tc>
          <w:tcPr>
            <w:tcW w:w="660" w:type="dxa"/>
            <w:vAlign w:val="bottom"/>
            <w:tcBorders>
              <w:bottom w:val="single" w:sz="8" w:color="6C6868"/>
            </w:tcBorders>
          </w:tcPr>
          <w:p>
            <w:pPr>
              <w:jc w:val="right"/>
              <w:spacing w:after="0"/>
              <w:rPr>
                <w:sz w:val="20"/>
                <w:szCs w:val="20"/>
                <w:color w:val="auto"/>
              </w:rPr>
            </w:pPr>
            <w:r>
              <w:rPr>
                <w:rFonts w:ascii="Times New Roman" w:cs="Times New Roman" w:eastAsia="Times New Roman" w:hAnsi="Times New Roman"/>
                <w:sz w:val="12"/>
                <w:szCs w:val="12"/>
                <w:color w:val="auto"/>
              </w:rPr>
              <w:t>109,093</w:t>
            </w:r>
          </w:p>
        </w:tc>
      </w:tr>
      <w:tr>
        <w:trPr>
          <w:trHeight w:val="289"/>
        </w:trPr>
        <w:tc>
          <w:tcPr>
            <w:tcW w:w="4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6"/>
        </w:trPr>
        <w:tc>
          <w:tcPr>
            <w:tcW w:w="4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4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Common stock , $5 par va lue; 50,000,000 shares authorized; issued and outstanding</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8,736,046 at November 30, 2024 and 8, 768,221 at November 25,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43,681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43,842</w:t>
            </w:r>
          </w:p>
        </w:tc>
      </w:tr>
      <w:tr>
        <w:trPr>
          <w:trHeight w:val="149"/>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Retained earnings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122,847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139,354</w:t>
            </w:r>
          </w:p>
        </w:tc>
      </w:tr>
      <w:tr>
        <w:trPr>
          <w:trHeight w:val="14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Additional paid-in-capital</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r>
      <w:tr>
        <w:trPr>
          <w:trHeight w:val="14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820" w:type="dxa"/>
            <w:vAlign w:val="bottom"/>
          </w:tcPr>
          <w:p>
            <w:pPr>
              <w:jc w:val="right"/>
              <w:spacing w:after="0"/>
              <w:rPr>
                <w:sz w:val="20"/>
                <w:szCs w:val="20"/>
                <w:color w:val="auto"/>
              </w:rPr>
            </w:pPr>
            <w:r>
              <w:rPr>
                <w:rFonts w:ascii="Arial" w:cs="Arial" w:eastAsia="Arial" w:hAnsi="Arial"/>
                <w:sz w:val="13"/>
                <w:szCs w:val="13"/>
                <w:color w:val="auto"/>
              </w:rPr>
              <w:t>___l2l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585454"/>
            </w:tcBorders>
          </w:tcPr>
          <w:p>
            <w:pPr>
              <w:spacing w:after="0"/>
              <w:rPr>
                <w:sz w:val="12"/>
                <w:szCs w:val="12"/>
                <w:color w:val="auto"/>
              </w:rPr>
            </w:pPr>
          </w:p>
        </w:tc>
        <w:tc>
          <w:tcPr>
            <w:tcW w:w="66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152</w:t>
            </w:r>
          </w:p>
        </w:tc>
      </w:tr>
      <w:tr>
        <w:trPr>
          <w:trHeight w:val="138"/>
        </w:trPr>
        <w:tc>
          <w:tcPr>
            <w:tcW w:w="4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stockholders' equity</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167,327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585454"/>
            </w:tcBorders>
          </w:tcPr>
          <w:p>
            <w:pPr>
              <w:spacing w:after="0"/>
              <w:rPr>
                <w:sz w:val="12"/>
                <w:szCs w:val="12"/>
                <w:color w:val="auto"/>
              </w:rPr>
            </w:pPr>
          </w:p>
        </w:tc>
        <w:tc>
          <w:tcPr>
            <w:tcW w:w="66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183,441</w:t>
            </w:r>
          </w:p>
        </w:tc>
      </w:tr>
      <w:tr>
        <w:trPr>
          <w:trHeight w:val="140"/>
        </w:trPr>
        <w:tc>
          <w:tcPr>
            <w:tcW w:w="45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20" w:type="dxa"/>
            <w:vAlign w:val="bottom"/>
            <w:tcBorders>
              <w:bottom w:val="single" w:sz="8" w:color="3C383C"/>
            </w:tcBorders>
          </w:tcPr>
          <w:p>
            <w:pPr>
              <w:spacing w:after="0"/>
              <w:rPr>
                <w:sz w:val="12"/>
                <w:szCs w:val="12"/>
                <w:color w:val="auto"/>
              </w:rPr>
            </w:pPr>
          </w:p>
        </w:tc>
        <w:tc>
          <w:tcPr>
            <w:tcW w:w="820" w:type="dxa"/>
            <w:vAlign w:val="bottom"/>
            <w:tcBorders>
              <w:bottom w:val="single" w:sz="8" w:color="3C383C"/>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341,170</w:t>
            </w:r>
          </w:p>
        </w:tc>
        <w:tc>
          <w:tcPr>
            <w:tcW w:w="20" w:type="dxa"/>
            <w:vAlign w:val="bottom"/>
            <w:tcBorders>
              <w:bottom w:val="single" w:sz="8" w:color="3C383C"/>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3C383C"/>
            </w:tcBorders>
            <w:gridSpan w:val="2"/>
          </w:tcPr>
          <w:p>
            <w:pPr>
              <w:jc w:val="right"/>
              <w:ind w:right="120"/>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3C383C"/>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370,424</w:t>
            </w:r>
          </w:p>
        </w:tc>
      </w:tr>
    </w:tbl>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2"/>
          <w:szCs w:val="12"/>
          <w:color w:val="auto"/>
        </w:rPr>
        <w:t>The accompanying notes to consolidated financial statem ents are an integral part of these statements.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-5498465</wp:posOffset>
            </wp:positionH>
            <wp:positionV relativeFrom="paragraph">
              <wp:posOffset>-1137285</wp:posOffset>
            </wp:positionV>
            <wp:extent cx="10058400" cy="7772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3"/>
          <w:szCs w:val="13"/>
          <w:color w:val="auto"/>
        </w:rPr>
        <w:t>Bassett Furniture Industries, Incorporated and Subsidiaries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For the years ended November 30, 2024, November 25, 2023, and November 26, 2022</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(In thousands, except per 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3C383C"/>
            </w:tcBorders>
          </w:tcPr>
          <w:p>
            <w:pPr>
              <w:spacing w:after="0"/>
              <w:rPr>
                <w:sz w:val="12"/>
                <w:szCs w:val="12"/>
                <w:color w:val="auto"/>
              </w:rPr>
            </w:pPr>
          </w:p>
        </w:tc>
        <w:tc>
          <w:tcPr>
            <w:tcW w:w="660" w:type="dxa"/>
            <w:vAlign w:val="bottom"/>
            <w:tcBorders>
              <w:bottom w:val="single" w:sz="8" w:color="3C383C"/>
            </w:tcBorders>
          </w:tcPr>
          <w:p>
            <w:pPr>
              <w:jc w:val="right"/>
              <w:ind w:right="241"/>
              <w:spacing w:after="0"/>
              <w:rPr>
                <w:sz w:val="20"/>
                <w:szCs w:val="20"/>
                <w:color w:val="auto"/>
              </w:rPr>
            </w:pPr>
            <w:r>
              <w:rPr>
                <w:rFonts w:ascii="Times New Roman" w:cs="Times New Roman" w:eastAsia="Times New Roman" w:hAnsi="Times New Roman"/>
                <w:sz w:val="12"/>
                <w:szCs w:val="12"/>
                <w:color w:val="auto"/>
              </w:rPr>
              <w:t>2024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3C383C"/>
            </w:tcBorders>
          </w:tcPr>
          <w:p>
            <w:pPr>
              <w:spacing w:after="0"/>
              <w:rPr>
                <w:sz w:val="12"/>
                <w:szCs w:val="12"/>
                <w:color w:val="auto"/>
              </w:rPr>
            </w:pPr>
          </w:p>
        </w:tc>
        <w:tc>
          <w:tcPr>
            <w:tcW w:w="640" w:type="dxa"/>
            <w:vAlign w:val="bottom"/>
            <w:tcBorders>
              <w:bottom w:val="single" w:sz="8" w:color="3C383C"/>
            </w:tcBorders>
          </w:tcPr>
          <w:p>
            <w:pPr>
              <w:jc w:val="right"/>
              <w:ind w:right="221"/>
              <w:spacing w:after="0"/>
              <w:rPr>
                <w:sz w:val="20"/>
                <w:szCs w:val="20"/>
                <w:color w:val="auto"/>
              </w:rPr>
            </w:pPr>
            <w:r>
              <w:rPr>
                <w:rFonts w:ascii="Times New Roman" w:cs="Times New Roman" w:eastAsia="Times New Roman" w:hAnsi="Times New Roman"/>
                <w:sz w:val="12"/>
                <w:szCs w:val="12"/>
                <w:color w:val="auto"/>
              </w:rPr>
              <w:t>2023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3C383C"/>
            </w:tcBorders>
          </w:tcPr>
          <w:p>
            <w:pPr>
              <w:spacing w:after="0"/>
              <w:rPr>
                <w:sz w:val="12"/>
                <w:szCs w:val="12"/>
                <w:color w:val="auto"/>
              </w:rPr>
            </w:pPr>
          </w:p>
        </w:tc>
        <w:tc>
          <w:tcPr>
            <w:tcW w:w="660" w:type="dxa"/>
            <w:vAlign w:val="bottom"/>
            <w:tcBorders>
              <w:bottom w:val="single" w:sz="8" w:color="3C383C"/>
            </w:tcBorders>
          </w:tcPr>
          <w:p>
            <w:pPr>
              <w:jc w:val="right"/>
              <w:ind w:right="241"/>
              <w:spacing w:after="0"/>
              <w:rPr>
                <w:sz w:val="20"/>
                <w:szCs w:val="20"/>
                <w:color w:val="auto"/>
              </w:rPr>
            </w:pPr>
            <w:r>
              <w:rPr>
                <w:rFonts w:ascii="Times New Roman" w:cs="Times New Roman" w:eastAsia="Times New Roman" w:hAnsi="Times New Roman"/>
                <w:sz w:val="12"/>
                <w:szCs w:val="12"/>
                <w:color w:val="auto"/>
              </w:rPr>
              <w:t>2022</w:t>
            </w:r>
          </w:p>
        </w:tc>
        <w:tc>
          <w:tcPr>
            <w:tcW w:w="40" w:type="dxa"/>
            <w:vAlign w:val="bottom"/>
          </w:tcPr>
          <w:p>
            <w:pPr>
              <w:spacing w:after="0"/>
              <w:rPr>
                <w:sz w:val="12"/>
                <w:szCs w:val="12"/>
                <w:color w:val="auto"/>
              </w:rPr>
            </w:pPr>
          </w:p>
        </w:tc>
      </w:tr>
      <w:tr>
        <w:trPr>
          <w:trHeight w:val="287"/>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sa les of furniture and accessories</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329,923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390, 136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485,60 I</w:t>
            </w:r>
          </w:p>
        </w:tc>
      </w:tr>
      <w:tr>
        <w:trPr>
          <w:trHeight w:val="147"/>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Cost of furniture and accessories so ld</w:t>
            </w:r>
          </w:p>
        </w:tc>
        <w:tc>
          <w:tcPr>
            <w:tcW w:w="20" w:type="dxa"/>
            <w:vAlign w:val="bottom"/>
          </w:tcPr>
          <w:p>
            <w:pPr>
              <w:spacing w:after="0"/>
              <w:rPr>
                <w:sz w:val="12"/>
                <w:szCs w:val="12"/>
                <w:color w:val="auto"/>
              </w:rPr>
            </w:pPr>
          </w:p>
        </w:tc>
        <w:tc>
          <w:tcPr>
            <w:tcW w:w="180" w:type="dxa"/>
            <w:vAlign w:val="bottom"/>
            <w:tcBorders>
              <w:bottom w:val="single" w:sz="8" w:color="201C20"/>
            </w:tcBorders>
          </w:tcPr>
          <w:p>
            <w:pPr>
              <w:spacing w:after="0"/>
              <w:rPr>
                <w:sz w:val="12"/>
                <w:szCs w:val="12"/>
                <w:color w:val="auto"/>
              </w:rPr>
            </w:pPr>
          </w:p>
        </w:tc>
        <w:tc>
          <w:tcPr>
            <w:tcW w:w="66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12"/>
                <w:szCs w:val="12"/>
                <w:color w:val="auto"/>
              </w:rPr>
              <w:t>150,508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201C20"/>
            </w:tcBorders>
          </w:tcPr>
          <w:p>
            <w:pPr>
              <w:spacing w:after="0"/>
              <w:rPr>
                <w:sz w:val="12"/>
                <w:szCs w:val="12"/>
                <w:color w:val="auto"/>
              </w:rPr>
            </w:pPr>
          </w:p>
        </w:tc>
        <w:tc>
          <w:tcPr>
            <w:tcW w:w="64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12"/>
                <w:szCs w:val="12"/>
                <w:color w:val="auto"/>
              </w:rPr>
              <w:t>183 ,648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242020"/>
            </w:tcBorders>
          </w:tcPr>
          <w:p>
            <w:pPr>
              <w:spacing w:after="0"/>
              <w:rPr>
                <w:sz w:val="12"/>
                <w:szCs w:val="12"/>
                <w:color w:val="auto"/>
              </w:rPr>
            </w:pPr>
          </w:p>
        </w:tc>
        <w:tc>
          <w:tcPr>
            <w:tcW w:w="660" w:type="dxa"/>
            <w:vAlign w:val="bottom"/>
            <w:tcBorders>
              <w:bottom w:val="single" w:sz="8" w:color="242020"/>
            </w:tcBorders>
          </w:tcPr>
          <w:p>
            <w:pPr>
              <w:jc w:val="right"/>
              <w:spacing w:after="0"/>
              <w:rPr>
                <w:sz w:val="20"/>
                <w:szCs w:val="20"/>
                <w:color w:val="auto"/>
              </w:rPr>
            </w:pPr>
            <w:r>
              <w:rPr>
                <w:rFonts w:ascii="Times New Roman" w:cs="Times New Roman" w:eastAsia="Times New Roman" w:hAnsi="Times New Roman"/>
                <w:sz w:val="12"/>
                <w:szCs w:val="12"/>
                <w:color w:val="auto"/>
              </w:rPr>
              <w:t>23 7,262</w:t>
            </w:r>
          </w:p>
        </w:tc>
        <w:tc>
          <w:tcPr>
            <w:tcW w:w="40" w:type="dxa"/>
            <w:vAlign w:val="bottom"/>
          </w:tcPr>
          <w:p>
            <w:pPr>
              <w:spacing w:after="0"/>
              <w:rPr>
                <w:sz w:val="12"/>
                <w:szCs w:val="12"/>
                <w:color w:val="auto"/>
              </w:rPr>
            </w:pPr>
          </w:p>
        </w:tc>
      </w:tr>
      <w:tr>
        <w:trPr>
          <w:trHeight w:val="141"/>
        </w:trPr>
        <w:tc>
          <w:tcPr>
            <w:tcW w:w="35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Gross profit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179,415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206,488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248,339</w:t>
            </w:r>
          </w:p>
        </w:tc>
        <w:tc>
          <w:tcPr>
            <w:tcW w:w="40" w:type="dxa"/>
            <w:vAlign w:val="bottom"/>
          </w:tcPr>
          <w:p>
            <w:pPr>
              <w:spacing w:after="0"/>
              <w:rPr>
                <w:sz w:val="12"/>
                <w:szCs w:val="12"/>
                <w:color w:val="auto"/>
              </w:rPr>
            </w:pPr>
          </w:p>
        </w:tc>
      </w:tr>
      <w:tr>
        <w:trPr>
          <w:trHeight w:val="29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187,527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205 ,227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218,069</w:t>
            </w:r>
          </w:p>
        </w:tc>
        <w:tc>
          <w:tcPr>
            <w:tcW w:w="40" w:type="dxa"/>
            <w:vAlign w:val="bottom"/>
          </w:tcPr>
          <w:p>
            <w:pPr>
              <w:spacing w:after="0"/>
              <w:rPr>
                <w:sz w:val="24"/>
                <w:szCs w:val="24"/>
                <w:color w:val="auto"/>
              </w:rPr>
            </w:pPr>
          </w:p>
        </w:tc>
      </w:tr>
      <w:tr>
        <w:trPr>
          <w:trHeight w:val="149"/>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Asset impairment charges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Loss on contract abandonment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Loss upon realization of cumulative tran slation adjustment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Restructuring charges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Goodwill impairment charge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Gain on reva luation of contingent consideration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Gain on sa le of real estate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4,595</w:t>
            </w:r>
          </w:p>
        </w:tc>
        <w:tc>
          <w:tcPr>
            <w:tcW w:w="40" w:type="dxa"/>
            <w:vAlign w:val="bottom"/>
          </w:tcPr>
          <w:p>
            <w:pPr>
              <w:spacing w:after="0"/>
              <w:rPr>
                <w:sz w:val="12"/>
                <w:szCs w:val="12"/>
                <w:color w:val="auto"/>
              </w:rPr>
            </w:pPr>
          </w:p>
        </w:tc>
      </w:tr>
      <w:tr>
        <w:trPr>
          <w:trHeight w:val="307"/>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 xml:space="preserve">Income (loss) </w:t>
            </w:r>
            <w:r>
              <w:rPr>
                <w:rFonts w:ascii="Arial" w:cs="Arial" w:eastAsia="Arial" w:hAnsi="Arial"/>
                <w:sz w:val="11"/>
                <w:szCs w:val="11"/>
                <w:i w:val="1"/>
                <w:iCs w:val="1"/>
                <w:color w:val="auto"/>
              </w:rPr>
              <w:t>from</w:t>
            </w:r>
            <w:r>
              <w:rPr>
                <w:rFonts w:ascii="Times New Roman" w:cs="Times New Roman" w:eastAsia="Times New Roman" w:hAnsi="Times New Roman"/>
                <w:sz w:val="12"/>
                <w:szCs w:val="12"/>
                <w:color w:val="auto"/>
              </w:rPr>
              <w:t xml:space="preserve"> continuing operations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(16 ,269)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(3 , 135)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34,865</w:t>
            </w:r>
          </w:p>
        </w:tc>
        <w:tc>
          <w:tcPr>
            <w:tcW w:w="40" w:type="dxa"/>
            <w:vAlign w:val="bottom"/>
          </w:tcPr>
          <w:p>
            <w:pPr>
              <w:spacing w:after="0"/>
              <w:rPr>
                <w:sz w:val="24"/>
                <w:szCs w:val="24"/>
                <w:color w:val="auto"/>
              </w:rPr>
            </w:pPr>
          </w:p>
        </w:tc>
      </w:tr>
      <w:tr>
        <w:trPr>
          <w:trHeight w:val="298"/>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Interest income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40" w:type="dxa"/>
            <w:vAlign w:val="bottom"/>
          </w:tcPr>
          <w:p>
            <w:pPr>
              <w:spacing w:after="0"/>
              <w:rPr>
                <w:sz w:val="24"/>
                <w:szCs w:val="24"/>
                <w:color w:val="auto"/>
              </w:rPr>
            </w:pPr>
          </w:p>
        </w:tc>
      </w:tr>
      <w:tr>
        <w:trPr>
          <w:trHeight w:val="14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Interest expense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(30)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49"/>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Joss, net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(744)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(1 ,859)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(1 ,067)</w:t>
            </w:r>
          </w:p>
        </w:tc>
      </w:tr>
      <w:tr>
        <w:trPr>
          <w:trHeight w:val="99"/>
        </w:trPr>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3"/>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r>
      <w:tr>
        <w:trPr>
          <w:trHeight w:val="189"/>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Income (loss) from continuing operations before income taxes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(14,370)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(2,488)</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34,062</w:t>
            </w:r>
          </w:p>
        </w:tc>
        <w:tc>
          <w:tcPr>
            <w:tcW w:w="40" w:type="dxa"/>
            <w:vAlign w:val="bottom"/>
          </w:tcPr>
          <w:p>
            <w:pPr>
              <w:spacing w:after="0"/>
              <w:rPr>
                <w:sz w:val="16"/>
                <w:szCs w:val="16"/>
                <w:color w:val="auto"/>
              </w:rPr>
            </w:pPr>
          </w:p>
        </w:tc>
      </w:tr>
      <w:tr>
        <w:trPr>
          <w:trHeight w:val="29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(4,675)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8,702</w:t>
            </w:r>
          </w:p>
        </w:tc>
        <w:tc>
          <w:tcPr>
            <w:tcW w:w="40" w:type="dxa"/>
            <w:vAlign w:val="bottom"/>
          </w:tcPr>
          <w:p>
            <w:pPr>
              <w:spacing w:after="0"/>
              <w:rPr>
                <w:sz w:val="24"/>
                <w:szCs w:val="24"/>
                <w:color w:val="auto"/>
              </w:rPr>
            </w:pPr>
          </w:p>
        </w:tc>
      </w:tr>
      <w:tr>
        <w:trPr>
          <w:trHeight w:val="99"/>
        </w:trPr>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3"/>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r>
      <w:tr>
        <w:trPr>
          <w:trHeight w:val="189"/>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Income (loss) from continuing operations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(9,695)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(3, 171)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25,360</w:t>
            </w:r>
          </w:p>
        </w:tc>
        <w:tc>
          <w:tcPr>
            <w:tcW w:w="40" w:type="dxa"/>
            <w:vAlign w:val="bottom"/>
          </w:tcPr>
          <w:p>
            <w:pPr>
              <w:spacing w:after="0"/>
              <w:rPr>
                <w:sz w:val="16"/>
                <w:szCs w:val="16"/>
                <w:color w:val="auto"/>
              </w:rPr>
            </w:pPr>
          </w:p>
        </w:tc>
      </w:tr>
      <w:tr>
        <w:trPr>
          <w:trHeight w:val="298"/>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Discontinued operations: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9"/>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Income from operations of logi stical services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1,7 12</w:t>
            </w:r>
          </w:p>
        </w:tc>
        <w:tc>
          <w:tcPr>
            <w:tcW w:w="40" w:type="dxa"/>
            <w:vAlign w:val="bottom"/>
          </w:tcPr>
          <w:p>
            <w:pPr>
              <w:spacing w:after="0"/>
              <w:rPr>
                <w:sz w:val="12"/>
                <w:szCs w:val="12"/>
                <w:color w:val="auto"/>
              </w:rPr>
            </w:pPr>
          </w:p>
        </w:tc>
      </w:tr>
      <w:tr>
        <w:trPr>
          <w:trHeight w:val="149"/>
        </w:trPr>
        <w:tc>
          <w:tcPr>
            <w:tcW w:w="35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Gain on di sposa 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52,534</w:t>
            </w:r>
          </w:p>
        </w:tc>
        <w:tc>
          <w:tcPr>
            <w:tcW w:w="40" w:type="dxa"/>
            <w:vAlign w:val="bottom"/>
          </w:tcPr>
          <w:p>
            <w:pPr>
              <w:spacing w:after="0"/>
              <w:rPr>
                <w:sz w:val="12"/>
                <w:szCs w:val="12"/>
                <w:color w:val="auto"/>
              </w:rPr>
            </w:pPr>
          </w:p>
        </w:tc>
      </w:tr>
      <w:tr>
        <w:trPr>
          <w:trHeight w:val="149"/>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Income tax expense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14,261</w:t>
            </w:r>
          </w:p>
        </w:tc>
        <w:tc>
          <w:tcPr>
            <w:tcW w:w="40" w:type="dxa"/>
            <w:vAlign w:val="bottom"/>
          </w:tcPr>
          <w:p>
            <w:pPr>
              <w:spacing w:after="0"/>
              <w:rPr>
                <w:sz w:val="12"/>
                <w:szCs w:val="12"/>
                <w:color w:val="auto"/>
              </w:rPr>
            </w:pPr>
          </w:p>
        </w:tc>
      </w:tr>
      <w:tr>
        <w:trPr>
          <w:trHeight w:val="94"/>
        </w:trPr>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r>
      <w:tr>
        <w:trPr>
          <w:trHeight w:val="193"/>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Income from discontinued operations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39,985</w:t>
            </w:r>
          </w:p>
        </w:tc>
        <w:tc>
          <w:tcPr>
            <w:tcW w:w="40" w:type="dxa"/>
            <w:vAlign w:val="bottom"/>
          </w:tcPr>
          <w:p>
            <w:pPr>
              <w:spacing w:after="0"/>
              <w:rPr>
                <w:sz w:val="16"/>
                <w:szCs w:val="16"/>
                <w:color w:val="auto"/>
              </w:rPr>
            </w:pPr>
          </w:p>
        </w:tc>
      </w:tr>
      <w:tr>
        <w:trPr>
          <w:trHeight w:val="94"/>
        </w:trPr>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gridSpan w:val="2"/>
          </w:tcPr>
          <w:p>
            <w:pPr>
              <w:spacing w:after="0"/>
              <w:rPr>
                <w:sz w:val="8"/>
                <w:szCs w:val="8"/>
                <w:color w:val="auto"/>
              </w:rPr>
            </w:pPr>
          </w:p>
        </w:tc>
        <w:tc>
          <w:tcPr>
            <w:tcW w:w="760" w:type="dxa"/>
            <w:vAlign w:val="bottom"/>
            <w:tcBorders>
              <w:bottom w:val="single" w:sz="8" w:color="auto"/>
            </w:tcBorders>
            <w:gridSpan w:val="3"/>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740" w:type="dxa"/>
            <w:vAlign w:val="bottom"/>
            <w:tcBorders>
              <w:bottom w:val="single" w:sz="8" w:color="auto"/>
            </w:tcBorders>
            <w:gridSpan w:val="3"/>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r>
      <w:tr>
        <w:trPr>
          <w:trHeight w:val="193"/>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(9 ,695)</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(3 , 171)</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65,345</w:t>
            </w:r>
          </w:p>
        </w:tc>
        <w:tc>
          <w:tcPr>
            <w:tcW w:w="40" w:type="dxa"/>
            <w:vAlign w:val="bottom"/>
          </w:tcPr>
          <w:p>
            <w:pPr>
              <w:spacing w:after="0"/>
              <w:rPr>
                <w:sz w:val="16"/>
                <w:szCs w:val="16"/>
                <w:color w:val="auto"/>
              </w:rPr>
            </w:pPr>
          </w:p>
        </w:tc>
      </w:tr>
      <w:tr>
        <w:trPr>
          <w:trHeight w:val="108"/>
        </w:trPr>
        <w:tc>
          <w:tcPr>
            <w:tcW w:w="3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98"/>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Basic earnings (loss) per share: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49"/>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Income (loss) from continuing operations</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(1.11)</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(0.36)</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40" w:type="dxa"/>
            <w:vAlign w:val="bottom"/>
          </w:tcPr>
          <w:p>
            <w:pPr>
              <w:spacing w:after="0"/>
              <w:rPr>
                <w:sz w:val="12"/>
                <w:szCs w:val="12"/>
                <w:color w:val="auto"/>
              </w:rPr>
            </w:pPr>
          </w:p>
        </w:tc>
      </w:tr>
      <w:tr>
        <w:trPr>
          <w:trHeight w:val="149"/>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Income from discontinued operations</w:t>
            </w:r>
          </w:p>
        </w:tc>
        <w:tc>
          <w:tcPr>
            <w:tcW w:w="20" w:type="dxa"/>
            <w:vAlign w:val="bottom"/>
          </w:tcPr>
          <w:p>
            <w:pPr>
              <w:spacing w:after="0"/>
              <w:rPr>
                <w:sz w:val="12"/>
                <w:szCs w:val="12"/>
                <w:color w:val="auto"/>
              </w:rPr>
            </w:pPr>
          </w:p>
        </w:tc>
        <w:tc>
          <w:tcPr>
            <w:tcW w:w="180" w:type="dxa"/>
            <w:vAlign w:val="bottom"/>
            <w:tcBorders>
              <w:bottom w:val="single" w:sz="8" w:color="585454"/>
            </w:tcBorders>
          </w:tcPr>
          <w:p>
            <w:pPr>
              <w:spacing w:after="0"/>
              <w:rPr>
                <w:sz w:val="12"/>
                <w:szCs w:val="12"/>
                <w:color w:val="auto"/>
              </w:rPr>
            </w:pPr>
          </w:p>
        </w:tc>
        <w:tc>
          <w:tcPr>
            <w:tcW w:w="660" w:type="dxa"/>
            <w:vAlign w:val="bottom"/>
            <w:tcBorders>
              <w:bottom w:val="single" w:sz="8" w:color="585454"/>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585454"/>
            </w:tcBorders>
          </w:tcPr>
          <w:p>
            <w:pPr>
              <w:spacing w:after="0"/>
              <w:rPr>
                <w:sz w:val="12"/>
                <w:szCs w:val="12"/>
                <w:color w:val="auto"/>
              </w:rPr>
            </w:pPr>
          </w:p>
        </w:tc>
        <w:tc>
          <w:tcPr>
            <w:tcW w:w="640" w:type="dxa"/>
            <w:vAlign w:val="bottom"/>
            <w:tcBorders>
              <w:bottom w:val="single" w:sz="8" w:color="585454"/>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585458"/>
            </w:tcBorders>
          </w:tcPr>
          <w:p>
            <w:pPr>
              <w:spacing w:after="0"/>
              <w:rPr>
                <w:sz w:val="12"/>
                <w:szCs w:val="12"/>
                <w:color w:val="auto"/>
              </w:rPr>
            </w:pPr>
          </w:p>
        </w:tc>
        <w:tc>
          <w:tcPr>
            <w:tcW w:w="660" w:type="dxa"/>
            <w:vAlign w:val="bottom"/>
            <w:tcBorders>
              <w:bottom w:val="single" w:sz="8" w:color="585458"/>
            </w:tcBorders>
          </w:tcPr>
          <w:p>
            <w:pPr>
              <w:jc w:val="right"/>
              <w:spacing w:after="0"/>
              <w:rPr>
                <w:sz w:val="20"/>
                <w:szCs w:val="20"/>
                <w:color w:val="auto"/>
              </w:rPr>
            </w:pPr>
            <w:r>
              <w:rPr>
                <w:rFonts w:ascii="Times New Roman" w:cs="Times New Roman" w:eastAsia="Times New Roman" w:hAnsi="Times New Roman"/>
                <w:sz w:val="12"/>
                <w:szCs w:val="12"/>
                <w:color w:val="auto"/>
              </w:rPr>
              <w:t>4.26</w:t>
            </w:r>
          </w:p>
        </w:tc>
        <w:tc>
          <w:tcPr>
            <w:tcW w:w="40" w:type="dxa"/>
            <w:vAlign w:val="bottom"/>
          </w:tcPr>
          <w:p>
            <w:pPr>
              <w:spacing w:after="0"/>
              <w:rPr>
                <w:sz w:val="12"/>
                <w:szCs w:val="12"/>
                <w:color w:val="auto"/>
              </w:rPr>
            </w:pPr>
          </w:p>
        </w:tc>
      </w:tr>
      <w:tr>
        <w:trPr>
          <w:trHeight w:val="138"/>
        </w:trPr>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Basic earnings (loss) per share</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(1.11)</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(0.36)</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w:t>
            </w:r>
          </w:p>
        </w:tc>
        <w:tc>
          <w:tcPr>
            <w:tcW w:w="40" w:type="dxa"/>
            <w:vAlign w:val="bottom"/>
          </w:tcPr>
          <w:p>
            <w:pPr>
              <w:spacing w:after="0"/>
              <w:rPr>
                <w:sz w:val="12"/>
                <w:szCs w:val="12"/>
                <w:color w:val="auto"/>
              </w:rPr>
            </w:pPr>
          </w:p>
        </w:tc>
      </w:tr>
      <w:tr>
        <w:trPr>
          <w:trHeight w:val="108"/>
        </w:trPr>
        <w:tc>
          <w:tcPr>
            <w:tcW w:w="3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98"/>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Diluted earnings (loss) per share: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49"/>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Income (loss) from continuing operations</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(1.11)</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(0.36)</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40" w:type="dxa"/>
            <w:vAlign w:val="bottom"/>
          </w:tcPr>
          <w:p>
            <w:pPr>
              <w:spacing w:after="0"/>
              <w:rPr>
                <w:sz w:val="12"/>
                <w:szCs w:val="12"/>
                <w:color w:val="auto"/>
              </w:rPr>
            </w:pPr>
          </w:p>
        </w:tc>
      </w:tr>
      <w:tr>
        <w:trPr>
          <w:trHeight w:val="149"/>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Income from discontinued operations</w:t>
            </w:r>
          </w:p>
        </w:tc>
        <w:tc>
          <w:tcPr>
            <w:tcW w:w="20" w:type="dxa"/>
            <w:vAlign w:val="bottom"/>
          </w:tcPr>
          <w:p>
            <w:pPr>
              <w:spacing w:after="0"/>
              <w:rPr>
                <w:sz w:val="12"/>
                <w:szCs w:val="12"/>
                <w:color w:val="auto"/>
              </w:rPr>
            </w:pPr>
          </w:p>
        </w:tc>
        <w:tc>
          <w:tcPr>
            <w:tcW w:w="180" w:type="dxa"/>
            <w:vAlign w:val="bottom"/>
            <w:tcBorders>
              <w:bottom w:val="single" w:sz="8" w:color="585454"/>
            </w:tcBorders>
          </w:tcPr>
          <w:p>
            <w:pPr>
              <w:spacing w:after="0"/>
              <w:rPr>
                <w:sz w:val="12"/>
                <w:szCs w:val="12"/>
                <w:color w:val="auto"/>
              </w:rPr>
            </w:pPr>
          </w:p>
        </w:tc>
        <w:tc>
          <w:tcPr>
            <w:tcW w:w="660" w:type="dxa"/>
            <w:vAlign w:val="bottom"/>
            <w:tcBorders>
              <w:bottom w:val="single" w:sz="8" w:color="585454"/>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585454"/>
            </w:tcBorders>
          </w:tcPr>
          <w:p>
            <w:pPr>
              <w:spacing w:after="0"/>
              <w:rPr>
                <w:sz w:val="12"/>
                <w:szCs w:val="12"/>
                <w:color w:val="auto"/>
              </w:rPr>
            </w:pPr>
          </w:p>
        </w:tc>
        <w:tc>
          <w:tcPr>
            <w:tcW w:w="640" w:type="dxa"/>
            <w:vAlign w:val="bottom"/>
            <w:tcBorders>
              <w:bottom w:val="single" w:sz="8" w:color="585454"/>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585458"/>
            </w:tcBorders>
          </w:tcPr>
          <w:p>
            <w:pPr>
              <w:spacing w:after="0"/>
              <w:rPr>
                <w:sz w:val="12"/>
                <w:szCs w:val="12"/>
                <w:color w:val="auto"/>
              </w:rPr>
            </w:pPr>
          </w:p>
        </w:tc>
        <w:tc>
          <w:tcPr>
            <w:tcW w:w="660" w:type="dxa"/>
            <w:vAlign w:val="bottom"/>
            <w:tcBorders>
              <w:bottom w:val="single" w:sz="8" w:color="585458"/>
            </w:tcBorders>
          </w:tcPr>
          <w:p>
            <w:pPr>
              <w:jc w:val="right"/>
              <w:spacing w:after="0"/>
              <w:rPr>
                <w:sz w:val="20"/>
                <w:szCs w:val="20"/>
                <w:color w:val="auto"/>
              </w:rPr>
            </w:pPr>
            <w:r>
              <w:rPr>
                <w:rFonts w:ascii="Times New Roman" w:cs="Times New Roman" w:eastAsia="Times New Roman" w:hAnsi="Times New Roman"/>
                <w:sz w:val="12"/>
                <w:szCs w:val="12"/>
                <w:color w:val="auto"/>
              </w:rPr>
              <w:t>4.25</w:t>
            </w:r>
          </w:p>
        </w:tc>
        <w:tc>
          <w:tcPr>
            <w:tcW w:w="40" w:type="dxa"/>
            <w:vAlign w:val="bottom"/>
          </w:tcPr>
          <w:p>
            <w:pPr>
              <w:spacing w:after="0"/>
              <w:rPr>
                <w:sz w:val="12"/>
                <w:szCs w:val="12"/>
                <w:color w:val="auto"/>
              </w:rPr>
            </w:pPr>
          </w:p>
        </w:tc>
      </w:tr>
      <w:tr>
        <w:trPr>
          <w:trHeight w:val="139"/>
        </w:trPr>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Diluted earnings (loss) per share</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(1.11)</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(0.36)</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6.95</w:t>
            </w:r>
          </w:p>
        </w:tc>
        <w:tc>
          <w:tcPr>
            <w:tcW w:w="40" w:type="dxa"/>
            <w:vAlign w:val="bottom"/>
          </w:tcPr>
          <w:p>
            <w:pPr>
              <w:spacing w:after="0"/>
              <w:rPr>
                <w:sz w:val="12"/>
                <w:szCs w:val="12"/>
                <w:color w:val="auto"/>
              </w:rPr>
            </w:pPr>
          </w:p>
        </w:tc>
      </w:tr>
      <w:tr>
        <w:trPr>
          <w:trHeight w:val="108"/>
        </w:trPr>
        <w:tc>
          <w:tcPr>
            <w:tcW w:w="3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98"/>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Dividends per share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47"/>
        </w:trPr>
        <w:tc>
          <w:tcPr>
            <w:tcW w:w="34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Regular di v idends</w:t>
            </w:r>
          </w:p>
        </w:tc>
        <w:tc>
          <w:tcPr>
            <w:tcW w:w="100" w:type="dxa"/>
            <w:vAlign w:val="bottom"/>
            <w:tcBorders>
              <w:bottom w:val="single" w:sz="8" w:color="646464"/>
            </w:tcBorders>
          </w:tcPr>
          <w:p>
            <w:pPr>
              <w:spacing w:after="0"/>
              <w:rPr>
                <w:sz w:val="12"/>
                <w:szCs w:val="12"/>
                <w:color w:val="auto"/>
              </w:rPr>
            </w:pPr>
          </w:p>
        </w:tc>
        <w:tc>
          <w:tcPr>
            <w:tcW w:w="200" w:type="dxa"/>
            <w:vAlign w:val="bottom"/>
            <w:tcBorders>
              <w:bottom w:val="single" w:sz="8" w:color="646464"/>
            </w:tcBorders>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646464"/>
            </w:tcBorders>
          </w:tcPr>
          <w:p>
            <w:pPr>
              <w:jc w:val="right"/>
              <w:spacing w:after="0"/>
              <w:rPr>
                <w:sz w:val="20"/>
                <w:szCs w:val="20"/>
                <w:color w:val="auto"/>
              </w:rPr>
            </w:pPr>
            <w:r>
              <w:rPr>
                <w:rFonts w:ascii="Times New Roman" w:cs="Times New Roman" w:eastAsia="Times New Roman" w:hAnsi="Times New Roman"/>
                <w:sz w:val="12"/>
                <w:szCs w:val="12"/>
                <w:color w:val="auto"/>
              </w:rPr>
              <w:t>0.76</w:t>
            </w:r>
          </w:p>
        </w:tc>
        <w:tc>
          <w:tcPr>
            <w:tcW w:w="20" w:type="dxa"/>
            <w:vAlign w:val="bottom"/>
            <w:tcBorders>
              <w:bottom w:val="single" w:sz="8" w:color="646464"/>
            </w:tcBorders>
          </w:tcPr>
          <w:p>
            <w:pPr>
              <w:spacing w:after="0"/>
              <w:rPr>
                <w:sz w:val="12"/>
                <w:szCs w:val="12"/>
                <w:color w:val="auto"/>
              </w:rPr>
            </w:pPr>
          </w:p>
        </w:tc>
        <w:tc>
          <w:tcPr>
            <w:tcW w:w="80" w:type="dxa"/>
            <w:vAlign w:val="bottom"/>
            <w:tcBorders>
              <w:bottom w:val="single" w:sz="8" w:color="646464"/>
            </w:tcBorders>
          </w:tcPr>
          <w:p>
            <w:pPr>
              <w:spacing w:after="0"/>
              <w:rPr>
                <w:sz w:val="12"/>
                <w:szCs w:val="12"/>
                <w:color w:val="auto"/>
              </w:rPr>
            </w:pPr>
          </w:p>
        </w:tc>
        <w:tc>
          <w:tcPr>
            <w:tcW w:w="220" w:type="dxa"/>
            <w:vAlign w:val="bottom"/>
            <w:tcBorders>
              <w:bottom w:val="single" w:sz="8" w:color="646464"/>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646464"/>
            </w:tcBorders>
          </w:tcPr>
          <w:p>
            <w:pPr>
              <w:jc w:val="right"/>
              <w:spacing w:after="0"/>
              <w:rPr>
                <w:sz w:val="20"/>
                <w:szCs w:val="20"/>
                <w:color w:val="auto"/>
              </w:rPr>
            </w:pPr>
            <w:r>
              <w:rPr>
                <w:rFonts w:ascii="Times New Roman" w:cs="Times New Roman" w:eastAsia="Times New Roman" w:hAnsi="Times New Roman"/>
                <w:sz w:val="12"/>
                <w:szCs w:val="12"/>
                <w:color w:val="auto"/>
              </w:rPr>
              <w:t>0.68</w:t>
            </w:r>
          </w:p>
        </w:tc>
        <w:tc>
          <w:tcPr>
            <w:tcW w:w="20" w:type="dxa"/>
            <w:vAlign w:val="bottom"/>
            <w:tcBorders>
              <w:bottom w:val="single" w:sz="8" w:color="646464"/>
            </w:tcBorders>
          </w:tcPr>
          <w:p>
            <w:pPr>
              <w:spacing w:after="0"/>
              <w:rPr>
                <w:sz w:val="12"/>
                <w:szCs w:val="12"/>
                <w:color w:val="auto"/>
              </w:rPr>
            </w:pPr>
          </w:p>
        </w:tc>
        <w:tc>
          <w:tcPr>
            <w:tcW w:w="80" w:type="dxa"/>
            <w:vAlign w:val="bottom"/>
            <w:tcBorders>
              <w:bottom w:val="single" w:sz="8" w:color="646464"/>
            </w:tcBorders>
          </w:tcPr>
          <w:p>
            <w:pPr>
              <w:spacing w:after="0"/>
              <w:rPr>
                <w:sz w:val="12"/>
                <w:szCs w:val="12"/>
                <w:color w:val="auto"/>
              </w:rPr>
            </w:pPr>
          </w:p>
        </w:tc>
        <w:tc>
          <w:tcPr>
            <w:tcW w:w="220" w:type="dxa"/>
            <w:vAlign w:val="bottom"/>
            <w:tcBorders>
              <w:bottom w:val="single" w:sz="8" w:color="646464"/>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646464"/>
            </w:tcBorders>
          </w:tcPr>
          <w:p>
            <w:pPr>
              <w:jc w:val="right"/>
              <w:spacing w:after="0"/>
              <w:rPr>
                <w:sz w:val="20"/>
                <w:szCs w:val="20"/>
                <w:color w:val="auto"/>
              </w:rPr>
            </w:pPr>
            <w:r>
              <w:rPr>
                <w:rFonts w:ascii="Times New Roman" w:cs="Times New Roman" w:eastAsia="Times New Roman" w:hAnsi="Times New Roman"/>
                <w:sz w:val="12"/>
                <w:szCs w:val="12"/>
                <w:color w:val="auto"/>
              </w:rPr>
              <w:t>0.60</w:t>
            </w:r>
          </w:p>
        </w:tc>
        <w:tc>
          <w:tcPr>
            <w:tcW w:w="40" w:type="dxa"/>
            <w:vAlign w:val="bottom"/>
            <w:tcBorders>
              <w:bottom w:val="single" w:sz="8" w:color="646464"/>
            </w:tcBorders>
          </w:tcPr>
          <w:p>
            <w:pPr>
              <w:spacing w:after="0"/>
              <w:rPr>
                <w:sz w:val="12"/>
                <w:szCs w:val="12"/>
                <w:color w:val="auto"/>
              </w:rPr>
            </w:pPr>
          </w:p>
        </w:tc>
      </w:tr>
      <w:tr>
        <w:trPr>
          <w:trHeight w:val="164"/>
        </w:trPr>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Special dividend</w:t>
            </w:r>
          </w:p>
        </w:tc>
        <w:tc>
          <w:tcPr>
            <w:tcW w:w="200" w:type="dxa"/>
            <w:vAlign w:val="bottom"/>
            <w:tcBorders>
              <w:bottom w:val="single" w:sz="8" w:color="201C20"/>
            </w:tcBorders>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201C20"/>
            </w:tcBorders>
          </w:tcPr>
          <w:p>
            <w:pPr>
              <w:spacing w:after="0"/>
              <w:rPr>
                <w:sz w:val="14"/>
                <w:szCs w:val="14"/>
                <w:color w:val="auto"/>
              </w:rPr>
            </w:pPr>
          </w:p>
        </w:tc>
        <w:tc>
          <w:tcPr>
            <w:tcW w:w="20" w:type="dxa"/>
            <w:vAlign w:val="bottom"/>
            <w:tcBorders>
              <w:bottom w:val="single" w:sz="8" w:color="201C20"/>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201C20"/>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201C20"/>
            </w:tcBorders>
          </w:tcPr>
          <w:p>
            <w:pPr>
              <w:spacing w:after="0"/>
              <w:rPr>
                <w:sz w:val="14"/>
                <w:szCs w:val="14"/>
                <w:color w:val="auto"/>
              </w:rPr>
            </w:pPr>
          </w:p>
        </w:tc>
        <w:tc>
          <w:tcPr>
            <w:tcW w:w="20" w:type="dxa"/>
            <w:vAlign w:val="bottom"/>
            <w:tcBorders>
              <w:bottom w:val="single" w:sz="8" w:color="201C20"/>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242020"/>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242020"/>
            </w:tcBorders>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40" w:type="dxa"/>
            <w:vAlign w:val="bottom"/>
          </w:tcPr>
          <w:p>
            <w:pPr>
              <w:spacing w:after="0"/>
              <w:rPr>
                <w:sz w:val="14"/>
                <w:szCs w:val="14"/>
                <w:color w:val="auto"/>
              </w:rPr>
            </w:pPr>
          </w:p>
        </w:tc>
      </w:tr>
    </w:tbl>
    <w:p>
      <w:pPr>
        <w:spacing w:after="0" w:line="1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2"/>
          <w:szCs w:val="12"/>
          <w:color w:val="auto"/>
        </w:rPr>
        <w:t>The accompanying notes to consolidated financial statements are an integral part of these statem ents.</w:t>
      </w:r>
    </w:p>
    <w:p>
      <w:pPr>
        <w:spacing w:after="0" w:line="200" w:lineRule="exact"/>
        <w:rPr>
          <w:sz w:val="20"/>
          <w:szCs w:val="20"/>
          <w:color w:val="auto"/>
        </w:rPr>
      </w:pPr>
    </w:p>
    <w:p>
      <w:pPr>
        <w:sectPr>
          <w:pgSz w:w="15840" w:h="12240" w:orient="landscape"/>
          <w:cols w:equalWidth="0" w:num="2">
            <w:col w:w="7200" w:space="720"/>
            <w:col w:w="6420"/>
          </w:cols>
          <w:pgMar w:left="740" w:top="1440" w:right="760" w:bottom="925" w:gutter="0" w:footer="0" w:header="0"/>
        </w:sectPr>
      </w:pPr>
    </w:p>
    <w:p>
      <w:pPr>
        <w:spacing w:after="0" w:line="238" w:lineRule="exact"/>
        <w:rPr>
          <w:sz w:val="20"/>
          <w:szCs w:val="20"/>
          <w:color w:val="auto"/>
        </w:rPr>
      </w:pPr>
    </w:p>
    <w:p>
      <w:pPr>
        <w:ind w:left="3180"/>
        <w:spacing w:after="0"/>
        <w:tabs>
          <w:tab w:leader="none" w:pos="11080" w:val="left"/>
        </w:tabs>
        <w:rPr>
          <w:sz w:val="20"/>
          <w:szCs w:val="20"/>
          <w:color w:val="auto"/>
        </w:rPr>
      </w:pPr>
      <w:r>
        <w:rPr>
          <w:rFonts w:ascii="Times New Roman" w:cs="Times New Roman" w:eastAsia="Times New Roman" w:hAnsi="Times New Roman"/>
          <w:sz w:val="9"/>
          <w:szCs w:val="9"/>
          <w:color w:val="auto"/>
        </w:rPr>
        <w:t>17</w:t>
      </w:r>
      <w:r>
        <w:rPr>
          <w:sz w:val="20"/>
          <w:szCs w:val="20"/>
          <w:color w:val="auto"/>
        </w:rPr>
        <w:tab/>
      </w:r>
      <w:r>
        <w:rPr>
          <w:rFonts w:ascii="Times New Roman" w:cs="Times New Roman" w:eastAsia="Times New Roman" w:hAnsi="Times New Roman"/>
          <w:sz w:val="9"/>
          <w:szCs w:val="9"/>
          <w:color w:val="auto"/>
        </w:rPr>
        <w:t>18</w:t>
      </w:r>
    </w:p>
    <w:p>
      <w:pPr>
        <w:sectPr>
          <w:pgSz w:w="15840" w:h="12240" w:orient="landscape"/>
          <w:cols w:equalWidth="0" w:num="1">
            <w:col w:w="14340"/>
          </w:cols>
          <w:pgMar w:left="740" w:top="1440" w:right="760" w:bottom="925" w:gutter="0" w:footer="0" w:header="0"/>
          <w:type w:val="continuous"/>
        </w:sectPr>
      </w:pPr>
    </w:p>
    <w:bookmarkStart w:id="13" w:name="page14"/>
    <w:bookmarkEnd w:id="13"/>
    <w:p>
      <w:pPr>
        <w:spacing w:after="0" w:line="2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2"/>
          <w:szCs w:val="12"/>
          <w:color w:val="auto"/>
        </w:rPr>
        <w:t>Consolidated Statements of Comprehensive Income (Loss)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2"/>
          <w:szCs w:val="12"/>
          <w:b w:val="1"/>
          <w:bCs w:val="1"/>
          <w:color w:val="auto"/>
        </w:rPr>
        <w:t>Bassett Furniture Industries, Incorporated and Subsidiaries</w:t>
      </w:r>
    </w:p>
    <w:p>
      <w:pPr>
        <w:spacing w:after="0" w:line="12"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2"/>
          <w:szCs w:val="12"/>
          <w:color w:val="auto"/>
        </w:rPr>
        <w:t>For the years ended November 30, 2024, November 25, 2023, and November 25, 2022</w:t>
      </w:r>
    </w:p>
    <w:p>
      <w:pPr>
        <w:spacing w:after="0" w:line="15"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2"/>
          <w:szCs w:val="12"/>
          <w:color w:val="auto"/>
        </w:rPr>
        <w:t>(In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3C383C"/>
            </w:tcBorders>
          </w:tcPr>
          <w:p>
            <w:pPr>
              <w:spacing w:after="0"/>
              <w:rPr>
                <w:sz w:val="12"/>
                <w:szCs w:val="12"/>
                <w:color w:val="auto"/>
              </w:rPr>
            </w:pPr>
          </w:p>
        </w:tc>
        <w:tc>
          <w:tcPr>
            <w:tcW w:w="660" w:type="dxa"/>
            <w:vAlign w:val="bottom"/>
            <w:tcBorders>
              <w:bottom w:val="single" w:sz="8" w:color="3C383C"/>
            </w:tcBorders>
          </w:tcPr>
          <w:p>
            <w:pPr>
              <w:jc w:val="right"/>
              <w:ind w:right="240"/>
              <w:spacing w:after="0"/>
              <w:rPr>
                <w:sz w:val="20"/>
                <w:szCs w:val="20"/>
                <w:color w:val="auto"/>
              </w:rPr>
            </w:pPr>
            <w:r>
              <w:rPr>
                <w:rFonts w:ascii="Times New Roman" w:cs="Times New Roman" w:eastAsia="Times New Roman" w:hAnsi="Times New Roman"/>
                <w:sz w:val="12"/>
                <w:szCs w:val="12"/>
                <w:color w:val="auto"/>
              </w:rPr>
              <w:t>2024</w:t>
            </w:r>
          </w:p>
        </w:tc>
        <w:tc>
          <w:tcPr>
            <w:tcW w:w="140" w:type="dxa"/>
            <w:vAlign w:val="bottom"/>
          </w:tcPr>
          <w:p>
            <w:pPr>
              <w:spacing w:after="0"/>
              <w:rPr>
                <w:sz w:val="12"/>
                <w:szCs w:val="12"/>
                <w:color w:val="auto"/>
              </w:rPr>
            </w:pPr>
          </w:p>
        </w:tc>
        <w:tc>
          <w:tcPr>
            <w:tcW w:w="160" w:type="dxa"/>
            <w:vAlign w:val="bottom"/>
            <w:tcBorders>
              <w:bottom w:val="single" w:sz="8" w:color="3C383C"/>
            </w:tcBorders>
          </w:tcPr>
          <w:p>
            <w:pPr>
              <w:spacing w:after="0"/>
              <w:rPr>
                <w:sz w:val="12"/>
                <w:szCs w:val="12"/>
                <w:color w:val="auto"/>
              </w:rPr>
            </w:pPr>
          </w:p>
        </w:tc>
        <w:tc>
          <w:tcPr>
            <w:tcW w:w="660" w:type="dxa"/>
            <w:vAlign w:val="bottom"/>
            <w:tcBorders>
              <w:bottom w:val="single" w:sz="8" w:color="3C383C"/>
            </w:tcBorders>
          </w:tcPr>
          <w:p>
            <w:pPr>
              <w:jc w:val="right"/>
              <w:ind w:right="220"/>
              <w:spacing w:after="0"/>
              <w:rPr>
                <w:sz w:val="20"/>
                <w:szCs w:val="20"/>
                <w:color w:val="auto"/>
              </w:rPr>
            </w:pPr>
            <w:r>
              <w:rPr>
                <w:rFonts w:ascii="Times New Roman" w:cs="Times New Roman" w:eastAsia="Times New Roman" w:hAnsi="Times New Roman"/>
                <w:sz w:val="12"/>
                <w:szCs w:val="12"/>
                <w:color w:val="auto"/>
              </w:rPr>
              <w:t>2023</w:t>
            </w:r>
          </w:p>
        </w:tc>
        <w:tc>
          <w:tcPr>
            <w:tcW w:w="140" w:type="dxa"/>
            <w:vAlign w:val="bottom"/>
          </w:tcPr>
          <w:p>
            <w:pPr>
              <w:spacing w:after="0"/>
              <w:rPr>
                <w:sz w:val="12"/>
                <w:szCs w:val="12"/>
                <w:color w:val="auto"/>
              </w:rPr>
            </w:pPr>
          </w:p>
        </w:tc>
        <w:tc>
          <w:tcPr>
            <w:tcW w:w="180" w:type="dxa"/>
            <w:vAlign w:val="bottom"/>
            <w:tcBorders>
              <w:bottom w:val="single" w:sz="8" w:color="3C383C"/>
            </w:tcBorders>
          </w:tcPr>
          <w:p>
            <w:pPr>
              <w:spacing w:after="0"/>
              <w:rPr>
                <w:sz w:val="12"/>
                <w:szCs w:val="12"/>
                <w:color w:val="auto"/>
              </w:rPr>
            </w:pPr>
          </w:p>
        </w:tc>
        <w:tc>
          <w:tcPr>
            <w:tcW w:w="660" w:type="dxa"/>
            <w:vAlign w:val="bottom"/>
            <w:tcBorders>
              <w:bottom w:val="single" w:sz="8" w:color="3C383C"/>
            </w:tcBorders>
          </w:tcPr>
          <w:p>
            <w:pPr>
              <w:jc w:val="right"/>
              <w:ind w:right="240"/>
              <w:spacing w:after="0"/>
              <w:rPr>
                <w:sz w:val="20"/>
                <w:szCs w:val="20"/>
                <w:color w:val="auto"/>
              </w:rPr>
            </w:pPr>
            <w:r>
              <w:rPr>
                <w:rFonts w:ascii="Times New Roman" w:cs="Times New Roman" w:eastAsia="Times New Roman" w:hAnsi="Times New Roman"/>
                <w:sz w:val="12"/>
                <w:szCs w:val="12"/>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income (Joss)</w:t>
            </w: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(9 ,695)</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(3,171)</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65 ,345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Foreign currency tran slation adjustments</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(378)</w:t>
            </w: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(274)</w:t>
            </w:r>
          </w:p>
        </w:tc>
        <w:tc>
          <w:tcPr>
            <w:tcW w:w="0" w:type="dxa"/>
            <w:vAlign w:val="bottom"/>
          </w:tcPr>
          <w:p>
            <w:pPr>
              <w:spacing w:after="0"/>
              <w:rPr>
                <w:sz w:val="1"/>
                <w:szCs w:val="1"/>
                <w:color w:val="auto"/>
              </w:rPr>
            </w:pPr>
          </w:p>
        </w:tc>
      </w:tr>
      <w:tr>
        <w:trPr>
          <w:trHeight w:val="149"/>
        </w:trPr>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Income taxes related to foreign currency translation</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adjustments</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(166)</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Actuarial adjustment to</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Long Term Cash Awards (L TCA)</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(117)</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Amortization associated with LTCA</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Income taxes related to LTCA</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(59)</w:t>
            </w: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0" w:type="dxa"/>
            <w:vAlign w:val="bottom"/>
          </w:tcPr>
          <w:p>
            <w:pPr>
              <w:spacing w:after="0"/>
              <w:rPr>
                <w:sz w:val="1"/>
                <w:szCs w:val="1"/>
                <w:color w:val="auto"/>
              </w:rPr>
            </w:pPr>
          </w:p>
        </w:tc>
      </w:tr>
      <w:tr>
        <w:trPr>
          <w:trHeight w:val="144"/>
        </w:trPr>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Actuarial adjustment to supplemental executive retirement</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60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defmed benefit plan (SERP)</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Amortization associated with SERP</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(22)</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Income taxes related to SERP</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(100)</w:t>
            </w:r>
          </w:p>
        </w:tc>
        <w:tc>
          <w:tcPr>
            <w:tcW w:w="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(575)</w:t>
            </w:r>
          </w:p>
        </w:tc>
        <w:tc>
          <w:tcPr>
            <w:tcW w:w="0" w:type="dxa"/>
            <w:vAlign w:val="bottom"/>
          </w:tcPr>
          <w:p>
            <w:pPr>
              <w:spacing w:after="0"/>
              <w:rPr>
                <w:sz w:val="1"/>
                <w:szCs w:val="1"/>
                <w:color w:val="auto"/>
              </w:rPr>
            </w:pPr>
          </w:p>
        </w:tc>
      </w:tr>
      <w:tr>
        <w:trPr>
          <w:trHeight w:val="77"/>
        </w:trPr>
        <w:tc>
          <w:tcPr>
            <w:tcW w:w="3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2"/>
                <w:szCs w:val="12"/>
                <w:color w:val="auto"/>
              </w:rPr>
              <w:t>Other comprehensive income (Joss), net of tax</w:t>
            </w: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6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34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gridSpan w:val="2"/>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gridSpan w:val="2"/>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Total comprehensive income (Joss)</w:t>
            </w:r>
          </w:p>
        </w:tc>
        <w:tc>
          <w:tcPr>
            <w:tcW w:w="160" w:type="dxa"/>
            <w:vAlign w:val="bottom"/>
            <w:tcBorders>
              <w:bottom w:val="single" w:sz="8" w:color="545454"/>
            </w:tcBorders>
          </w:tcPr>
          <w:p>
            <w:pPr>
              <w:spacing w:after="0"/>
              <w:rPr>
                <w:sz w:val="17"/>
                <w:szCs w:val="17"/>
                <w:color w:val="auto"/>
              </w:rPr>
            </w:pPr>
          </w:p>
        </w:tc>
        <w:tc>
          <w:tcPr>
            <w:tcW w:w="180" w:type="dxa"/>
            <w:vAlign w:val="bottom"/>
            <w:tcBorders>
              <w:bottom w:val="single" w:sz="8" w:color="545454"/>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585454"/>
            </w:tcBorders>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(9,054)</w:t>
            </w:r>
          </w:p>
        </w:tc>
        <w:tc>
          <w:tcPr>
            <w:tcW w:w="160" w:type="dxa"/>
            <w:vAlign w:val="bottom"/>
            <w:tcBorders>
              <w:bottom w:val="single" w:sz="8" w:color="585454"/>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585454"/>
            </w:tcBorders>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(3,069)</w:t>
            </w:r>
          </w:p>
        </w:tc>
        <w:tc>
          <w:tcPr>
            <w:tcW w:w="180" w:type="dxa"/>
            <w:vAlign w:val="bottom"/>
            <w:tcBorders>
              <w:bottom w:val="single" w:sz="8" w:color="585454"/>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67,218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2"/>
          <w:szCs w:val="12"/>
          <w:color w:val="auto"/>
        </w:rPr>
        <w:t>The accompanying notes to consolidated financial statements are an integral part of these statements.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-5498465</wp:posOffset>
            </wp:positionH>
            <wp:positionV relativeFrom="paragraph">
              <wp:posOffset>-1137285</wp:posOffset>
            </wp:positionV>
            <wp:extent cx="10058400" cy="7772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Bassett Furniture Industries, Incorporated and Subsidiaries</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For the years ended November 30, 2024, November 25, 2023, and November 26, 2022</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3C383C"/>
            </w:tcBorders>
          </w:tcPr>
          <w:p>
            <w:pPr>
              <w:spacing w:after="0"/>
              <w:rPr>
                <w:sz w:val="12"/>
                <w:szCs w:val="12"/>
                <w:color w:val="auto"/>
              </w:rPr>
            </w:pPr>
          </w:p>
        </w:tc>
        <w:tc>
          <w:tcPr>
            <w:tcW w:w="660" w:type="dxa"/>
            <w:vAlign w:val="bottom"/>
            <w:tcBorders>
              <w:bottom w:val="single" w:sz="8" w:color="3C383C"/>
            </w:tcBorders>
          </w:tcPr>
          <w:p>
            <w:pPr>
              <w:jc w:val="right"/>
              <w:ind w:right="240"/>
              <w:spacing w:after="0"/>
              <w:rPr>
                <w:sz w:val="20"/>
                <w:szCs w:val="20"/>
                <w:color w:val="auto"/>
              </w:rPr>
            </w:pPr>
            <w:r>
              <w:rPr>
                <w:rFonts w:ascii="Times New Roman" w:cs="Times New Roman" w:eastAsia="Times New Roman" w:hAnsi="Times New Roman"/>
                <w:sz w:val="12"/>
                <w:szCs w:val="12"/>
                <w:color w:val="auto"/>
              </w:rPr>
              <w:t>2024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3C383C"/>
            </w:tcBorders>
          </w:tcPr>
          <w:p>
            <w:pPr>
              <w:spacing w:after="0"/>
              <w:rPr>
                <w:sz w:val="12"/>
                <w:szCs w:val="12"/>
                <w:color w:val="auto"/>
              </w:rPr>
            </w:pPr>
          </w:p>
        </w:tc>
        <w:tc>
          <w:tcPr>
            <w:tcW w:w="640" w:type="dxa"/>
            <w:vAlign w:val="bottom"/>
            <w:tcBorders>
              <w:bottom w:val="single" w:sz="8" w:color="3C383C"/>
            </w:tcBorders>
          </w:tcPr>
          <w:p>
            <w:pPr>
              <w:jc w:val="right"/>
              <w:ind w:right="220"/>
              <w:spacing w:after="0"/>
              <w:rPr>
                <w:sz w:val="20"/>
                <w:szCs w:val="20"/>
                <w:color w:val="auto"/>
              </w:rPr>
            </w:pPr>
            <w:r>
              <w:rPr>
                <w:rFonts w:ascii="Times New Roman" w:cs="Times New Roman" w:eastAsia="Times New Roman" w:hAnsi="Times New Roman"/>
                <w:sz w:val="12"/>
                <w:szCs w:val="12"/>
                <w:color w:val="auto"/>
              </w:rPr>
              <w:t>2023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Operating activities: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income (Joss)</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(9 ,695)</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(3 , 171)</w:t>
            </w:r>
          </w:p>
        </w:tc>
        <w:tc>
          <w:tcPr>
            <w:tcW w:w="40" w:type="dxa"/>
            <w:vAlign w:val="bottom"/>
          </w:tcPr>
          <w:p>
            <w:pPr>
              <w:spacing w:after="0"/>
              <w:rPr>
                <w:sz w:val="12"/>
                <w:szCs w:val="12"/>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65 ,345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Adjustments to reconcile net income (loss) to net cash provided by</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(used in) operating activities: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9,918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10, 141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11 ,309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Gain on di sposa l of discontinued operations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(52 ,534)</w:t>
            </w:r>
          </w:p>
        </w:tc>
        <w:tc>
          <w:tcPr>
            <w:tcW w:w="0" w:type="dxa"/>
            <w:vAlign w:val="bottom"/>
          </w:tcPr>
          <w:p>
            <w:pPr>
              <w:spacing w:after="0"/>
              <w:rPr>
                <w:sz w:val="1"/>
                <w:szCs w:val="1"/>
                <w:color w:val="auto"/>
              </w:rPr>
            </w:pPr>
          </w:p>
        </w:tc>
      </w:tr>
      <w:tr>
        <w:trPr>
          <w:trHeight w:val="144"/>
        </w:trPr>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Non-cash goodwill impairment charge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Gain on reva luation of contingent consideration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(1 ,013)</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Asset impairment charges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Net Joss (gain) on disposa ls of property and equipment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(4 ,595)</w:t>
            </w:r>
          </w:p>
        </w:tc>
        <w:tc>
          <w:tcPr>
            <w:tcW w:w="0" w:type="dxa"/>
            <w:vAlign w:val="bottom"/>
          </w:tcPr>
          <w:p>
            <w:pPr>
              <w:spacing w:after="0"/>
              <w:rPr>
                <w:sz w:val="1"/>
                <w:szCs w:val="1"/>
                <w:color w:val="auto"/>
              </w:rPr>
            </w:pPr>
          </w:p>
        </w:tc>
      </w:tr>
      <w:tr>
        <w:trPr>
          <w:trHeight w:val="149"/>
        </w:trPr>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Inventory va luation charges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5,00 I</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Deferred income taxes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(2,442)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(2 ,339)</w:t>
            </w:r>
          </w:p>
        </w:tc>
        <w:tc>
          <w:tcPr>
            <w:tcW w:w="0" w:type="dxa"/>
            <w:vAlign w:val="bottom"/>
          </w:tcPr>
          <w:p>
            <w:pPr>
              <w:spacing w:after="0"/>
              <w:rPr>
                <w:sz w:val="1"/>
                <w:szCs w:val="1"/>
                <w:color w:val="auto"/>
              </w:rPr>
            </w:pPr>
          </w:p>
        </w:tc>
      </w:tr>
      <w:tr>
        <w:trPr>
          <w:trHeight w:val="149"/>
        </w:trPr>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Other, net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0" w:type="dxa"/>
            <w:vAlign w:val="bottom"/>
          </w:tcPr>
          <w:p>
            <w:pPr>
              <w:spacing w:after="0"/>
              <w:rPr>
                <w:sz w:val="1"/>
                <w:szCs w:val="1"/>
                <w:color w:val="auto"/>
              </w:rPr>
            </w:pPr>
          </w:p>
        </w:tc>
      </w:tr>
      <w:tr>
        <w:trPr>
          <w:trHeight w:val="149"/>
        </w:trPr>
        <w:tc>
          <w:tcPr>
            <w:tcW w:w="35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Accounts recei vable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4, 102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3, 169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In ventories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17,869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(9 ,536)</w:t>
            </w:r>
          </w:p>
        </w:tc>
        <w:tc>
          <w:tcPr>
            <w:tcW w:w="0" w:type="dxa"/>
            <w:vAlign w:val="bottom"/>
          </w:tcPr>
          <w:p>
            <w:pPr>
              <w:spacing w:after="0"/>
              <w:rPr>
                <w:sz w:val="1"/>
                <w:szCs w:val="1"/>
                <w:color w:val="auto"/>
              </w:rPr>
            </w:pPr>
          </w:p>
        </w:tc>
      </w:tr>
      <w:tr>
        <w:trPr>
          <w:trHeight w:val="149"/>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Other current and long-term assets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(2,427)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Right of use assets under operating leases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17,254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18,680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Customer deposits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(13 , 175)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( 16,588)</w:t>
            </w:r>
          </w:p>
        </w:tc>
        <w:tc>
          <w:tcPr>
            <w:tcW w:w="0" w:type="dxa"/>
            <w:vAlign w:val="bottom"/>
          </w:tcPr>
          <w:p>
            <w:pPr>
              <w:spacing w:after="0"/>
              <w:rPr>
                <w:sz w:val="1"/>
                <w:szCs w:val="1"/>
                <w:color w:val="auto"/>
              </w:rPr>
            </w:pPr>
          </w:p>
        </w:tc>
      </w:tr>
      <w:tr>
        <w:trPr>
          <w:trHeight w:val="149"/>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(7,246)</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(9 , 188)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(4 ,073)</w:t>
            </w:r>
          </w:p>
        </w:tc>
        <w:tc>
          <w:tcPr>
            <w:tcW w:w="0" w:type="dxa"/>
            <w:vAlign w:val="bottom"/>
          </w:tcPr>
          <w:p>
            <w:pPr>
              <w:spacing w:after="0"/>
              <w:rPr>
                <w:sz w:val="1"/>
                <w:szCs w:val="1"/>
                <w:color w:val="auto"/>
              </w:rPr>
            </w:pPr>
          </w:p>
        </w:tc>
      </w:tr>
      <w:tr>
        <w:trPr>
          <w:trHeight w:val="147"/>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Obligations under operating leases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(20 ,637)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(20 , 196)</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(22 ,949)</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20" w:type="dxa"/>
            <w:vAlign w:val="bottom"/>
          </w:tcPr>
          <w:p>
            <w:pPr>
              <w:spacing w:after="0" w:line="20" w:lineRule="exact"/>
              <w:rPr>
                <w:sz w:val="1"/>
                <w:szCs w:val="1"/>
                <w:color w:val="auto"/>
              </w:rPr>
            </w:pPr>
          </w:p>
        </w:tc>
        <w:tc>
          <w:tcPr>
            <w:tcW w:w="180" w:type="dxa"/>
            <w:vAlign w:val="bottom"/>
            <w:shd w:val="clear" w:color="auto" w:fill="3C383C"/>
          </w:tcPr>
          <w:p>
            <w:pPr>
              <w:spacing w:after="0" w:line="20" w:lineRule="exact"/>
              <w:rPr>
                <w:sz w:val="1"/>
                <w:szCs w:val="1"/>
                <w:color w:val="auto"/>
              </w:rPr>
            </w:pPr>
          </w:p>
        </w:tc>
        <w:tc>
          <w:tcPr>
            <w:tcW w:w="660" w:type="dxa"/>
            <w:vAlign w:val="bottom"/>
            <w:shd w:val="clear" w:color="auto" w:fill="3C383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3C383C"/>
          </w:tcPr>
          <w:p>
            <w:pPr>
              <w:spacing w:after="0" w:line="20" w:lineRule="exact"/>
              <w:rPr>
                <w:sz w:val="1"/>
                <w:szCs w:val="1"/>
                <w:color w:val="auto"/>
              </w:rPr>
            </w:pPr>
          </w:p>
        </w:tc>
        <w:tc>
          <w:tcPr>
            <w:tcW w:w="640" w:type="dxa"/>
            <w:vAlign w:val="bottom"/>
            <w:shd w:val="clear" w:color="auto" w:fill="3C383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3C383C"/>
          </w:tcPr>
          <w:p>
            <w:pPr>
              <w:spacing w:after="0" w:line="20" w:lineRule="exact"/>
              <w:rPr>
                <w:sz w:val="1"/>
                <w:szCs w:val="1"/>
                <w:color w:val="auto"/>
              </w:rPr>
            </w:pPr>
          </w:p>
        </w:tc>
        <w:tc>
          <w:tcPr>
            <w:tcW w:w="660" w:type="dxa"/>
            <w:vAlign w:val="bottom"/>
            <w:shd w:val="clear" w:color="auto" w:fill="3C383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5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(2 ,970)</w:t>
            </w:r>
          </w:p>
        </w:tc>
        <w:tc>
          <w:tcPr>
            <w:tcW w:w="0" w:type="dxa"/>
            <w:vAlign w:val="bottom"/>
          </w:tcPr>
          <w:p>
            <w:pPr>
              <w:spacing w:after="0"/>
              <w:rPr>
                <w:sz w:val="1"/>
                <w:szCs w:val="1"/>
                <w:color w:val="auto"/>
              </w:rPr>
            </w:pPr>
          </w:p>
        </w:tc>
      </w:tr>
      <w:tr>
        <w:trPr>
          <w:trHeight w:val="97"/>
        </w:trPr>
        <w:tc>
          <w:tcPr>
            <w:tcW w:w="35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(5 ,211)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(17,489)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(21 ,296)</w:t>
            </w:r>
          </w:p>
        </w:tc>
        <w:tc>
          <w:tcPr>
            <w:tcW w:w="0" w:type="dxa"/>
            <w:vAlign w:val="bottom"/>
          </w:tcPr>
          <w:p>
            <w:pPr>
              <w:spacing w:after="0"/>
              <w:rPr>
                <w:sz w:val="1"/>
                <w:szCs w:val="1"/>
                <w:color w:val="auto"/>
              </w:rPr>
            </w:pPr>
          </w:p>
        </w:tc>
      </w:tr>
      <w:tr>
        <w:trPr>
          <w:trHeight w:val="14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xml:space="preserve">Proceeds </w:t>
            </w:r>
            <w:r>
              <w:rPr>
                <w:rFonts w:ascii="Arial" w:cs="Arial" w:eastAsia="Arial" w:hAnsi="Arial"/>
                <w:sz w:val="11"/>
                <w:szCs w:val="11"/>
                <w:i w:val="1"/>
                <w:iCs w:val="1"/>
                <w:color w:val="auto"/>
              </w:rPr>
              <w:t>from</w:t>
            </w:r>
            <w:r>
              <w:rPr>
                <w:rFonts w:ascii="Times New Roman" w:cs="Times New Roman" w:eastAsia="Times New Roman" w:hAnsi="Times New Roman"/>
                <w:sz w:val="12"/>
                <w:szCs w:val="12"/>
                <w:color w:val="auto"/>
              </w:rPr>
              <w:t xml:space="preserve"> sa les of property and equipment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paid for business acquisitions, net of cash acquired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(5 ,582)</w:t>
            </w:r>
          </w:p>
        </w:tc>
        <w:tc>
          <w:tcPr>
            <w:tcW w:w="0" w:type="dxa"/>
            <w:vAlign w:val="bottom"/>
          </w:tcPr>
          <w:p>
            <w:pPr>
              <w:spacing w:after="0"/>
              <w:rPr>
                <w:sz w:val="1"/>
                <w:szCs w:val="1"/>
                <w:color w:val="auto"/>
              </w:rPr>
            </w:pPr>
          </w:p>
        </w:tc>
      </w:tr>
      <w:tr>
        <w:trPr>
          <w:trHeight w:val="14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 vestment in certificates of deposit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(2 ,585)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(60)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xml:space="preserve">Proceeds </w:t>
            </w:r>
            <w:r>
              <w:rPr>
                <w:rFonts w:ascii="Arial" w:cs="Arial" w:eastAsia="Arial" w:hAnsi="Arial"/>
                <w:sz w:val="11"/>
                <w:szCs w:val="11"/>
                <w:i w:val="1"/>
                <w:iCs w:val="1"/>
                <w:color w:val="auto"/>
              </w:rPr>
              <w:t>from</w:t>
            </w:r>
            <w:r>
              <w:rPr>
                <w:rFonts w:ascii="Times New Roman" w:cs="Times New Roman" w:eastAsia="Times New Roman" w:hAnsi="Times New Roman"/>
                <w:sz w:val="12"/>
                <w:szCs w:val="12"/>
                <w:color w:val="auto"/>
              </w:rPr>
              <w:t xml:space="preserve"> the disposition of di scontinued operations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84,534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(972)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(1 ,714)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20" w:type="dxa"/>
            <w:vAlign w:val="bottom"/>
          </w:tcPr>
          <w:p>
            <w:pPr>
              <w:spacing w:after="0" w:line="20" w:lineRule="exact"/>
              <w:rPr>
                <w:sz w:val="1"/>
                <w:szCs w:val="1"/>
                <w:color w:val="auto"/>
              </w:rPr>
            </w:pPr>
          </w:p>
        </w:tc>
        <w:tc>
          <w:tcPr>
            <w:tcW w:w="180" w:type="dxa"/>
            <w:vAlign w:val="bottom"/>
            <w:shd w:val="clear" w:color="auto" w:fill="585458"/>
          </w:tcPr>
          <w:p>
            <w:pPr>
              <w:spacing w:after="0" w:line="20" w:lineRule="exact"/>
              <w:rPr>
                <w:sz w:val="1"/>
                <w:szCs w:val="1"/>
                <w:color w:val="auto"/>
              </w:rPr>
            </w:pPr>
          </w:p>
        </w:tc>
        <w:tc>
          <w:tcPr>
            <w:tcW w:w="660" w:type="dxa"/>
            <w:vAlign w:val="bottom"/>
            <w:shd w:val="clear" w:color="auto" w:fill="58545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585458"/>
          </w:tcPr>
          <w:p>
            <w:pPr>
              <w:spacing w:after="0" w:line="20" w:lineRule="exact"/>
              <w:rPr>
                <w:sz w:val="1"/>
                <w:szCs w:val="1"/>
                <w:color w:val="auto"/>
              </w:rPr>
            </w:pPr>
          </w:p>
        </w:tc>
        <w:tc>
          <w:tcPr>
            <w:tcW w:w="640" w:type="dxa"/>
            <w:vAlign w:val="bottom"/>
            <w:shd w:val="clear" w:color="auto" w:fill="58545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585458"/>
          </w:tcPr>
          <w:p>
            <w:pPr>
              <w:spacing w:after="0" w:line="20" w:lineRule="exact"/>
              <w:rPr>
                <w:sz w:val="1"/>
                <w:szCs w:val="1"/>
                <w:color w:val="auto"/>
              </w:rPr>
            </w:pPr>
          </w:p>
        </w:tc>
        <w:tc>
          <w:tcPr>
            <w:tcW w:w="660" w:type="dxa"/>
            <w:vAlign w:val="bottom"/>
            <w:shd w:val="clear" w:color="auto" w:fill="58545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5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(8 ,768)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(17 ,763)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65 ,842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35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dividends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(6,654)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(5 ,982)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(20,162)</w:t>
            </w:r>
          </w:p>
        </w:tc>
        <w:tc>
          <w:tcPr>
            <w:tcW w:w="0" w:type="dxa"/>
            <w:vAlign w:val="bottom"/>
          </w:tcPr>
          <w:p>
            <w:pPr>
              <w:spacing w:after="0"/>
              <w:rPr>
                <w:sz w:val="1"/>
                <w:szCs w:val="1"/>
                <w:color w:val="auto"/>
              </w:rPr>
            </w:pPr>
          </w:p>
        </w:tc>
      </w:tr>
      <w:tr>
        <w:trPr>
          <w:trHeight w:val="14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common stock</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(1,420)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(4,176)</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(15,122)</w:t>
            </w: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Taxes paid related to net share settlement of equity awards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(161)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(109)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4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Repayment of fmance lease obligations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(253)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(278)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(684)</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b w:val="1"/>
                <w:bCs w:val="1"/>
                <w:color w:val="auto"/>
              </w:rPr>
              <w:t>Net cash used in financing activities</w:t>
            </w:r>
          </w:p>
        </w:tc>
        <w:tc>
          <w:tcPr>
            <w:tcW w:w="20" w:type="dxa"/>
            <w:vAlign w:val="bottom"/>
          </w:tcPr>
          <w:p>
            <w:pPr>
              <w:spacing w:after="0" w:line="20" w:lineRule="exact"/>
              <w:rPr>
                <w:sz w:val="1"/>
                <w:szCs w:val="1"/>
                <w:color w:val="auto"/>
              </w:rPr>
            </w:pPr>
          </w:p>
        </w:tc>
        <w:tc>
          <w:tcPr>
            <w:tcW w:w="180" w:type="dxa"/>
            <w:vAlign w:val="bottom"/>
            <w:shd w:val="clear" w:color="auto" w:fill="585458"/>
          </w:tcPr>
          <w:p>
            <w:pPr>
              <w:spacing w:after="0" w:line="20" w:lineRule="exact"/>
              <w:rPr>
                <w:sz w:val="1"/>
                <w:szCs w:val="1"/>
                <w:color w:val="auto"/>
              </w:rPr>
            </w:pPr>
          </w:p>
        </w:tc>
        <w:tc>
          <w:tcPr>
            <w:tcW w:w="660" w:type="dxa"/>
            <w:vAlign w:val="bottom"/>
            <w:shd w:val="clear" w:color="auto" w:fill="58545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585458"/>
          </w:tcPr>
          <w:p>
            <w:pPr>
              <w:spacing w:after="0" w:line="20" w:lineRule="exact"/>
              <w:rPr>
                <w:sz w:val="1"/>
                <w:szCs w:val="1"/>
                <w:color w:val="auto"/>
              </w:rPr>
            </w:pPr>
          </w:p>
        </w:tc>
        <w:tc>
          <w:tcPr>
            <w:tcW w:w="640" w:type="dxa"/>
            <w:vAlign w:val="bottom"/>
            <w:shd w:val="clear" w:color="auto" w:fill="58545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585458"/>
          </w:tcPr>
          <w:p>
            <w:pPr>
              <w:spacing w:after="0" w:line="20" w:lineRule="exact"/>
              <w:rPr>
                <w:sz w:val="1"/>
                <w:szCs w:val="1"/>
                <w:color w:val="auto"/>
              </w:rPr>
            </w:pPr>
          </w:p>
        </w:tc>
        <w:tc>
          <w:tcPr>
            <w:tcW w:w="660" w:type="dxa"/>
            <w:vAlign w:val="bottom"/>
            <w:shd w:val="clear" w:color="auto" w:fill="58545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5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right"/>
              <w:ind w:right="60"/>
              <w:spacing w:after="0" w:line="136" w:lineRule="exact"/>
              <w:rPr>
                <w:sz w:val="20"/>
                <w:szCs w:val="20"/>
                <w:color w:val="auto"/>
              </w:rPr>
            </w:pPr>
            <w:r>
              <w:rPr>
                <w:rFonts w:ascii="Times New Roman" w:cs="Times New Roman" w:eastAsia="Times New Roman" w:hAnsi="Times New Roman"/>
                <w:sz w:val="12"/>
                <w:szCs w:val="12"/>
                <w:color w:val="auto"/>
              </w:rPr>
              <w:t>(8 , 117)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(10 ,227)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(35 ,563)</w:t>
            </w:r>
          </w:p>
        </w:tc>
        <w:tc>
          <w:tcPr>
            <w:tcW w:w="0" w:type="dxa"/>
            <w:vAlign w:val="bottom"/>
          </w:tcPr>
          <w:p>
            <w:pPr>
              <w:spacing w:after="0"/>
              <w:rPr>
                <w:sz w:val="1"/>
                <w:szCs w:val="1"/>
                <w:color w:val="auto"/>
              </w:rPr>
            </w:pPr>
          </w:p>
        </w:tc>
      </w:tr>
      <w:tr>
        <w:trPr>
          <w:trHeight w:val="14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Effect of exchange rate changes on cash and cash equivalents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Change in cash and cash equivalents</w:t>
            </w:r>
          </w:p>
        </w:tc>
        <w:tc>
          <w:tcPr>
            <w:tcW w:w="20" w:type="dxa"/>
            <w:vAlign w:val="bottom"/>
          </w:tcPr>
          <w:p>
            <w:pPr>
              <w:spacing w:after="0" w:line="20" w:lineRule="exact"/>
              <w:rPr>
                <w:sz w:val="1"/>
                <w:szCs w:val="1"/>
                <w:color w:val="auto"/>
              </w:rPr>
            </w:pPr>
          </w:p>
        </w:tc>
        <w:tc>
          <w:tcPr>
            <w:tcW w:w="180" w:type="dxa"/>
            <w:vAlign w:val="bottom"/>
            <w:shd w:val="clear" w:color="auto" w:fill="585454"/>
          </w:tcPr>
          <w:p>
            <w:pPr>
              <w:spacing w:after="0" w:line="20" w:lineRule="exact"/>
              <w:rPr>
                <w:sz w:val="1"/>
                <w:szCs w:val="1"/>
                <w:color w:val="auto"/>
              </w:rPr>
            </w:pPr>
          </w:p>
        </w:tc>
        <w:tc>
          <w:tcPr>
            <w:tcW w:w="660" w:type="dxa"/>
            <w:vAlign w:val="bottom"/>
            <w:shd w:val="clear" w:color="auto" w:fill="58545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585454"/>
          </w:tcPr>
          <w:p>
            <w:pPr>
              <w:spacing w:after="0" w:line="20" w:lineRule="exact"/>
              <w:rPr>
                <w:sz w:val="1"/>
                <w:szCs w:val="1"/>
                <w:color w:val="auto"/>
              </w:rPr>
            </w:pPr>
          </w:p>
        </w:tc>
        <w:tc>
          <w:tcPr>
            <w:tcW w:w="640" w:type="dxa"/>
            <w:vAlign w:val="bottom"/>
            <w:shd w:val="clear" w:color="auto" w:fill="58545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585458"/>
          </w:tcPr>
          <w:p>
            <w:pPr>
              <w:spacing w:after="0" w:line="20" w:lineRule="exact"/>
              <w:rPr>
                <w:sz w:val="1"/>
                <w:szCs w:val="1"/>
                <w:color w:val="auto"/>
              </w:rPr>
            </w:pPr>
          </w:p>
        </w:tc>
        <w:tc>
          <w:tcPr>
            <w:tcW w:w="660" w:type="dxa"/>
            <w:vAlign w:val="bottom"/>
            <w:shd w:val="clear" w:color="auto" w:fill="58545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5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(12,856)</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(9 ,218)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beginning of year</w:t>
            </w:r>
          </w:p>
        </w:tc>
        <w:tc>
          <w:tcPr>
            <w:tcW w:w="20" w:type="dxa"/>
            <w:vAlign w:val="bottom"/>
          </w:tcPr>
          <w:p>
            <w:pPr>
              <w:spacing w:after="0"/>
              <w:rPr>
                <w:sz w:val="12"/>
                <w:szCs w:val="12"/>
                <w:color w:val="auto"/>
              </w:rPr>
            </w:pPr>
          </w:p>
        </w:tc>
        <w:tc>
          <w:tcPr>
            <w:tcW w:w="180" w:type="dxa"/>
            <w:vAlign w:val="bottom"/>
            <w:tcBorders>
              <w:bottom w:val="single" w:sz="8" w:color="6C6868"/>
            </w:tcBorders>
          </w:tcPr>
          <w:p>
            <w:pPr>
              <w:spacing w:after="0"/>
              <w:rPr>
                <w:sz w:val="12"/>
                <w:szCs w:val="12"/>
                <w:color w:val="auto"/>
              </w:rPr>
            </w:pPr>
          </w:p>
        </w:tc>
        <w:tc>
          <w:tcPr>
            <w:tcW w:w="660" w:type="dxa"/>
            <w:vAlign w:val="bottom"/>
            <w:tcBorders>
              <w:bottom w:val="single" w:sz="8" w:color="6C6868"/>
            </w:tcBorders>
          </w:tcPr>
          <w:p>
            <w:pPr>
              <w:jc w:val="right"/>
              <w:spacing w:after="0"/>
              <w:rPr>
                <w:sz w:val="20"/>
                <w:szCs w:val="20"/>
                <w:color w:val="auto"/>
              </w:rPr>
            </w:pPr>
            <w:r>
              <w:rPr>
                <w:rFonts w:ascii="Times New Roman" w:cs="Times New Roman" w:eastAsia="Times New Roman" w:hAnsi="Times New Roman"/>
                <w:sz w:val="12"/>
                <w:szCs w:val="12"/>
                <w:color w:val="auto"/>
              </w:rPr>
              <w:t>52,407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6C6868"/>
            </w:tcBorders>
          </w:tcPr>
          <w:p>
            <w:pPr>
              <w:spacing w:after="0"/>
              <w:rPr>
                <w:sz w:val="12"/>
                <w:szCs w:val="12"/>
                <w:color w:val="auto"/>
              </w:rPr>
            </w:pPr>
          </w:p>
        </w:tc>
        <w:tc>
          <w:tcPr>
            <w:tcW w:w="640" w:type="dxa"/>
            <w:vAlign w:val="bottom"/>
            <w:tcBorders>
              <w:bottom w:val="single" w:sz="8" w:color="6C6868"/>
            </w:tcBorders>
          </w:tcPr>
          <w:p>
            <w:pPr>
              <w:jc w:val="right"/>
              <w:spacing w:after="0"/>
              <w:rPr>
                <w:sz w:val="20"/>
                <w:szCs w:val="20"/>
                <w:color w:val="auto"/>
              </w:rPr>
            </w:pPr>
            <w:r>
              <w:rPr>
                <w:rFonts w:ascii="Times New Roman" w:cs="Times New Roman" w:eastAsia="Times New Roman" w:hAnsi="Times New Roman"/>
                <w:sz w:val="12"/>
                <w:szCs w:val="12"/>
                <w:color w:val="auto"/>
              </w:rPr>
              <w:t>61,625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6C6868"/>
            </w:tcBorders>
          </w:tcPr>
          <w:p>
            <w:pPr>
              <w:spacing w:after="0"/>
              <w:rPr>
                <w:sz w:val="12"/>
                <w:szCs w:val="12"/>
                <w:color w:val="auto"/>
              </w:rPr>
            </w:pPr>
          </w:p>
        </w:tc>
        <w:tc>
          <w:tcPr>
            <w:tcW w:w="660" w:type="dxa"/>
            <w:vAlign w:val="bottom"/>
            <w:tcBorders>
              <w:bottom w:val="single" w:sz="8" w:color="6C6868"/>
            </w:tcBorders>
          </w:tcPr>
          <w:p>
            <w:pPr>
              <w:jc w:val="right"/>
              <w:spacing w:after="0"/>
              <w:rPr>
                <w:sz w:val="20"/>
                <w:szCs w:val="20"/>
                <w:color w:val="auto"/>
              </w:rPr>
            </w:pPr>
            <w:r>
              <w:rPr>
                <w:rFonts w:ascii="Times New Roman" w:cs="Times New Roman" w:eastAsia="Times New Roman" w:hAnsi="Times New Roman"/>
                <w:sz w:val="12"/>
                <w:szCs w:val="12"/>
                <w:color w:val="auto"/>
              </w:rPr>
              <w:t>34,374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80" w:type="dxa"/>
            <w:vAlign w:val="bottom"/>
            <w:gridSpan w:val="2"/>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Cash and cash equivalents- end of year</w:t>
            </w:r>
          </w:p>
        </w:tc>
        <w:tc>
          <w:tcPr>
            <w:tcW w:w="200" w:type="dxa"/>
            <w:vAlign w:val="bottom"/>
            <w:tcBorders>
              <w:bottom w:val="single" w:sz="8" w:color="585454"/>
            </w:tcBorders>
            <w:gridSpan w:val="2"/>
          </w:tcPr>
          <w:p>
            <w:pPr>
              <w:jc w:val="right"/>
              <w:ind w:right="100"/>
              <w:spacing w:after="0" w:line="13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585454"/>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39,551</w:t>
            </w:r>
          </w:p>
        </w:tc>
        <w:tc>
          <w:tcPr>
            <w:tcW w:w="20" w:type="dxa"/>
            <w:vAlign w:val="bottom"/>
            <w:tcBorders>
              <w:bottom w:val="single" w:sz="8" w:color="585454"/>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585454"/>
            </w:tcBorders>
            <w:gridSpan w:val="2"/>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585454"/>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52,407</w:t>
            </w:r>
          </w:p>
        </w:tc>
        <w:tc>
          <w:tcPr>
            <w:tcW w:w="20" w:type="dxa"/>
            <w:vAlign w:val="bottom"/>
            <w:tcBorders>
              <w:bottom w:val="single" w:sz="8" w:color="585454"/>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61,625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2"/>
          <w:szCs w:val="12"/>
          <w:color w:val="auto"/>
        </w:rPr>
        <w:t>The accompanying notes to consolidated financial statements are an integral part of these statements.</w:t>
      </w:r>
    </w:p>
    <w:p>
      <w:pPr>
        <w:spacing w:after="0" w:line="200" w:lineRule="exact"/>
        <w:rPr>
          <w:sz w:val="20"/>
          <w:szCs w:val="20"/>
          <w:color w:val="auto"/>
        </w:rPr>
      </w:pPr>
    </w:p>
    <w:p>
      <w:pPr>
        <w:sectPr>
          <w:pgSz w:w="15840" w:h="12240" w:orient="landscape"/>
          <w:cols w:equalWidth="0" w:num="2">
            <w:col w:w="7200" w:space="720"/>
            <w:col w:w="6420"/>
          </w:cols>
          <w:pgMar w:left="740" w:top="1440" w:right="760" w:bottom="8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180"/>
        <w:spacing w:after="0"/>
        <w:tabs>
          <w:tab w:leader="none" w:pos="11060" w:val="left"/>
        </w:tabs>
        <w:rPr>
          <w:sz w:val="20"/>
          <w:szCs w:val="20"/>
          <w:color w:val="auto"/>
        </w:rPr>
      </w:pPr>
      <w:r>
        <w:rPr>
          <w:rFonts w:ascii="Times New Roman" w:cs="Times New Roman" w:eastAsia="Times New Roman" w:hAnsi="Times New Roman"/>
          <w:sz w:val="12"/>
          <w:szCs w:val="12"/>
          <w:color w:val="auto"/>
        </w:rPr>
        <w:t>19</w:t>
      </w:r>
      <w:r>
        <w:rPr>
          <w:sz w:val="20"/>
          <w:szCs w:val="20"/>
          <w:color w:val="auto"/>
        </w:rPr>
        <w:tab/>
      </w:r>
      <w:r>
        <w:rPr>
          <w:rFonts w:ascii="Times New Roman" w:cs="Times New Roman" w:eastAsia="Times New Roman" w:hAnsi="Times New Roman"/>
          <w:sz w:val="12"/>
          <w:szCs w:val="12"/>
          <w:color w:val="auto"/>
        </w:rPr>
        <w:t>20</w:t>
      </w:r>
    </w:p>
    <w:p>
      <w:pPr>
        <w:sectPr>
          <w:pgSz w:w="15840" w:h="12240" w:orient="landscape"/>
          <w:cols w:equalWidth="0" w:num="1">
            <w:col w:w="14340"/>
          </w:cols>
          <w:pgMar w:left="740" w:top="1440" w:right="760" w:bottom="897" w:gutter="0" w:footer="0" w:header="0"/>
          <w:type w:val="continuous"/>
        </w:sectPr>
      </w:pPr>
    </w:p>
    <w:bookmarkStart w:id="14" w:name="page15"/>
    <w:bookmarkEnd w:id="14"/>
    <w:p>
      <w:pPr>
        <w:spacing w:after="0" w:line="21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2"/>
          <w:szCs w:val="12"/>
          <w:color w:val="auto"/>
        </w:rPr>
        <w:t>Consolidated Statements of Stockholders' Equity</w:t>
      </w:r>
    </w:p>
    <w:p>
      <w:pPr>
        <w:jc w:val="center"/>
        <w:ind w:right="740"/>
        <w:spacing w:after="0"/>
        <w:rPr>
          <w:sz w:val="20"/>
          <w:szCs w:val="20"/>
          <w:color w:val="auto"/>
        </w:rPr>
      </w:pPr>
      <w:r>
        <w:rPr>
          <w:rFonts w:ascii="Times New Roman" w:cs="Times New Roman" w:eastAsia="Times New Roman" w:hAnsi="Times New Roman"/>
          <w:sz w:val="13"/>
          <w:szCs w:val="13"/>
          <w:color w:val="auto"/>
        </w:rPr>
        <w:t>Bassett Furniture Industries, Incorporated and Subsidiaries</w:t>
      </w:r>
    </w:p>
    <w:p>
      <w:pPr>
        <w:spacing w:after="0" w:line="10"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2"/>
          <w:szCs w:val="12"/>
          <w:color w:val="auto"/>
        </w:rPr>
        <w:t>For the years ended November 30, 2024, November 25, 2023, and November 26, 2022</w:t>
      </w:r>
    </w:p>
    <w:p>
      <w:pPr>
        <w:spacing w:after="0" w:line="1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2"/>
          <w:szCs w:val="12"/>
          <w:color w:val="auto"/>
        </w:rPr>
        <w:t>(In thousands, except share and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jc w:val="center"/>
              <w:ind w:right="180"/>
              <w:spacing w:after="0"/>
              <w:rPr>
                <w:sz w:val="20"/>
                <w:szCs w:val="20"/>
                <w:color w:val="auto"/>
              </w:rPr>
            </w:pPr>
            <w:r>
              <w:rPr>
                <w:rFonts w:ascii="Arial" w:cs="Arial" w:eastAsia="Arial" w:hAnsi="Arial"/>
                <w:sz w:val="10"/>
                <w:szCs w:val="10"/>
                <w:color w:val="auto"/>
              </w:rPr>
              <w:t>Accumulated</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Additional</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4"/>
          </w:tcPr>
          <w:p>
            <w:pPr>
              <w:jc w:val="center"/>
              <w:ind w:right="160"/>
              <w:spacing w:after="0" w:line="137" w:lineRule="exact"/>
              <w:rPr>
                <w:sz w:val="20"/>
                <w:szCs w:val="20"/>
                <w:color w:val="auto"/>
              </w:rPr>
            </w:pPr>
            <w:r>
              <w:rPr>
                <w:rFonts w:ascii="Times New Roman" w:cs="Times New Roman" w:eastAsia="Times New Roman" w:hAnsi="Times New Roman"/>
                <w:sz w:val="12"/>
                <w:szCs w:val="12"/>
                <w:color w:val="auto"/>
              </w:rPr>
              <w:t>other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Borders>
              <w:bottom w:val="single" w:sz="8" w:color="201C20"/>
            </w:tcBorders>
            <w:gridSpan w:val="6"/>
          </w:tcPr>
          <w:p>
            <w:pPr>
              <w:jc w:val="right"/>
              <w:ind w:right="247"/>
              <w:spacing w:after="0"/>
              <w:rPr>
                <w:sz w:val="20"/>
                <w:szCs w:val="20"/>
                <w:color w:val="auto"/>
              </w:rPr>
            </w:pPr>
            <w:r>
              <w:rPr>
                <w:rFonts w:ascii="Arial" w:cs="Arial" w:eastAsia="Arial" w:hAnsi="Arial"/>
                <w:sz w:val="11"/>
                <w:szCs w:val="11"/>
                <w:color w:val="auto"/>
              </w:rPr>
              <w:t>Common Stock</w:t>
            </w:r>
          </w:p>
        </w:tc>
        <w:tc>
          <w:tcPr>
            <w:tcW w:w="10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rPr>
              <w:t>paid-in</w:t>
            </w:r>
          </w:p>
        </w:tc>
        <w:tc>
          <w:tcPr>
            <w:tcW w:w="100" w:type="dxa"/>
            <w:vAlign w:val="bottom"/>
          </w:tcPr>
          <w:p>
            <w:pPr>
              <w:spacing w:after="0"/>
              <w:rPr>
                <w:sz w:val="11"/>
                <w:szCs w:val="11"/>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Retained</w:t>
            </w:r>
          </w:p>
        </w:tc>
        <w:tc>
          <w:tcPr>
            <w:tcW w:w="20" w:type="dxa"/>
            <w:vAlign w:val="bottom"/>
          </w:tcPr>
          <w:p>
            <w:pPr>
              <w:spacing w:after="0"/>
              <w:rPr>
                <w:sz w:val="11"/>
                <w:szCs w:val="11"/>
                <w:color w:val="auto"/>
              </w:rPr>
            </w:pPr>
          </w:p>
        </w:tc>
        <w:tc>
          <w:tcPr>
            <w:tcW w:w="94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color w:val="auto"/>
              </w:rPr>
              <w:t>comprehensive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3"/>
          </w:tcPr>
          <w:p>
            <w:pPr>
              <w:ind w:left="140"/>
              <w:spacing w:after="0" w:line="126" w:lineRule="exact"/>
              <w:rPr>
                <w:sz w:val="20"/>
                <w:szCs w:val="20"/>
                <w:color w:val="auto"/>
              </w:rPr>
            </w:pPr>
            <w:r>
              <w:rPr>
                <w:rFonts w:ascii="Times New Roman" w:cs="Times New Roman" w:eastAsia="Times New Roman" w:hAnsi="Times New Roman"/>
                <w:sz w:val="12"/>
                <w:szCs w:val="12"/>
                <w:color w:val="auto"/>
              </w:rPr>
              <w:t>Shares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0"/>
                <w:szCs w:val="10"/>
                <w:color w:val="auto"/>
              </w:rPr>
              <w:t>Amount</w:t>
            </w:r>
          </w:p>
        </w:tc>
        <w:tc>
          <w:tcPr>
            <w:tcW w:w="60" w:type="dxa"/>
            <w:vAlign w:val="bottom"/>
          </w:tcPr>
          <w:p>
            <w:pPr>
              <w:spacing w:after="0"/>
              <w:rPr>
                <w:sz w:val="10"/>
                <w:szCs w:val="10"/>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9"/>
                <w:szCs w:val="9"/>
                <w:color w:val="auto"/>
              </w:rPr>
              <w:t>ca~ital</w:t>
            </w:r>
          </w:p>
        </w:tc>
        <w:tc>
          <w:tcPr>
            <w:tcW w:w="100" w:type="dxa"/>
            <w:vAlign w:val="bottom"/>
          </w:tcPr>
          <w:p>
            <w:pPr>
              <w:spacing w:after="0"/>
              <w:rPr>
                <w:sz w:val="10"/>
                <w:szCs w:val="10"/>
                <w:color w:val="auto"/>
              </w:rPr>
            </w:pPr>
          </w:p>
        </w:tc>
        <w:tc>
          <w:tcPr>
            <w:tcW w:w="620" w:type="dxa"/>
            <w:vAlign w:val="bottom"/>
            <w:gridSpan w:val="3"/>
          </w:tcPr>
          <w:p>
            <w:pPr>
              <w:jc w:val="right"/>
              <w:ind w:right="180"/>
              <w:spacing w:after="0" w:line="123" w:lineRule="exact"/>
              <w:rPr>
                <w:sz w:val="20"/>
                <w:szCs w:val="20"/>
                <w:color w:val="auto"/>
              </w:rPr>
            </w:pPr>
            <w:r>
              <w:rPr>
                <w:rFonts w:ascii="Times New Roman" w:cs="Times New Roman" w:eastAsia="Times New Roman" w:hAnsi="Times New Roman"/>
                <w:sz w:val="11"/>
                <w:szCs w:val="11"/>
                <w:color w:val="auto"/>
              </w:rPr>
              <w:t>earnings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jc w:val="center"/>
              <w:ind w:right="160"/>
              <w:spacing w:after="0" w:line="123" w:lineRule="exact"/>
              <w:rPr>
                <w:sz w:val="20"/>
                <w:szCs w:val="20"/>
                <w:color w:val="auto"/>
              </w:rPr>
            </w:pPr>
            <w:r>
              <w:rPr>
                <w:rFonts w:ascii="Times New Roman" w:cs="Times New Roman" w:eastAsia="Times New Roman" w:hAnsi="Times New Roman"/>
                <w:sz w:val="11"/>
                <w:szCs w:val="11"/>
                <w:color w:val="auto"/>
                <w:w w:val="98"/>
              </w:rPr>
              <w:t>income {loss}</w:t>
            </w:r>
          </w:p>
        </w:tc>
        <w:tc>
          <w:tcPr>
            <w:tcW w:w="140" w:type="dxa"/>
            <w:vAlign w:val="bottom"/>
          </w:tcPr>
          <w:p>
            <w:pPr>
              <w:spacing w:after="0"/>
              <w:rPr>
                <w:sz w:val="10"/>
                <w:szCs w:val="10"/>
                <w:color w:val="auto"/>
              </w:rPr>
            </w:pPr>
          </w:p>
        </w:tc>
        <w:tc>
          <w:tcPr>
            <w:tcW w:w="540" w:type="dxa"/>
            <w:vAlign w:val="bottom"/>
            <w:gridSpan w:val="3"/>
          </w:tcPr>
          <w:p>
            <w:pPr>
              <w:jc w:val="right"/>
              <w:ind w:right="240"/>
              <w:spacing w:after="0" w:line="123" w:lineRule="exact"/>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83"/>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Balance, November 27,2021</w:t>
            </w:r>
          </w:p>
        </w:tc>
        <w:tc>
          <w:tcPr>
            <w:tcW w:w="64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840" w:type="dxa"/>
            <w:vAlign w:val="bottom"/>
            <w:vMerge w:val="continue"/>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9,762, 125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11 3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11 5,63 1</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(1,823)</w:t>
            </w:r>
          </w:p>
        </w:tc>
        <w:tc>
          <w:tcPr>
            <w:tcW w:w="20" w:type="dxa"/>
            <w:vAlign w:val="bottom"/>
          </w:tcPr>
          <w:p>
            <w:pPr>
              <w:spacing w:after="0"/>
              <w:rPr>
                <w:sz w:val="14"/>
                <w:szCs w:val="14"/>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162,732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Comprehensive income (loss)</w:t>
            </w: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18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income</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65,345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65,345</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8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adjustments, net of tax</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(204)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0" w:type="dxa"/>
            <w:vAlign w:val="bottom"/>
          </w:tcPr>
          <w:p>
            <w:pPr>
              <w:spacing w:after="0"/>
              <w:rPr>
                <w:sz w:val="1"/>
                <w:szCs w:val="1"/>
                <w:color w:val="auto"/>
              </w:rPr>
            </w:pPr>
          </w:p>
        </w:tc>
      </w:tr>
      <w:tr>
        <w:trPr>
          <w:trHeight w:val="132"/>
        </w:trPr>
        <w:tc>
          <w:tcPr>
            <w:tcW w:w="18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Amortization of defined benefit</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plan costs, net of tax</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Actuarial adjustments to defined</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benefit plans, net of tax</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1,885</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Regular dividends ($0.60 per share)</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(5,668)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(5,668)</w:t>
            </w:r>
          </w:p>
        </w:tc>
        <w:tc>
          <w:tcPr>
            <w:tcW w:w="0" w:type="dxa"/>
            <w:vAlign w:val="bottom"/>
          </w:tcPr>
          <w:p>
            <w:pPr>
              <w:spacing w:after="0"/>
              <w:rPr>
                <w:sz w:val="1"/>
                <w:szCs w:val="1"/>
                <w:color w:val="auto"/>
              </w:rPr>
            </w:pPr>
          </w:p>
        </w:tc>
      </w:tr>
      <w:tr>
        <w:trPr>
          <w:trHeight w:val="134"/>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Spec ial dividend ($1.50 per share)</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(14,494)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(14,494)</w:t>
            </w:r>
          </w:p>
        </w:tc>
        <w:tc>
          <w:tcPr>
            <w:tcW w:w="0" w:type="dxa"/>
            <w:vAlign w:val="bottom"/>
          </w:tcPr>
          <w:p>
            <w:pPr>
              <w:spacing w:after="0"/>
              <w:rPr>
                <w:sz w:val="1"/>
                <w:szCs w:val="1"/>
                <w:color w:val="auto"/>
              </w:rPr>
            </w:pPr>
          </w:p>
        </w:tc>
      </w:tr>
      <w:tr>
        <w:trPr>
          <w:trHeight w:val="139"/>
        </w:trPr>
        <w:tc>
          <w:tcPr>
            <w:tcW w:w="1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59,024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and retirement of common</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840" w:type="dxa"/>
            <w:vAlign w:val="bottom"/>
          </w:tcPr>
          <w:p>
            <w:pPr>
              <w:ind w:left="120"/>
              <w:spacing w:after="0"/>
              <w:rPr>
                <w:sz w:val="20"/>
                <w:szCs w:val="20"/>
                <w:color w:val="auto"/>
              </w:rPr>
            </w:pPr>
            <w:r>
              <w:rPr>
                <w:rFonts w:ascii="Arial" w:cs="Arial" w:eastAsia="Arial" w:hAnsi="Arial"/>
                <w:sz w:val="11"/>
                <w:szCs w:val="11"/>
                <w:color w:val="auto"/>
              </w:rPr>
              <w:t>stock</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(869,3 10)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(4,347)</w:t>
            </w:r>
          </w:p>
        </w:tc>
        <w:tc>
          <w:tcPr>
            <w:tcW w:w="6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(780)</w:t>
            </w:r>
          </w:p>
        </w:tc>
        <w:tc>
          <w:tcPr>
            <w:tcW w:w="100" w:type="dxa"/>
            <w:vAlign w:val="bottom"/>
          </w:tcPr>
          <w:p>
            <w:pPr>
              <w:spacing w:after="0"/>
              <w:rPr>
                <w:sz w:val="11"/>
                <w:szCs w:val="11"/>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( 10,014)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(15, 141)</w:t>
            </w:r>
          </w:p>
        </w:tc>
        <w:tc>
          <w:tcPr>
            <w:tcW w:w="0" w:type="dxa"/>
            <w:vAlign w:val="bottom"/>
          </w:tcPr>
          <w:p>
            <w:pPr>
              <w:spacing w:after="0"/>
              <w:rPr>
                <w:sz w:val="1"/>
                <w:szCs w:val="1"/>
                <w:color w:val="auto"/>
              </w:rPr>
            </w:pPr>
          </w:p>
        </w:tc>
      </w:tr>
      <w:tr>
        <w:trPr>
          <w:trHeight w:val="137"/>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Stock-based compensation</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Balance, November 26, 2022</w:t>
            </w:r>
          </w:p>
        </w:tc>
        <w:tc>
          <w:tcPr>
            <w:tcW w:w="20" w:type="dxa"/>
            <w:vAlign w:val="bottom"/>
          </w:tcPr>
          <w:p>
            <w:pPr>
              <w:spacing w:after="0"/>
              <w:rPr>
                <w:sz w:val="11"/>
                <w:szCs w:val="11"/>
                <w:color w:val="auto"/>
              </w:rPr>
            </w:pPr>
          </w:p>
        </w:tc>
        <w:tc>
          <w:tcPr>
            <w:tcW w:w="620" w:type="dxa"/>
            <w:vAlign w:val="bottom"/>
            <w:tcBorders>
              <w:bottom w:val="single" w:sz="8" w:color="201C20"/>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201C20"/>
            </w:tcBorders>
          </w:tcPr>
          <w:p>
            <w:pPr>
              <w:spacing w:after="0"/>
              <w:rPr>
                <w:sz w:val="11"/>
                <w:szCs w:val="11"/>
                <w:color w:val="auto"/>
              </w:rPr>
            </w:pPr>
          </w:p>
        </w:tc>
        <w:tc>
          <w:tcPr>
            <w:tcW w:w="540" w:type="dxa"/>
            <w:vAlign w:val="bottom"/>
            <w:tcBorders>
              <w:bottom w:val="single" w:sz="8" w:color="201C20"/>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01C20"/>
            </w:tcBorders>
          </w:tcPr>
          <w:p>
            <w:pPr>
              <w:spacing w:after="0"/>
              <w:rPr>
                <w:sz w:val="11"/>
                <w:szCs w:val="11"/>
                <w:color w:val="auto"/>
              </w:rPr>
            </w:pPr>
          </w:p>
        </w:tc>
        <w:tc>
          <w:tcPr>
            <w:tcW w:w="580" w:type="dxa"/>
            <w:vAlign w:val="bottom"/>
            <w:tcBorders>
              <w:bottom w:val="single" w:sz="8" w:color="201C20"/>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242020"/>
            </w:tcBorders>
          </w:tcPr>
          <w:p>
            <w:pPr>
              <w:spacing w:after="0"/>
              <w:rPr>
                <w:sz w:val="11"/>
                <w:szCs w:val="11"/>
                <w:color w:val="auto"/>
              </w:rPr>
            </w:pPr>
          </w:p>
        </w:tc>
        <w:tc>
          <w:tcPr>
            <w:tcW w:w="540" w:type="dxa"/>
            <w:vAlign w:val="bottom"/>
            <w:tcBorders>
              <w:bottom w:val="single" w:sz="8" w:color="242020"/>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201C20"/>
            </w:tcBorders>
          </w:tcPr>
          <w:p>
            <w:pPr>
              <w:spacing w:after="0"/>
              <w:rPr>
                <w:sz w:val="11"/>
                <w:szCs w:val="11"/>
                <w:color w:val="auto"/>
              </w:rPr>
            </w:pPr>
          </w:p>
        </w:tc>
        <w:tc>
          <w:tcPr>
            <w:tcW w:w="760" w:type="dxa"/>
            <w:vAlign w:val="bottom"/>
            <w:tcBorders>
              <w:bottom w:val="single" w:sz="8" w:color="201C20"/>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201C20"/>
            </w:tcBorders>
          </w:tcPr>
          <w:p>
            <w:pPr>
              <w:spacing w:after="0"/>
              <w:rPr>
                <w:sz w:val="11"/>
                <w:szCs w:val="11"/>
                <w:color w:val="auto"/>
              </w:rPr>
            </w:pPr>
          </w:p>
        </w:tc>
        <w:tc>
          <w:tcPr>
            <w:tcW w:w="500" w:type="dxa"/>
            <w:vAlign w:val="bottom"/>
            <w:tcBorders>
              <w:bottom w:val="single" w:sz="8" w:color="201C20"/>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40" w:type="dxa"/>
            <w:vAlign w:val="bottom"/>
            <w:vMerge w:val="continue"/>
          </w:tcPr>
          <w:p>
            <w:pPr>
              <w:spacing w:after="0"/>
              <w:rPr>
                <w:sz w:val="10"/>
                <w:szCs w:val="10"/>
                <w:color w:val="auto"/>
              </w:rPr>
            </w:pP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8,951 ,839</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44,759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150,800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195 ,609</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Comprehensive income (loss)</w:t>
            </w: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18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loss</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(3,171)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(3,171)</w:t>
            </w:r>
          </w:p>
        </w:tc>
        <w:tc>
          <w:tcPr>
            <w:tcW w:w="0" w:type="dxa"/>
            <w:vAlign w:val="bottom"/>
          </w:tcPr>
          <w:p>
            <w:pPr>
              <w:spacing w:after="0"/>
              <w:rPr>
                <w:sz w:val="1"/>
                <w:szCs w:val="1"/>
                <w:color w:val="auto"/>
              </w:rPr>
            </w:pPr>
          </w:p>
        </w:tc>
      </w:tr>
      <w:tr>
        <w:trPr>
          <w:trHeight w:val="134"/>
        </w:trPr>
        <w:tc>
          <w:tcPr>
            <w:tcW w:w="1840" w:type="dxa"/>
            <w:vAlign w:val="bottom"/>
          </w:tcPr>
          <w:p>
            <w:pPr>
              <w:ind w:left="140"/>
              <w:spacing w:after="0" w:line="134" w:lineRule="exact"/>
              <w:rPr>
                <w:sz w:val="20"/>
                <w:szCs w:val="20"/>
                <w:color w:val="auto"/>
              </w:rPr>
            </w:pPr>
            <w:r>
              <w:rPr>
                <w:rFonts w:ascii="Times New Roman" w:cs="Times New Roman" w:eastAsia="Times New Roman" w:hAnsi="Times New Roman"/>
                <w:sz w:val="12"/>
                <w:szCs w:val="12"/>
                <w:color w:val="auto"/>
              </w:rPr>
              <w:t>Foreign currency translation</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40" w:type="dxa"/>
            <w:vAlign w:val="bottom"/>
          </w:tcPr>
          <w:p>
            <w:pPr>
              <w:ind w:left="240"/>
              <w:spacing w:after="0" w:line="134" w:lineRule="exact"/>
              <w:rPr>
                <w:sz w:val="20"/>
                <w:szCs w:val="20"/>
                <w:color w:val="auto"/>
              </w:rPr>
            </w:pPr>
            <w:r>
              <w:rPr>
                <w:rFonts w:ascii="Times New Roman" w:cs="Times New Roman" w:eastAsia="Times New Roman" w:hAnsi="Times New Roman"/>
                <w:sz w:val="12"/>
                <w:szCs w:val="12"/>
                <w:color w:val="auto"/>
              </w:rPr>
              <w:t>adjustments, net of tax</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(282)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(282)</w:t>
            </w:r>
          </w:p>
        </w:tc>
        <w:tc>
          <w:tcPr>
            <w:tcW w:w="0" w:type="dxa"/>
            <w:vAlign w:val="bottom"/>
          </w:tcPr>
          <w:p>
            <w:pPr>
              <w:spacing w:after="0"/>
              <w:rPr>
                <w:sz w:val="1"/>
                <w:szCs w:val="1"/>
                <w:color w:val="auto"/>
              </w:rPr>
            </w:pPr>
          </w:p>
        </w:tc>
      </w:tr>
      <w:tr>
        <w:trPr>
          <w:trHeight w:val="134"/>
        </w:trPr>
        <w:tc>
          <w:tcPr>
            <w:tcW w:w="184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Amortization of defined benefit</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40" w:type="dxa"/>
            <w:vAlign w:val="bottom"/>
          </w:tcPr>
          <w:p>
            <w:pPr>
              <w:ind w:left="240"/>
              <w:spacing w:after="0" w:line="134" w:lineRule="exact"/>
              <w:rPr>
                <w:sz w:val="20"/>
                <w:szCs w:val="20"/>
                <w:color w:val="auto"/>
              </w:rPr>
            </w:pPr>
            <w:r>
              <w:rPr>
                <w:rFonts w:ascii="Times New Roman" w:cs="Times New Roman" w:eastAsia="Times New Roman" w:hAnsi="Times New Roman"/>
                <w:sz w:val="12"/>
                <w:szCs w:val="12"/>
                <w:color w:val="auto"/>
              </w:rPr>
              <w:t>plan costs, net of tax</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4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Actuarial adjustments to defined</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40" w:type="dxa"/>
            <w:vAlign w:val="bottom"/>
          </w:tcPr>
          <w:p>
            <w:pPr>
              <w:ind w:left="240"/>
              <w:spacing w:after="0" w:line="130" w:lineRule="exact"/>
              <w:rPr>
                <w:sz w:val="20"/>
                <w:szCs w:val="20"/>
                <w:color w:val="auto"/>
              </w:rPr>
            </w:pPr>
            <w:r>
              <w:rPr>
                <w:rFonts w:ascii="Times New Roman" w:cs="Times New Roman" w:eastAsia="Times New Roman" w:hAnsi="Times New Roman"/>
                <w:sz w:val="12"/>
                <w:szCs w:val="12"/>
                <w:color w:val="auto"/>
              </w:rPr>
              <w:t>benefit plans, net of tax</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3 16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3 16</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84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color w:val="auto"/>
              </w:rPr>
              <w:t>Regular dividends ($0.68 per share)</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(5,982)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(5 ,982)</w:t>
            </w:r>
          </w:p>
        </w:tc>
        <w:tc>
          <w:tcPr>
            <w:tcW w:w="0" w:type="dxa"/>
            <w:vAlign w:val="bottom"/>
          </w:tcPr>
          <w:p>
            <w:pPr>
              <w:spacing w:after="0"/>
              <w:rPr>
                <w:sz w:val="1"/>
                <w:szCs w:val="1"/>
                <w:color w:val="auto"/>
              </w:rPr>
            </w:pPr>
          </w:p>
        </w:tc>
      </w:tr>
      <w:tr>
        <w:trPr>
          <w:trHeight w:val="137"/>
        </w:trPr>
        <w:tc>
          <w:tcPr>
            <w:tcW w:w="1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74 ,421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3 18</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Purchase and retirement of common</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4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stock</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(258,039)</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(1,290)</w:t>
            </w:r>
          </w:p>
        </w:tc>
        <w:tc>
          <w:tcPr>
            <w:tcW w:w="6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(701)</w:t>
            </w:r>
          </w:p>
        </w:tc>
        <w:tc>
          <w:tcPr>
            <w:tcW w:w="100" w:type="dxa"/>
            <w:vAlign w:val="bottom"/>
          </w:tcPr>
          <w:p>
            <w:pPr>
              <w:spacing w:after="0"/>
              <w:rPr>
                <w:sz w:val="11"/>
                <w:szCs w:val="11"/>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(2,293)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(4,284)</w:t>
            </w:r>
          </w:p>
        </w:tc>
        <w:tc>
          <w:tcPr>
            <w:tcW w:w="0" w:type="dxa"/>
            <w:vAlign w:val="bottom"/>
          </w:tcPr>
          <w:p>
            <w:pPr>
              <w:spacing w:after="0"/>
              <w:rPr>
                <w:sz w:val="1"/>
                <w:szCs w:val="1"/>
                <w:color w:val="auto"/>
              </w:rPr>
            </w:pPr>
          </w:p>
        </w:tc>
      </w:tr>
      <w:tr>
        <w:trPr>
          <w:trHeight w:val="135"/>
        </w:trPr>
        <w:tc>
          <w:tcPr>
            <w:tcW w:w="184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Stock -based compensation</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Balance, November 25, 2023</w:t>
            </w:r>
          </w:p>
        </w:tc>
        <w:tc>
          <w:tcPr>
            <w:tcW w:w="20" w:type="dxa"/>
            <w:vAlign w:val="bottom"/>
          </w:tcPr>
          <w:p>
            <w:pPr>
              <w:spacing w:after="0"/>
              <w:rPr>
                <w:sz w:val="11"/>
                <w:szCs w:val="11"/>
                <w:color w:val="auto"/>
              </w:rPr>
            </w:pPr>
          </w:p>
        </w:tc>
        <w:tc>
          <w:tcPr>
            <w:tcW w:w="620" w:type="dxa"/>
            <w:vAlign w:val="bottom"/>
            <w:tcBorders>
              <w:bottom w:val="single" w:sz="8" w:color="6C6868"/>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6C6868"/>
            </w:tcBorders>
          </w:tcPr>
          <w:p>
            <w:pPr>
              <w:spacing w:after="0"/>
              <w:rPr>
                <w:sz w:val="11"/>
                <w:szCs w:val="11"/>
                <w:color w:val="auto"/>
              </w:rPr>
            </w:pPr>
          </w:p>
        </w:tc>
        <w:tc>
          <w:tcPr>
            <w:tcW w:w="540" w:type="dxa"/>
            <w:vAlign w:val="bottom"/>
            <w:tcBorders>
              <w:bottom w:val="single" w:sz="8" w:color="6C6868"/>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6C6868"/>
            </w:tcBorders>
          </w:tcPr>
          <w:p>
            <w:pPr>
              <w:spacing w:after="0"/>
              <w:rPr>
                <w:sz w:val="11"/>
                <w:szCs w:val="11"/>
                <w:color w:val="auto"/>
              </w:rPr>
            </w:pPr>
          </w:p>
        </w:tc>
        <w:tc>
          <w:tcPr>
            <w:tcW w:w="580" w:type="dxa"/>
            <w:vAlign w:val="bottom"/>
            <w:tcBorders>
              <w:bottom w:val="single" w:sz="8" w:color="6C6868"/>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6C6868"/>
            </w:tcBorders>
          </w:tcPr>
          <w:p>
            <w:pPr>
              <w:spacing w:after="0"/>
              <w:rPr>
                <w:sz w:val="11"/>
                <w:szCs w:val="11"/>
                <w:color w:val="auto"/>
              </w:rPr>
            </w:pPr>
          </w:p>
        </w:tc>
        <w:tc>
          <w:tcPr>
            <w:tcW w:w="540" w:type="dxa"/>
            <w:vAlign w:val="bottom"/>
            <w:tcBorders>
              <w:bottom w:val="single" w:sz="8" w:color="6C6868"/>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6C6868"/>
            </w:tcBorders>
          </w:tcPr>
          <w:p>
            <w:pPr>
              <w:spacing w:after="0"/>
              <w:rPr>
                <w:sz w:val="11"/>
                <w:szCs w:val="11"/>
                <w:color w:val="auto"/>
              </w:rPr>
            </w:pPr>
          </w:p>
        </w:tc>
        <w:tc>
          <w:tcPr>
            <w:tcW w:w="760" w:type="dxa"/>
            <w:vAlign w:val="bottom"/>
            <w:tcBorders>
              <w:bottom w:val="single" w:sz="8" w:color="6C6868"/>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6C6868"/>
            </w:tcBorders>
          </w:tcPr>
          <w:p>
            <w:pPr>
              <w:spacing w:after="0"/>
              <w:rPr>
                <w:sz w:val="11"/>
                <w:szCs w:val="11"/>
                <w:color w:val="auto"/>
              </w:rPr>
            </w:pPr>
          </w:p>
        </w:tc>
        <w:tc>
          <w:tcPr>
            <w:tcW w:w="500" w:type="dxa"/>
            <w:vAlign w:val="bottom"/>
            <w:tcBorders>
              <w:bottom w:val="single" w:sz="8" w:color="6C6868"/>
            </w:tcBorders>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840" w:type="dxa"/>
            <w:vAlign w:val="bottom"/>
            <w:vMerge w:val="continue"/>
          </w:tcPr>
          <w:p>
            <w:pPr>
              <w:spacing w:after="0"/>
              <w:rPr>
                <w:sz w:val="11"/>
                <w:szCs w:val="11"/>
                <w:color w:val="auto"/>
              </w:rPr>
            </w:pP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8,768,221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43,842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139,354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3"/>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183,44 1</w:t>
            </w:r>
          </w:p>
        </w:tc>
        <w:tc>
          <w:tcPr>
            <w:tcW w:w="0" w:type="dxa"/>
            <w:vAlign w:val="bottom"/>
          </w:tcPr>
          <w:p>
            <w:pPr>
              <w:spacing w:after="0"/>
              <w:rPr>
                <w:sz w:val="1"/>
                <w:szCs w:val="1"/>
                <w:color w:val="auto"/>
              </w:rPr>
            </w:pPr>
          </w:p>
        </w:tc>
      </w:tr>
      <w:tr>
        <w:trPr>
          <w:trHeight w:val="267"/>
        </w:trPr>
        <w:tc>
          <w:tcPr>
            <w:tcW w:w="1840" w:type="dxa"/>
            <w:vAlign w:val="bottom"/>
          </w:tcPr>
          <w:p>
            <w:pPr>
              <w:spacing w:after="0"/>
              <w:rPr>
                <w:sz w:val="20"/>
                <w:szCs w:val="20"/>
                <w:color w:val="auto"/>
              </w:rPr>
            </w:pPr>
            <w:r>
              <w:rPr>
                <w:rFonts w:ascii="Times New Roman" w:cs="Times New Roman" w:eastAsia="Times New Roman" w:hAnsi="Times New Roman"/>
                <w:sz w:val="12"/>
                <w:szCs w:val="12"/>
                <w:color w:val="auto"/>
              </w:rPr>
              <w:t>Comprehensive income (loss)</w:t>
            </w: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Net income</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(9,695)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(9,695)</w:t>
            </w:r>
          </w:p>
        </w:tc>
        <w:tc>
          <w:tcPr>
            <w:tcW w:w="0" w:type="dxa"/>
            <w:vAlign w:val="bottom"/>
          </w:tcPr>
          <w:p>
            <w:pPr>
              <w:spacing w:after="0"/>
              <w:rPr>
                <w:sz w:val="1"/>
                <w:szCs w:val="1"/>
                <w:color w:val="auto"/>
              </w:rPr>
            </w:pPr>
          </w:p>
        </w:tc>
      </w:tr>
      <w:tr>
        <w:trPr>
          <w:trHeight w:val="134"/>
        </w:trPr>
        <w:tc>
          <w:tcPr>
            <w:tcW w:w="1840" w:type="dxa"/>
            <w:vAlign w:val="bottom"/>
          </w:tcPr>
          <w:p>
            <w:pPr>
              <w:ind w:left="140"/>
              <w:spacing w:after="0" w:line="134" w:lineRule="exact"/>
              <w:rPr>
                <w:sz w:val="20"/>
                <w:szCs w:val="20"/>
                <w:color w:val="auto"/>
              </w:rPr>
            </w:pPr>
            <w:r>
              <w:rPr>
                <w:rFonts w:ascii="Times New Roman" w:cs="Times New Roman" w:eastAsia="Times New Roman" w:hAnsi="Times New Roman"/>
                <w:sz w:val="12"/>
                <w:szCs w:val="12"/>
                <w:color w:val="auto"/>
              </w:rPr>
              <w:t>Foreign currency translation</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40" w:type="dxa"/>
            <w:vAlign w:val="bottom"/>
          </w:tcPr>
          <w:p>
            <w:pPr>
              <w:ind w:left="240"/>
              <w:spacing w:after="0" w:line="134" w:lineRule="exact"/>
              <w:rPr>
                <w:sz w:val="20"/>
                <w:szCs w:val="20"/>
                <w:color w:val="auto"/>
              </w:rPr>
            </w:pPr>
            <w:r>
              <w:rPr>
                <w:rFonts w:ascii="Times New Roman" w:cs="Times New Roman" w:eastAsia="Times New Roman" w:hAnsi="Times New Roman"/>
                <w:sz w:val="12"/>
                <w:szCs w:val="12"/>
                <w:color w:val="auto"/>
              </w:rPr>
              <w:t>adjustments, net of tax</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40" w:type="dxa"/>
            <w:vAlign w:val="bottom"/>
          </w:tcPr>
          <w:p>
            <w:pPr>
              <w:ind w:left="120"/>
              <w:spacing w:after="0" w:line="130" w:lineRule="exact"/>
              <w:rPr>
                <w:sz w:val="20"/>
                <w:szCs w:val="20"/>
                <w:color w:val="auto"/>
              </w:rPr>
            </w:pPr>
            <w:r>
              <w:rPr>
                <w:rFonts w:ascii="Times New Roman" w:cs="Times New Roman" w:eastAsia="Times New Roman" w:hAnsi="Times New Roman"/>
                <w:sz w:val="12"/>
                <w:szCs w:val="12"/>
                <w:color w:val="auto"/>
              </w:rPr>
              <w:t>Amort izat ion of defined benefit</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84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auto"/>
              </w:rPr>
              <w:t>plan costs, net of tax</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Actuarial adjustments to defined</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40" w:type="dxa"/>
            <w:vAlign w:val="bottom"/>
          </w:tcPr>
          <w:p>
            <w:pPr>
              <w:ind w:left="240"/>
              <w:spacing w:after="0" w:line="134" w:lineRule="exact"/>
              <w:rPr>
                <w:sz w:val="20"/>
                <w:szCs w:val="20"/>
                <w:color w:val="auto"/>
              </w:rPr>
            </w:pPr>
            <w:r>
              <w:rPr>
                <w:rFonts w:ascii="Times New Roman" w:cs="Times New Roman" w:eastAsia="Times New Roman" w:hAnsi="Times New Roman"/>
                <w:sz w:val="12"/>
                <w:szCs w:val="12"/>
                <w:color w:val="auto"/>
              </w:rPr>
              <w:t>benefit plans, net of tax</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40" w:type="dxa"/>
            <w:vAlign w:val="bottom"/>
          </w:tcPr>
          <w:p>
            <w:pPr>
              <w:ind w:left="20"/>
              <w:spacing w:after="0" w:line="134" w:lineRule="exact"/>
              <w:rPr>
                <w:sz w:val="20"/>
                <w:szCs w:val="20"/>
                <w:color w:val="auto"/>
              </w:rPr>
            </w:pPr>
            <w:r>
              <w:rPr>
                <w:rFonts w:ascii="Times New Roman" w:cs="Times New Roman" w:eastAsia="Times New Roman" w:hAnsi="Times New Roman"/>
                <w:sz w:val="12"/>
                <w:szCs w:val="12"/>
                <w:color w:val="auto"/>
              </w:rPr>
              <w:t>Regu lar dividends ($0.76 per share)</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(6,654)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(6,654)</w:t>
            </w:r>
          </w:p>
        </w:tc>
        <w:tc>
          <w:tcPr>
            <w:tcW w:w="0" w:type="dxa"/>
            <w:vAlign w:val="bottom"/>
          </w:tcPr>
          <w:p>
            <w:pPr>
              <w:spacing w:after="0"/>
              <w:rPr>
                <w:sz w:val="1"/>
                <w:szCs w:val="1"/>
                <w:color w:val="auto"/>
              </w:rPr>
            </w:pPr>
          </w:p>
        </w:tc>
      </w:tr>
      <w:tr>
        <w:trPr>
          <w:trHeight w:val="134"/>
        </w:trPr>
        <w:tc>
          <w:tcPr>
            <w:tcW w:w="1840" w:type="dxa"/>
            <w:vAlign w:val="bottom"/>
          </w:tcPr>
          <w:p>
            <w:pPr>
              <w:ind w:left="20"/>
              <w:spacing w:after="0" w:line="134" w:lineRule="exact"/>
              <w:rPr>
                <w:sz w:val="20"/>
                <w:szCs w:val="20"/>
                <w:color w:val="auto"/>
              </w:rPr>
            </w:pPr>
            <w:r>
              <w:rPr>
                <w:rFonts w:ascii="Times New Roman" w:cs="Times New Roman" w:eastAsia="Times New Roman" w:hAnsi="Times New Roman"/>
                <w:sz w:val="12"/>
                <w:szCs w:val="12"/>
                <w:color w:val="auto"/>
              </w:rPr>
              <w:t>Issuance of common stock</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79,490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37 1</w:t>
            </w:r>
          </w:p>
        </w:tc>
        <w:tc>
          <w:tcPr>
            <w:tcW w:w="0" w:type="dxa"/>
            <w:vAlign w:val="bottom"/>
          </w:tcPr>
          <w:p>
            <w:pPr>
              <w:spacing w:after="0"/>
              <w:rPr>
                <w:sz w:val="1"/>
                <w:szCs w:val="1"/>
                <w:color w:val="auto"/>
              </w:rPr>
            </w:pPr>
          </w:p>
        </w:tc>
      </w:tr>
      <w:tr>
        <w:trPr>
          <w:trHeight w:val="134"/>
        </w:trPr>
        <w:tc>
          <w:tcPr>
            <w:tcW w:w="1840" w:type="dxa"/>
            <w:vAlign w:val="bottom"/>
          </w:tcPr>
          <w:p>
            <w:pPr>
              <w:ind w:left="20"/>
              <w:spacing w:after="0" w:line="134" w:lineRule="exact"/>
              <w:rPr>
                <w:sz w:val="20"/>
                <w:szCs w:val="20"/>
                <w:color w:val="auto"/>
              </w:rPr>
            </w:pPr>
            <w:r>
              <w:rPr>
                <w:rFonts w:ascii="Times New Roman" w:cs="Times New Roman" w:eastAsia="Times New Roman" w:hAnsi="Times New Roman"/>
                <w:sz w:val="12"/>
                <w:szCs w:val="12"/>
                <w:color w:val="auto"/>
              </w:rPr>
              <w:t>Purchase and retirement of common</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4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stock</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( 111 ,665)</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(558)</w:t>
            </w:r>
          </w:p>
        </w:tc>
        <w:tc>
          <w:tcPr>
            <w:tcW w:w="6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(865)</w:t>
            </w:r>
          </w:p>
        </w:tc>
        <w:tc>
          <w:tcPr>
            <w:tcW w:w="100" w:type="dxa"/>
            <w:vAlign w:val="bottom"/>
          </w:tcPr>
          <w:p>
            <w:pPr>
              <w:spacing w:after="0"/>
              <w:rPr>
                <w:sz w:val="11"/>
                <w:szCs w:val="11"/>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( 158)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( 1,581)</w:t>
            </w:r>
          </w:p>
        </w:tc>
        <w:tc>
          <w:tcPr>
            <w:tcW w:w="0" w:type="dxa"/>
            <w:vAlign w:val="bottom"/>
          </w:tcPr>
          <w:p>
            <w:pPr>
              <w:spacing w:after="0"/>
              <w:rPr>
                <w:sz w:val="1"/>
                <w:szCs w:val="1"/>
                <w:color w:val="auto"/>
              </w:rPr>
            </w:pPr>
          </w:p>
        </w:tc>
      </w:tr>
      <w:tr>
        <w:trPr>
          <w:trHeight w:val="135"/>
        </w:trPr>
        <w:tc>
          <w:tcPr>
            <w:tcW w:w="184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Stock-based compensation</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Balance, November 30, 2024</w:t>
            </w:r>
          </w:p>
        </w:tc>
        <w:tc>
          <w:tcPr>
            <w:tcW w:w="20" w:type="dxa"/>
            <w:vAlign w:val="bottom"/>
          </w:tcPr>
          <w:p>
            <w:pPr>
              <w:spacing w:after="0"/>
              <w:rPr>
                <w:sz w:val="11"/>
                <w:szCs w:val="11"/>
                <w:color w:val="auto"/>
              </w:rPr>
            </w:pPr>
          </w:p>
        </w:tc>
        <w:tc>
          <w:tcPr>
            <w:tcW w:w="620" w:type="dxa"/>
            <w:vAlign w:val="bottom"/>
            <w:tcBorders>
              <w:bottom w:val="single" w:sz="8" w:color="201C20"/>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201C20"/>
            </w:tcBorders>
          </w:tcPr>
          <w:p>
            <w:pPr>
              <w:spacing w:after="0"/>
              <w:rPr>
                <w:sz w:val="11"/>
                <w:szCs w:val="11"/>
                <w:color w:val="auto"/>
              </w:rPr>
            </w:pPr>
          </w:p>
        </w:tc>
        <w:tc>
          <w:tcPr>
            <w:tcW w:w="540" w:type="dxa"/>
            <w:vAlign w:val="bottom"/>
            <w:tcBorders>
              <w:bottom w:val="single" w:sz="8" w:color="201C20"/>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01C20"/>
            </w:tcBorders>
          </w:tcPr>
          <w:p>
            <w:pPr>
              <w:spacing w:after="0"/>
              <w:rPr>
                <w:sz w:val="11"/>
                <w:szCs w:val="11"/>
                <w:color w:val="auto"/>
              </w:rPr>
            </w:pPr>
          </w:p>
        </w:tc>
        <w:tc>
          <w:tcPr>
            <w:tcW w:w="580" w:type="dxa"/>
            <w:vAlign w:val="bottom"/>
            <w:tcBorders>
              <w:bottom w:val="single" w:sz="8" w:color="201C20"/>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242020"/>
            </w:tcBorders>
          </w:tcPr>
          <w:p>
            <w:pPr>
              <w:spacing w:after="0"/>
              <w:rPr>
                <w:sz w:val="11"/>
                <w:szCs w:val="11"/>
                <w:color w:val="auto"/>
              </w:rPr>
            </w:pPr>
          </w:p>
        </w:tc>
        <w:tc>
          <w:tcPr>
            <w:tcW w:w="540" w:type="dxa"/>
            <w:vAlign w:val="bottom"/>
            <w:tcBorders>
              <w:bottom w:val="single" w:sz="8" w:color="242020"/>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201C20"/>
            </w:tcBorders>
          </w:tcPr>
          <w:p>
            <w:pPr>
              <w:spacing w:after="0"/>
              <w:rPr>
                <w:sz w:val="11"/>
                <w:szCs w:val="11"/>
                <w:color w:val="auto"/>
              </w:rPr>
            </w:pPr>
          </w:p>
        </w:tc>
        <w:tc>
          <w:tcPr>
            <w:tcW w:w="760" w:type="dxa"/>
            <w:vAlign w:val="bottom"/>
            <w:tcBorders>
              <w:bottom w:val="single" w:sz="8" w:color="201C20"/>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201C20"/>
            </w:tcBorders>
          </w:tcPr>
          <w:p>
            <w:pPr>
              <w:spacing w:after="0"/>
              <w:rPr>
                <w:sz w:val="11"/>
                <w:szCs w:val="11"/>
                <w:color w:val="auto"/>
              </w:rPr>
            </w:pPr>
          </w:p>
        </w:tc>
        <w:tc>
          <w:tcPr>
            <w:tcW w:w="500" w:type="dxa"/>
            <w:vAlign w:val="bottom"/>
            <w:tcBorders>
              <w:bottom w:val="single" w:sz="8" w:color="201C20"/>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840" w:type="dxa"/>
            <w:vAlign w:val="bottom"/>
            <w:vMerge w:val="continue"/>
          </w:tcPr>
          <w:p>
            <w:pPr>
              <w:spacing w:after="0"/>
              <w:rPr>
                <w:sz w:val="10"/>
                <w:szCs w:val="10"/>
                <w:color w:val="auto"/>
              </w:rPr>
            </w:pPr>
          </w:p>
        </w:tc>
        <w:tc>
          <w:tcPr>
            <w:tcW w:w="640" w:type="dxa"/>
            <w:vAlign w:val="bottom"/>
            <w:tcBorders>
              <w:bottom w:val="single" w:sz="8" w:color="242020"/>
            </w:tcBorders>
            <w:gridSpan w:val="2"/>
          </w:tcPr>
          <w:p>
            <w:pPr>
              <w:jc w:val="right"/>
              <w:spacing w:after="0" w:line="107" w:lineRule="exact"/>
              <w:rPr>
                <w:sz w:val="20"/>
                <w:szCs w:val="20"/>
                <w:color w:val="auto"/>
              </w:rPr>
            </w:pPr>
            <w:r>
              <w:rPr>
                <w:rFonts w:ascii="Times New Roman" w:cs="Times New Roman" w:eastAsia="Times New Roman" w:hAnsi="Times New Roman"/>
                <w:sz w:val="11"/>
                <w:szCs w:val="11"/>
                <w:color w:val="auto"/>
              </w:rPr>
              <w:t>8,736,046</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242020"/>
            </w:tcBorders>
            <w:gridSpan w:val="2"/>
          </w:tcPr>
          <w:p>
            <w:pPr>
              <w:jc w:val="right"/>
              <w:ind w:right="40"/>
              <w:spacing w:after="0" w:line="107"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242020"/>
            </w:tcBorders>
          </w:tcPr>
          <w:p>
            <w:pPr>
              <w:jc w:val="right"/>
              <w:spacing w:after="0" w:line="107" w:lineRule="exact"/>
              <w:rPr>
                <w:sz w:val="20"/>
                <w:szCs w:val="20"/>
                <w:color w:val="auto"/>
              </w:rPr>
            </w:pPr>
            <w:r>
              <w:rPr>
                <w:rFonts w:ascii="Times New Roman" w:cs="Times New Roman" w:eastAsia="Times New Roman" w:hAnsi="Times New Roman"/>
                <w:sz w:val="11"/>
                <w:szCs w:val="11"/>
                <w:color w:val="auto"/>
              </w:rPr>
              <w:t>43,681</w:t>
            </w:r>
          </w:p>
        </w:tc>
        <w:tc>
          <w:tcPr>
            <w:tcW w:w="20" w:type="dxa"/>
            <w:vAlign w:val="bottom"/>
            <w:tcBorders>
              <w:bottom w:val="single" w:sz="8" w:color="242020"/>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01C20"/>
            </w:tcBorders>
          </w:tcPr>
          <w:p>
            <w:pPr>
              <w:jc w:val="right"/>
              <w:spacing w:after="0" w:line="107" w:lineRule="exact"/>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201C20"/>
            </w:tcBorders>
          </w:tcPr>
          <w:p>
            <w:pPr>
              <w:jc w:val="right"/>
              <w:spacing w:after="0" w:line="107" w:lineRule="exact"/>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0"/>
                <w:szCs w:val="10"/>
                <w:color w:val="auto"/>
              </w:rPr>
            </w:pPr>
          </w:p>
        </w:tc>
        <w:tc>
          <w:tcPr>
            <w:tcW w:w="100" w:type="dxa"/>
            <w:vAlign w:val="bottom"/>
            <w:tcBorders>
              <w:bottom w:val="single" w:sz="8" w:color="242020"/>
            </w:tcBorders>
          </w:tcPr>
          <w:p>
            <w:pPr>
              <w:jc w:val="right"/>
              <w:spacing w:after="0" w:line="107" w:lineRule="exact"/>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242020"/>
            </w:tcBorders>
          </w:tcPr>
          <w:p>
            <w:pPr>
              <w:jc w:val="right"/>
              <w:spacing w:after="0" w:line="107" w:lineRule="exact"/>
              <w:rPr>
                <w:sz w:val="20"/>
                <w:szCs w:val="20"/>
                <w:color w:val="auto"/>
              </w:rPr>
            </w:pPr>
            <w:r>
              <w:rPr>
                <w:rFonts w:ascii="Times New Roman" w:cs="Times New Roman" w:eastAsia="Times New Roman" w:hAnsi="Times New Roman"/>
                <w:sz w:val="11"/>
                <w:szCs w:val="11"/>
                <w:color w:val="auto"/>
              </w:rPr>
              <w:t>122,847</w:t>
            </w:r>
          </w:p>
        </w:tc>
        <w:tc>
          <w:tcPr>
            <w:tcW w:w="20" w:type="dxa"/>
            <w:vAlign w:val="bottom"/>
            <w:tcBorders>
              <w:bottom w:val="single" w:sz="8" w:color="242020"/>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201C20"/>
            </w:tcBorders>
            <w:gridSpan w:val="2"/>
          </w:tcPr>
          <w:p>
            <w:pPr>
              <w:jc w:val="right"/>
              <w:spacing w:after="0" w:line="107" w:lineRule="exact"/>
              <w:rPr>
                <w:sz w:val="20"/>
                <w:szCs w:val="20"/>
                <w:color w:val="auto"/>
              </w:rPr>
            </w:pPr>
            <w:r>
              <w:rPr>
                <w:rFonts w:ascii="Arial" w:cs="Arial" w:eastAsia="Arial" w:hAnsi="Arial"/>
                <w:sz w:val="10"/>
                <w:szCs w:val="10"/>
                <w:color w:val="auto"/>
              </w:rPr>
              <w:t>$</w:t>
            </w:r>
          </w:p>
        </w:tc>
        <w:tc>
          <w:tcPr>
            <w:tcW w:w="760" w:type="dxa"/>
            <w:vAlign w:val="bottom"/>
            <w:tcBorders>
              <w:bottom w:val="single" w:sz="8" w:color="201C20"/>
            </w:tcBorders>
          </w:tcPr>
          <w:p>
            <w:pPr>
              <w:jc w:val="right"/>
              <w:spacing w:after="0" w:line="107" w:lineRule="exact"/>
              <w:rPr>
                <w:sz w:val="20"/>
                <w:szCs w:val="20"/>
                <w:color w:val="auto"/>
              </w:rPr>
            </w:pPr>
            <w:r>
              <w:rPr>
                <w:rFonts w:ascii="Times New Roman" w:cs="Times New Roman" w:eastAsia="Times New Roman" w:hAnsi="Times New Roman"/>
                <w:sz w:val="11"/>
                <w:szCs w:val="11"/>
                <w:color w:val="auto"/>
              </w:rPr>
              <w:t>793</w:t>
            </w:r>
          </w:p>
        </w:tc>
        <w:tc>
          <w:tcPr>
            <w:tcW w:w="20" w:type="dxa"/>
            <w:vAlign w:val="bottom"/>
            <w:tcBorders>
              <w:bottom w:val="single" w:sz="8" w:color="201C20"/>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242020"/>
            </w:tcBorders>
          </w:tcPr>
          <w:p>
            <w:pPr>
              <w:jc w:val="right"/>
              <w:ind w:right="30"/>
              <w:spacing w:after="0" w:line="107" w:lineRule="exact"/>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242020"/>
            </w:tcBorders>
          </w:tcPr>
          <w:p>
            <w:pPr>
              <w:jc w:val="right"/>
              <w:spacing w:after="0" w:line="107" w:lineRule="exact"/>
              <w:rPr>
                <w:sz w:val="20"/>
                <w:szCs w:val="20"/>
                <w:color w:val="auto"/>
              </w:rPr>
            </w:pPr>
            <w:r>
              <w:rPr>
                <w:rFonts w:ascii="Times New Roman" w:cs="Times New Roman" w:eastAsia="Times New Roman" w:hAnsi="Times New Roman"/>
                <w:sz w:val="11"/>
                <w:szCs w:val="11"/>
                <w:color w:val="auto"/>
              </w:rPr>
              <w:t>167,327</w:t>
            </w:r>
          </w:p>
        </w:tc>
        <w:tc>
          <w:tcPr>
            <w:tcW w:w="20" w:type="dxa"/>
            <w:vAlign w:val="bottom"/>
            <w:tcBorders>
              <w:bottom w:val="single" w:sz="8" w:color="24202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2"/>
          <w:szCs w:val="12"/>
          <w:color w:val="auto"/>
        </w:rPr>
        <w:t>The accompanying notes to consolidated financial statements are an integral part of these statements.</w:t>
      </w:r>
    </w:p>
    <w:p>
      <w:pPr>
        <w:spacing w:after="0" w:line="200" w:lineRule="exact"/>
        <w:rPr>
          <w:sz w:val="20"/>
          <w:szCs w:val="20"/>
          <w:color w:val="auto"/>
        </w:rPr>
      </w:pPr>
    </w:p>
    <w:p>
      <w:pPr>
        <w:spacing w:after="0" w:line="31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-5498465</wp:posOffset>
            </wp:positionH>
            <wp:positionV relativeFrom="paragraph">
              <wp:posOffset>-1021715</wp:posOffset>
            </wp:positionV>
            <wp:extent cx="10058400" cy="7772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(In thou sands, except share and per share data)</w:t>
      </w:r>
    </w:p>
    <w:p>
      <w:pPr>
        <w:spacing w:after="0" w:line="148" w:lineRule="exact"/>
        <w:rPr>
          <w:sz w:val="20"/>
          <w:szCs w:val="20"/>
          <w:color w:val="auto"/>
        </w:rPr>
      </w:pPr>
    </w:p>
    <w:p>
      <w:pPr>
        <w:ind w:left="240" w:hanging="227"/>
        <w:spacing w:after="0"/>
        <w:tabs>
          <w:tab w:leader="none" w:pos="2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Description of Business</w:t>
      </w:r>
    </w:p>
    <w:p>
      <w:pPr>
        <w:spacing w:after="0" w:line="129" w:lineRule="exact"/>
        <w:rPr>
          <w:sz w:val="20"/>
          <w:szCs w:val="20"/>
          <w:color w:val="auto"/>
        </w:rPr>
      </w:pPr>
    </w:p>
    <w:p>
      <w:pPr>
        <w:jc w:val="both"/>
        <w:ind w:right="20" w:firstLine="6"/>
        <w:spacing w:after="0" w:line="258" w:lineRule="auto"/>
        <w:rPr>
          <w:sz w:val="20"/>
          <w:szCs w:val="20"/>
          <w:color w:val="auto"/>
        </w:rPr>
      </w:pPr>
      <w:r>
        <w:rPr>
          <w:rFonts w:ascii="Times New Roman" w:cs="Times New Roman" w:eastAsia="Times New Roman" w:hAnsi="Times New Roman"/>
          <w:sz w:val="12"/>
          <w:szCs w:val="12"/>
          <w:color w:val="auto"/>
        </w:rPr>
        <w:t xml:space="preserve">Bassett Furniture Industries, Incorporated (together with its consolidated subsidiaries, "Bassett", "we", "our", the "Company") based in Bassett, Virginia, is a leading manufacturer, marketer and retailer of branded home furni shings. Bassett's full ran ge of furniture products and accessories, designed to provide quality, sty le and va lue, are so ld through an exclusive nation-wide network of 87 retail stores known as Bassett Home Furnishings (referred to as "B HF"). Of the 87 stores, the Company owns and operates 58 stores ("Company-owned retail stores") with the other 29 being independentl y owned (" licensee operated"). We also distribute our products through other multi-line furniture stores, many of which feature Bassett ga lleries or design centers. Products can also be purchased by the end consumer directl y </w:t>
      </w:r>
      <w:r>
        <w:rPr>
          <w:rFonts w:ascii="Arial" w:cs="Arial" w:eastAsia="Arial" w:hAnsi="Arial"/>
          <w:sz w:val="11"/>
          <w:szCs w:val="11"/>
          <w:i w:val="1"/>
          <w:iCs w:val="1"/>
          <w:color w:val="auto"/>
        </w:rPr>
        <w:t>from</w:t>
      </w:r>
      <w:r>
        <w:rPr>
          <w:rFonts w:ascii="Times New Roman" w:cs="Times New Roman" w:eastAsia="Times New Roman" w:hAnsi="Times New Roman"/>
          <w:sz w:val="12"/>
          <w:szCs w:val="12"/>
          <w:color w:val="auto"/>
        </w:rPr>
        <w:t xml:space="preserve"> our website.</w:t>
      </w:r>
    </w:p>
    <w:p>
      <w:pPr>
        <w:spacing w:after="0" w:line="123" w:lineRule="exact"/>
        <w:rPr>
          <w:sz w:val="20"/>
          <w:szCs w:val="20"/>
          <w:color w:val="auto"/>
        </w:rPr>
      </w:pPr>
    </w:p>
    <w:p>
      <w:pPr>
        <w:jc w:val="both"/>
        <w:ind w:right="20" w:firstLine="4"/>
        <w:spacing w:after="0" w:line="254" w:lineRule="auto"/>
        <w:rPr>
          <w:sz w:val="20"/>
          <w:szCs w:val="20"/>
          <w:color w:val="auto"/>
        </w:rPr>
      </w:pPr>
      <w:r>
        <w:rPr>
          <w:rFonts w:ascii="Times New Roman" w:cs="Times New Roman" w:eastAsia="Times New Roman" w:hAnsi="Times New Roman"/>
          <w:sz w:val="12"/>
          <w:szCs w:val="12"/>
          <w:color w:val="auto"/>
        </w:rPr>
        <w:t>We sourc ed approximately 20% of our wholesale products from various foreign countries, with the remaining volume produced at our five domest ic manufacturing facilities.</w:t>
      </w:r>
    </w:p>
    <w:p>
      <w:pPr>
        <w:spacing w:after="0" w:line="231" w:lineRule="exact"/>
        <w:rPr>
          <w:sz w:val="20"/>
          <w:szCs w:val="20"/>
          <w:color w:val="auto"/>
        </w:rPr>
      </w:pPr>
    </w:p>
    <w:p>
      <w:pPr>
        <w:ind w:left="240" w:hanging="232"/>
        <w:spacing w:after="0"/>
        <w:tabs>
          <w:tab w:leader="none" w:pos="2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Significant Accounting Policies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Basis of Presentation and Principles of Consolidation</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Our fiscal year ends on the last Saturday in November, which periodically results in a 53-week year. Fiscal 2024 contained 53 weeks while fiscal 2023 and 2022 each contained 52 weeks. The Consolidated Financial Statements include the accounts of Bassett Furniture Industries, Incorporated and our majority-owned subsidiaries in which we have a controlling interest. A ll significant intercompany balances and tran sactions are eliminated in consolidation. The financial statements have been prepared in accordance with generally accepted accounting principles in the United States ("GAAP"). Un less otherwise indicated, references in the Consolidated Financial Statements to fi sca12024, 2023 and 2022 are to Bassett's fiscal year ended November 30, 2024, November 25 , 2023 and November 26, 2022, respecti ve ly. References to the "A SC" included hereinafter refer to the Accounting Standards Codification established by the Financial Accounting Standards Board as the source of authoritative GAAP.</w:t>
      </w:r>
    </w:p>
    <w:p>
      <w:pPr>
        <w:spacing w:after="0" w:line="272" w:lineRule="exact"/>
        <w:rPr>
          <w:sz w:val="20"/>
          <w:szCs w:val="20"/>
          <w:color w:val="auto"/>
        </w:rPr>
      </w:pPr>
    </w:p>
    <w:p>
      <w:pPr>
        <w:jc w:val="both"/>
        <w:ind w:right="20" w:firstLine="6"/>
        <w:spacing w:after="0" w:line="258" w:lineRule="auto"/>
        <w:rPr>
          <w:sz w:val="20"/>
          <w:szCs w:val="20"/>
          <w:color w:val="auto"/>
        </w:rPr>
      </w:pPr>
      <w:r>
        <w:rPr>
          <w:rFonts w:ascii="Times New Roman" w:cs="Times New Roman" w:eastAsia="Times New Roman" w:hAnsi="Times New Roman"/>
          <w:sz w:val="12"/>
          <w:szCs w:val="12"/>
          <w:color w:val="auto"/>
        </w:rPr>
        <w:t>We analyzed our licensees under the requirements for variable interest entities ("VlEs"). All of these licensees operate as BI-IF stores and are furniture retailers. We sell furniture to these licensees, and in some cases have extended credit beyond normal terms, mad e lease guarantees, guaranteed loans, or loan ed directly to the licensees . We have recorded reserves for potential ex posures related to these licensees. See Note 15 for disclosure of leases and lease guarantees. Based on financial proj ections and best available information, all licensees have sufficient equity to carry out their principal operating activities without subordinated financial support. Furthermore, we believe that the power to direct the activities that most significantly impact the licensees' operating performance continues to lie with the ownership of the licensee dealers. Our rights to assume control over or otherwise influence the licensees' significant activities only ex ist pursuant to our license and security agreements and are in the nature of protective rights as contemplated under ASC Topic 810. We completed our assessment for other potential VIEs and concluded that there were non e. We will continue to reassess the status of potential VIEs including when facts and circumstances surrounding each potential VIE change.</w:t>
      </w:r>
    </w:p>
    <w:p>
      <w:pPr>
        <w:spacing w:after="0" w:line="273" w:lineRule="exact"/>
        <w:rPr>
          <w:sz w:val="20"/>
          <w:szCs w:val="20"/>
          <w:color w:val="auto"/>
        </w:rPr>
      </w:pPr>
    </w:p>
    <w:p>
      <w:pPr>
        <w:jc w:val="both"/>
        <w:ind w:right="20" w:firstLine="6"/>
        <w:spacing w:after="0" w:line="258" w:lineRule="auto"/>
        <w:rPr>
          <w:sz w:val="20"/>
          <w:szCs w:val="20"/>
          <w:color w:val="auto"/>
        </w:rPr>
      </w:pPr>
      <w:r>
        <w:rPr>
          <w:rFonts w:ascii="Times New Roman" w:cs="Times New Roman" w:eastAsia="Times New Roman" w:hAnsi="Times New Roman"/>
          <w:sz w:val="12"/>
          <w:szCs w:val="12"/>
          <w:color w:val="auto"/>
        </w:rPr>
        <w:t xml:space="preserve">During th e second and third quarters of fiscal2022, we were th e primary beneficiary of one VIE by virtue of our control over the activities that most significantly impacted the entity 's economic performance. This VlE was created to affect a Section </w:t>
      </w:r>
      <w:r>
        <w:rPr>
          <w:rFonts w:ascii="Arial" w:cs="Arial" w:eastAsia="Arial" w:hAnsi="Arial"/>
          <w:sz w:val="11"/>
          <w:szCs w:val="11"/>
          <w:color w:val="auto"/>
        </w:rPr>
        <w:t xml:space="preserve">I </w:t>
      </w:r>
      <w:r>
        <w:rPr>
          <w:rFonts w:ascii="Times New Roman" w:cs="Times New Roman" w:eastAsia="Times New Roman" w:hAnsi="Times New Roman"/>
          <w:sz w:val="12"/>
          <w:szCs w:val="12"/>
          <w:color w:val="auto"/>
        </w:rPr>
        <w:t>031 like-kind exchan ge involvin g the purchase of real property in the state of Florida and th e sale of real property in th e</w:t>
      </w:r>
      <w:r>
        <w:rPr>
          <w:rFonts w:ascii="Arial" w:cs="Arial" w:eastAsia="Arial" w:hAnsi="Arial"/>
          <w:sz w:val="11"/>
          <w:szCs w:val="11"/>
          <w:color w:val="auto"/>
        </w:rPr>
        <w:t xml:space="preserve"> </w:t>
      </w:r>
      <w:r>
        <w:rPr>
          <w:rFonts w:ascii="Times New Roman" w:cs="Times New Roman" w:eastAsia="Times New Roman" w:hAnsi="Times New Roman"/>
          <w:sz w:val="12"/>
          <w:szCs w:val="12"/>
          <w:color w:val="auto"/>
        </w:rPr>
        <w:t>state of Texas (see Note 14). Subsequent to the completion of the exchange transactions during the third quarter of fiscal 2022, the so le equity interest in the Vl E was transferred to Bassett and the entity is now consolidated as a wholly owned subsidiary.</w:t>
      </w:r>
    </w:p>
    <w:p>
      <w:pPr>
        <w:spacing w:after="0" w:line="27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On January 31, 2022, we entered into a definitive agreement to sell substantially all of the assets of our wholly -owned subsidiary, Zenith Freight Lin es, LLC ("Zenith") to J.B. Hunt Transport Services, Inc. ("J.B. Hunt"). Th e sale was completed on February 28, 2022. Accordingly, the operations of our logistical services segment as well as the ga in realized upon disposal are presented in th e accompanying condensed consolidated statements of income as discontinued operations. See Note 18 for additional information. Costs incurred by Bassett for logistical services performed for Bassett by Zenith are included in selling, general and administrative expenses.</w:t>
      </w:r>
    </w:p>
    <w:p>
      <w:pPr>
        <w:spacing w:after="0" w:line="15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On September 2, 2022, we acquired 100% of th e capital stock of Noa Home Inc. ("Noa !-lome"), a mid-priced e-commerce furniture retailer headquartered in Montreal, Canada. Noa !-lom e had operations in Canada, Australia, Singapore and the United Kingdom. Since acquisition, Noa !-lome has been consolidated as a wholly-owned subsidiary. During the second quarter of fiscal 2024 we concluded that Noa Hom e was not lik ely to achieve profitability in th e foreseeable future and dec id ed to cease operations and se ll th e remainin g inventory in an orderly manner. As of November 30, 2024 we have substantially completed the liquidation ofNoa !-lome's assets and liabilities. See Note 3 for additional information.</w:t>
      </w:r>
    </w:p>
    <w:p>
      <w:pPr>
        <w:spacing w:after="0" w:line="6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2"/>
          <w:szCs w:val="12"/>
          <w:color w:val="auto"/>
        </w:rPr>
        <w:t>22</w:t>
      </w:r>
    </w:p>
    <w:p>
      <w:pPr>
        <w:sectPr>
          <w:pgSz w:w="15840" w:h="12240" w:orient="landscape"/>
          <w:cols w:equalWidth="0" w:num="2">
            <w:col w:w="7200" w:space="720"/>
            <w:col w:w="6460"/>
          </w:cols>
          <w:pgMar w:left="740" w:top="1440" w:right="720" w:bottom="897" w:gutter="0" w:footer="0" w:header="0"/>
        </w:sectPr>
      </w:pPr>
    </w:p>
    <w:bookmarkStart w:id="15" w:name="page16"/>
    <w:bookmarkEnd w:id="15"/>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0058400" cy="7772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thousands, except share and per share data)</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Use of Estimates</w:t>
      </w:r>
    </w:p>
    <w:p>
      <w:pPr>
        <w:spacing w:after="0" w:line="161" w:lineRule="exact"/>
        <w:rPr>
          <w:sz w:val="20"/>
          <w:szCs w:val="20"/>
          <w:color w:val="auto"/>
        </w:rPr>
      </w:pPr>
    </w:p>
    <w:p>
      <w:pPr>
        <w:jc w:val="both"/>
        <w:ind w:right="740"/>
        <w:spacing w:after="0" w:line="258" w:lineRule="auto"/>
        <w:rPr>
          <w:sz w:val="20"/>
          <w:szCs w:val="20"/>
          <w:color w:val="auto"/>
        </w:rPr>
      </w:pPr>
      <w:r>
        <w:rPr>
          <w:rFonts w:ascii="Times New Roman" w:cs="Times New Roman" w:eastAsia="Times New Roman" w:hAnsi="Times New Roman"/>
          <w:sz w:val="12"/>
          <w:szCs w:val="12"/>
          <w:color w:val="auto"/>
        </w:rPr>
        <w:t>The preparation of financial statements in conformity wi th accounting principles generally accepted in the United States requires us to make estimates and assumptions that affect the reported amounts of assets and liabilities and di sclosure of contingent liabilities at the date of the financial statements and the reported amounts of revenues and expenses durin g the reporting period. Some of the more significant estimates include allowances for doubtful accounts, calculation of in ventory reserves, the va luation of our reporting units for the purpose of testing the carrying va lue of goodwill, and the va luation of our right of use assets. We also utilize estimates in determining the va luation of income tax reserves, insurance reserves, and assumptions related to our post-employment benefit obligations . Actual results could differ from those estimates.</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Revenue Recognition</w:t>
      </w:r>
    </w:p>
    <w:p>
      <w:pPr>
        <w:spacing w:after="0" w:line="161" w:lineRule="exact"/>
        <w:rPr>
          <w:sz w:val="20"/>
          <w:szCs w:val="20"/>
          <w:color w:val="auto"/>
        </w:rPr>
      </w:pPr>
    </w:p>
    <w:p>
      <w:pPr>
        <w:jc w:val="both"/>
        <w:ind w:right="760" w:hanging="3"/>
        <w:spacing w:after="0" w:line="260" w:lineRule="auto"/>
        <w:rPr>
          <w:sz w:val="20"/>
          <w:szCs w:val="20"/>
          <w:color w:val="auto"/>
        </w:rPr>
      </w:pPr>
      <w:r>
        <w:rPr>
          <w:rFonts w:ascii="Times New Roman" w:cs="Times New Roman" w:eastAsia="Times New Roman" w:hAnsi="Times New Roman"/>
          <w:sz w:val="12"/>
          <w:szCs w:val="12"/>
          <w:color w:val="auto"/>
        </w:rPr>
        <w:t>ASC Topic 606, Revenue from</w:t>
      </w:r>
      <w:r>
        <w:rPr>
          <w:sz w:val="20"/>
          <w:szCs w:val="20"/>
          <w:color w:val="auto"/>
        </w:rPr>
        <w:t xml:space="preserve"> </w:t>
      </w:r>
      <w:r>
        <w:rPr>
          <w:rFonts w:ascii="Times New Roman" w:cs="Times New Roman" w:eastAsia="Times New Roman" w:hAnsi="Times New Roman"/>
          <w:sz w:val="12"/>
          <w:szCs w:val="12"/>
          <w:color w:val="auto"/>
        </w:rPr>
        <w:t>Contracts with Customers, requires a company to recognize revenue when it tran sfers promised goods or services to customers in an amount that reflects the consideration the company expects to receive in exchange for those goods or services. For our wholesale and retail segments, revenue is recognized when the ri sks and rewards of ownership and title to the product have transferred to the buyer.</w:t>
      </w:r>
    </w:p>
    <w:p>
      <w:pPr>
        <w:spacing w:after="0" w:line="296" w:lineRule="exact"/>
        <w:rPr>
          <w:sz w:val="20"/>
          <w:szCs w:val="20"/>
          <w:color w:val="auto"/>
        </w:rPr>
      </w:pPr>
    </w:p>
    <w:p>
      <w:pPr>
        <w:jc w:val="both"/>
        <w:ind w:right="760" w:hanging="3"/>
        <w:spacing w:after="0" w:line="258" w:lineRule="auto"/>
        <w:rPr>
          <w:sz w:val="20"/>
          <w:szCs w:val="20"/>
          <w:color w:val="auto"/>
        </w:rPr>
      </w:pPr>
      <w:r>
        <w:rPr>
          <w:rFonts w:ascii="Times New Roman" w:cs="Times New Roman" w:eastAsia="Times New Roman" w:hAnsi="Times New Roman"/>
          <w:sz w:val="12"/>
          <w:szCs w:val="12"/>
          <w:color w:val="auto"/>
        </w:rPr>
        <w:t>At wholesale, tran sfer occurs and revenue is recogni zed upon the shipment of goods to independent dealers and licensee-owned BHF stores. We offer payment terms vary in g from 30 to 60 days for wholesale customers . Estimates for returns and allowances have been recorded as a reduction of revenue based on our historical return patterns. The contracts with our licensee store owners do not provide for any roya lty or license fee to be paid to us.</w:t>
      </w:r>
    </w:p>
    <w:p>
      <w:pPr>
        <w:spacing w:after="0" w:line="151" w:lineRule="exact"/>
        <w:rPr>
          <w:sz w:val="20"/>
          <w:szCs w:val="20"/>
          <w:color w:val="auto"/>
        </w:rPr>
      </w:pPr>
    </w:p>
    <w:p>
      <w:pPr>
        <w:jc w:val="both"/>
        <w:ind w:right="760" w:firstLine="1"/>
        <w:spacing w:after="0" w:line="258" w:lineRule="auto"/>
        <w:rPr>
          <w:sz w:val="20"/>
          <w:szCs w:val="20"/>
          <w:color w:val="auto"/>
        </w:rPr>
      </w:pPr>
      <w:r>
        <w:rPr>
          <w:rFonts w:ascii="Times New Roman" w:cs="Times New Roman" w:eastAsia="Times New Roman" w:hAnsi="Times New Roman"/>
          <w:sz w:val="12"/>
          <w:szCs w:val="12"/>
          <w:color w:val="auto"/>
        </w:rPr>
        <w:t>At retail, tran sfer occurs and revenue is recognized upon deli very of goods to the customer. We typically collect a significant portion of the purchase price as a customer deposit upon order, with the balance typically collected upon delivery. These deposits are carried on our balance sheet as a current liability until deli very is fulfilled and amounted to $25,742 and $22,788 as of November 30, 2024 and November 25, 2023, respectively. Substantially all of th e customer deposits held at November 25, 2023 related to performance obligations were satisfied during fi scal 2024 and have therefore been recogni zed in revenu e for the year ended November 30, 2024 . Estimates for return s and allowances have been recorded as a reduction of revenue based on our historical return pattern s. The estimate for return s and allowances was $3,970 and $4,883 at November 30, 2024 and November 25, 2023 , respective ly, and is included with other accrued liabilities in the accompanying balance sheets . We also se ll furniture protection plans to our retail customers on behalf of a third party which is responsible for th e perfonnance obligations und er th e plans. Reve nu e from th e sale of these plans is recogni zed upon delivery of th e goods net of amounts payable to th e third-party service provider.</w:t>
      </w:r>
    </w:p>
    <w:p>
      <w:pPr>
        <w:spacing w:after="0" w:line="302" w:lineRule="exact"/>
        <w:rPr>
          <w:sz w:val="20"/>
          <w:szCs w:val="20"/>
          <w:color w:val="auto"/>
        </w:rPr>
      </w:pPr>
    </w:p>
    <w:p>
      <w:pPr>
        <w:jc w:val="both"/>
        <w:ind w:right="760" w:firstLine="5"/>
        <w:spacing w:after="0" w:line="259" w:lineRule="auto"/>
        <w:rPr>
          <w:sz w:val="20"/>
          <w:szCs w:val="20"/>
          <w:color w:val="auto"/>
        </w:rPr>
      </w:pPr>
      <w:r>
        <w:rPr>
          <w:rFonts w:ascii="Times New Roman" w:cs="Times New Roman" w:eastAsia="Times New Roman" w:hAnsi="Times New Roman"/>
          <w:sz w:val="12"/>
          <w:szCs w:val="12"/>
          <w:color w:val="auto"/>
        </w:rPr>
        <w:t>Sales commissions are expensed as part of selling, general and administrative expenses at the tim e revenu e is recognized because th e amortization period would have been one year or less . Sales commissions at wholesale are accrued upon th e shipm ent of goods. Sales commissions at retail are accrued at the tim e a sale is written (i.e. - when th e customer's order is placed) and are carried as prepaid commissions in other current assets until the goods are delivered and revenue is recognized. At November 30, 2024 and November 25, 2023, our balance of prepaid commissions included in other current assets was $2,928 and $2,245, respectively .</w:t>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For our accounting and reporting und er ASC 606, we apply th e following policy elections and practical expedi ents:</w:t>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We exclude from revenue amounts collected from customers for sales tax.</w:t>
      </w:r>
    </w:p>
    <w:p>
      <w:pPr>
        <w:spacing w:after="0" w:line="12" w:lineRule="exact"/>
        <w:rPr>
          <w:sz w:val="20"/>
          <w:szCs w:val="20"/>
          <w:color w:val="auto"/>
        </w:rPr>
      </w:pPr>
    </w:p>
    <w:p>
      <w:pPr>
        <w:jc w:val="both"/>
        <w:ind w:left="500" w:right="760" w:firstLine="5"/>
        <w:spacing w:after="0" w:line="257" w:lineRule="auto"/>
        <w:rPr>
          <w:sz w:val="20"/>
          <w:szCs w:val="20"/>
          <w:color w:val="auto"/>
        </w:rPr>
      </w:pPr>
      <w:r>
        <w:rPr>
          <w:rFonts w:ascii="Times New Roman" w:cs="Times New Roman" w:eastAsia="Times New Roman" w:hAnsi="Times New Roman"/>
          <w:sz w:val="12"/>
          <w:szCs w:val="12"/>
          <w:color w:val="auto"/>
        </w:rPr>
        <w:t>We do not adjust the promised amount of consideration for the effects of a significant financing component since th e period of tim e between tran sfer of our goods or services and the collection of consideration from the customer is less than one year.</w:t>
      </w:r>
    </w:p>
    <w:p>
      <w:pPr>
        <w:spacing w:after="0" w:line="3" w:lineRule="exact"/>
        <w:rPr>
          <w:sz w:val="20"/>
          <w:szCs w:val="20"/>
          <w:color w:val="auto"/>
        </w:rPr>
      </w:pPr>
    </w:p>
    <w:p>
      <w:pPr>
        <w:jc w:val="both"/>
        <w:ind w:left="500" w:right="760" w:firstLine="5"/>
        <w:spacing w:after="0" w:line="256" w:lineRule="auto"/>
        <w:rPr>
          <w:sz w:val="20"/>
          <w:szCs w:val="20"/>
          <w:color w:val="auto"/>
        </w:rPr>
      </w:pPr>
      <w:r>
        <w:rPr>
          <w:rFonts w:ascii="Times New Roman" w:cs="Times New Roman" w:eastAsia="Times New Roman" w:hAnsi="Times New Roman"/>
          <w:sz w:val="12"/>
          <w:szCs w:val="12"/>
          <w:color w:val="auto"/>
        </w:rPr>
        <w:t>We do not di sclose the va lue of unsati sfied performance obligations because the trans fer of goods or services is made within one year of the placement of customer orders.</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See Note 20 for disaggregated revenue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Cash Equivalents and Short-Term Investments</w:t>
      </w:r>
    </w:p>
    <w:p>
      <w:pPr>
        <w:spacing w:after="0" w:line="161" w:lineRule="exact"/>
        <w:rPr>
          <w:sz w:val="20"/>
          <w:szCs w:val="20"/>
          <w:color w:val="auto"/>
        </w:rPr>
      </w:pPr>
    </w:p>
    <w:p>
      <w:pPr>
        <w:jc w:val="both"/>
        <w:ind w:right="760"/>
        <w:spacing w:after="0" w:line="257" w:lineRule="auto"/>
        <w:rPr>
          <w:sz w:val="20"/>
          <w:szCs w:val="20"/>
          <w:color w:val="auto"/>
        </w:rPr>
      </w:pPr>
      <w:r>
        <w:rPr>
          <w:rFonts w:ascii="Times New Roman" w:cs="Times New Roman" w:eastAsia="Times New Roman" w:hAnsi="Times New Roman"/>
          <w:sz w:val="12"/>
          <w:szCs w:val="12"/>
          <w:color w:val="auto"/>
        </w:rPr>
        <w:t>The Company considers cash on hand, demand deposits in banks and all highly liquid in vestments with an original maturity of three months or less to be cash and cash equivalents . Our short-term in vestm ents consist of certificates of deposit that have original maturities of twe lve months or less but greater than three months.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 sands, except share and per share data)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Accounts Receivable</w:t>
      </w:r>
    </w:p>
    <w:p>
      <w:pPr>
        <w:spacing w:after="0" w:line="161" w:lineRule="exact"/>
        <w:rPr>
          <w:sz w:val="20"/>
          <w:szCs w:val="20"/>
          <w:color w:val="auto"/>
        </w:rPr>
      </w:pPr>
    </w:p>
    <w:p>
      <w:pPr>
        <w:jc w:val="both"/>
        <w:ind w:firstLine="4"/>
        <w:spacing w:after="0" w:line="258" w:lineRule="auto"/>
        <w:rPr>
          <w:sz w:val="20"/>
          <w:szCs w:val="20"/>
          <w:color w:val="auto"/>
        </w:rPr>
      </w:pPr>
      <w:r>
        <w:rPr>
          <w:rFonts w:ascii="Times New Roman" w:cs="Times New Roman" w:eastAsia="Times New Roman" w:hAnsi="Times New Roman"/>
          <w:sz w:val="12"/>
          <w:szCs w:val="12"/>
          <w:color w:val="auto"/>
        </w:rPr>
        <w:t>Substantially all of our trade accounts recei vable is due from customers located within the United States. We maintain an allowance for credit losses for estimated losses resulting from the inability of our customers to make required payments. The allowance for credit losses is based on a review of specifically identi fled accounts in addition to an overall aging analysis which is applied to accounts pooled on the basis of similar ri sk characteristics. Judgments are made with respect to the collectibility of accounts receivable wi thin each pool based on historical ex perience, current payment practices and current economic trends based on our expectations over the expected life of the recei vables, which is generally ninety days or less. Actual credit losses could differ from those estimates .</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Concentrations of Credit Risk and Major Customers</w:t>
      </w:r>
    </w:p>
    <w:p>
      <w:pPr>
        <w:spacing w:after="0" w:line="161" w:lineRule="exact"/>
        <w:rPr>
          <w:sz w:val="20"/>
          <w:szCs w:val="20"/>
          <w:color w:val="auto"/>
        </w:rPr>
      </w:pPr>
    </w:p>
    <w:p>
      <w:pPr>
        <w:jc w:val="both"/>
        <w:ind w:firstLine="6"/>
        <w:spacing w:after="0" w:line="258" w:lineRule="auto"/>
        <w:rPr>
          <w:sz w:val="20"/>
          <w:szCs w:val="20"/>
          <w:color w:val="auto"/>
        </w:rPr>
      </w:pPr>
      <w:r>
        <w:rPr>
          <w:rFonts w:ascii="Times New Roman" w:cs="Times New Roman" w:eastAsia="Times New Roman" w:hAnsi="Times New Roman"/>
          <w:sz w:val="12"/>
          <w:szCs w:val="12"/>
          <w:color w:val="auto"/>
        </w:rPr>
        <w:t xml:space="preserve">Financial instruments that </w:t>
      </w:r>
      <w:r>
        <w:rPr>
          <w:rFonts w:ascii="Arial" w:cs="Arial" w:eastAsia="Arial" w:hAnsi="Arial"/>
          <w:sz w:val="9"/>
          <w:szCs w:val="9"/>
          <w:color w:val="auto"/>
        </w:rPr>
        <w:t>su~ject</w:t>
      </w:r>
      <w:r>
        <w:rPr>
          <w:rFonts w:ascii="Times New Roman" w:cs="Times New Roman" w:eastAsia="Times New Roman" w:hAnsi="Times New Roman"/>
          <w:sz w:val="12"/>
          <w:szCs w:val="12"/>
          <w:color w:val="auto"/>
        </w:rPr>
        <w:t xml:space="preserve"> us to credit risk consist primarily of investments, accounts and notes recei vable and financial guarantees. In vestments are managed within established guidelines to mitigate risks. Accounts and notes recei vable and financial guarantees subj ect us to credit ri sk partially due to the concentration of amounts due from and guaranteed on behalf of independent licensee customers . At November 30, 2024 and November 25, 2023, our aggregate exposure from recei vables and guarantees related to customers consisted of the follo 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00" w:type="dxa"/>
            <w:vAlign w:val="bottom"/>
            <w:gridSpan w:val="2"/>
          </w:tcPr>
          <w:p>
            <w:pPr>
              <w:spacing w:after="0"/>
              <w:rPr>
                <w:sz w:val="12"/>
                <w:szCs w:val="12"/>
                <w:color w:val="auto"/>
              </w:rPr>
            </w:pPr>
          </w:p>
        </w:tc>
        <w:tc>
          <w:tcPr>
            <w:tcW w:w="580" w:type="dxa"/>
            <w:vAlign w:val="bottom"/>
            <w:tcBorders>
              <w:bottom w:val="single" w:sz="8" w:color="585454"/>
            </w:tcBorders>
          </w:tcPr>
          <w:p>
            <w:pPr>
              <w:jc w:val="right"/>
              <w:spacing w:after="0"/>
              <w:rPr>
                <w:sz w:val="20"/>
                <w:szCs w:val="20"/>
                <w:color w:val="auto"/>
              </w:rPr>
            </w:pPr>
            <w:r>
              <w:rPr>
                <w:rFonts w:ascii="Arial" w:cs="Arial" w:eastAsia="Arial" w:hAnsi="Arial"/>
                <w:sz w:val="12"/>
                <w:szCs w:val="12"/>
                <w:color w:val="auto"/>
              </w:rPr>
              <w:t>2024</w:t>
            </w:r>
          </w:p>
        </w:tc>
        <w:tc>
          <w:tcPr>
            <w:tcW w:w="340" w:type="dxa"/>
            <w:vAlign w:val="bottom"/>
            <w:tcBorders>
              <w:bottom w:val="single" w:sz="8" w:color="585454"/>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585454"/>
            </w:tcBorders>
          </w:tcPr>
          <w:p>
            <w:pPr>
              <w:jc w:val="right"/>
              <w:ind w:right="278"/>
              <w:spacing w:after="0"/>
              <w:rPr>
                <w:sz w:val="20"/>
                <w:szCs w:val="20"/>
                <w:color w:val="auto"/>
              </w:rPr>
            </w:pPr>
            <w:r>
              <w:rPr>
                <w:rFonts w:ascii="Arial" w:cs="Arial" w:eastAsia="Arial" w:hAnsi="Arial"/>
                <w:sz w:val="12"/>
                <w:szCs w:val="12"/>
                <w:color w:val="auto"/>
              </w:rPr>
              <w:t>2023</w:t>
            </w:r>
          </w:p>
        </w:tc>
        <w:tc>
          <w:tcPr>
            <w:tcW w:w="20" w:type="dxa"/>
            <w:vAlign w:val="bottom"/>
          </w:tcPr>
          <w:p>
            <w:pPr>
              <w:spacing w:after="0"/>
              <w:rPr>
                <w:sz w:val="12"/>
                <w:szCs w:val="12"/>
                <w:color w:val="auto"/>
              </w:rPr>
            </w:pPr>
          </w:p>
        </w:tc>
      </w:tr>
      <w:tr>
        <w:trPr>
          <w:trHeight w:val="140"/>
        </w:trPr>
        <w:tc>
          <w:tcPr>
            <w:tcW w:w="4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Accounts receivable, net of allowances (Note 5)</w:t>
            </w:r>
          </w:p>
        </w:tc>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w w:val="88"/>
              </w:rPr>
              <w:t>13, 181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13,736</w:t>
            </w:r>
          </w:p>
        </w:tc>
        <w:tc>
          <w:tcPr>
            <w:tcW w:w="20" w:type="dxa"/>
            <w:vAlign w:val="bottom"/>
          </w:tcPr>
          <w:p>
            <w:pPr>
              <w:spacing w:after="0"/>
              <w:rPr>
                <w:sz w:val="12"/>
                <w:szCs w:val="12"/>
                <w:color w:val="auto"/>
              </w:rPr>
            </w:pPr>
          </w:p>
        </w:tc>
      </w:tr>
      <w:tr>
        <w:trPr>
          <w:trHeight w:val="149"/>
        </w:trPr>
        <w:tc>
          <w:tcPr>
            <w:tcW w:w="4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Contin gent obligations under lease and loan guarantees, less amounts recognized</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(Note 15)</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1,8 19</w:t>
            </w:r>
          </w:p>
        </w:tc>
        <w:tc>
          <w:tcPr>
            <w:tcW w:w="20" w:type="dxa"/>
            <w:vAlign w:val="bottom"/>
          </w:tcPr>
          <w:p>
            <w:pPr>
              <w:spacing w:after="0"/>
              <w:rPr>
                <w:sz w:val="12"/>
                <w:szCs w:val="12"/>
                <w:color w:val="auto"/>
              </w:rPr>
            </w:pPr>
          </w:p>
        </w:tc>
      </w:tr>
      <w:tr>
        <w:trPr>
          <w:trHeight w:val="147"/>
        </w:trPr>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w:t>
            </w:r>
          </w:p>
        </w:tc>
        <w:tc>
          <w:tcPr>
            <w:tcW w:w="580" w:type="dxa"/>
            <w:vAlign w:val="bottom"/>
            <w:tcBorders>
              <w:bottom w:val="single" w:sz="8" w:color="585454"/>
            </w:tcBorders>
          </w:tcPr>
          <w:p>
            <w:pPr>
              <w:spacing w:after="0"/>
              <w:rPr>
                <w:sz w:val="12"/>
                <w:szCs w:val="12"/>
                <w:color w:val="auto"/>
              </w:rPr>
            </w:pPr>
          </w:p>
        </w:tc>
        <w:tc>
          <w:tcPr>
            <w:tcW w:w="340" w:type="dxa"/>
            <w:vAlign w:val="bottom"/>
            <w:tcBorders>
              <w:bottom w:val="single" w:sz="8" w:color="585454"/>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20" w:type="dxa"/>
            <w:vAlign w:val="bottom"/>
          </w:tcPr>
          <w:p>
            <w:pPr>
              <w:spacing w:after="0"/>
              <w:rPr>
                <w:sz w:val="12"/>
                <w:szCs w:val="12"/>
                <w:color w:val="auto"/>
              </w:rPr>
            </w:pPr>
          </w:p>
        </w:tc>
      </w:tr>
      <w:tr>
        <w:trPr>
          <w:trHeight w:val="138"/>
        </w:trPr>
        <w:tc>
          <w:tcPr>
            <w:tcW w:w="4380" w:type="dxa"/>
            <w:vAlign w:val="bottom"/>
          </w:tcPr>
          <w:p>
            <w:pPr>
              <w:ind w:left="240"/>
              <w:spacing w:after="0" w:line="129" w:lineRule="exact"/>
              <w:rPr>
                <w:sz w:val="20"/>
                <w:szCs w:val="20"/>
                <w:color w:val="auto"/>
              </w:rPr>
            </w:pPr>
            <w:r>
              <w:rPr>
                <w:rFonts w:ascii="Times New Roman" w:cs="Times New Roman" w:eastAsia="Times New Roman" w:hAnsi="Times New Roman"/>
                <w:sz w:val="12"/>
                <w:szCs w:val="12"/>
                <w:color w:val="auto"/>
              </w:rPr>
              <w:t>Total credit risk exposure related to customers</w:t>
            </w:r>
          </w:p>
        </w:tc>
        <w:tc>
          <w:tcPr>
            <w:tcW w:w="600" w:type="dxa"/>
            <w:vAlign w:val="bottom"/>
            <w:tcBorders>
              <w:bottom w:val="single" w:sz="8" w:color="646464"/>
            </w:tcBorders>
            <w:gridSpan w:val="2"/>
          </w:tcPr>
          <w:p>
            <w:pPr>
              <w:spacing w:after="0"/>
              <w:rPr>
                <w:sz w:val="11"/>
                <w:szCs w:val="11"/>
                <w:color w:val="auto"/>
              </w:rPr>
            </w:pPr>
          </w:p>
        </w:tc>
        <w:tc>
          <w:tcPr>
            <w:tcW w:w="360" w:type="dxa"/>
            <w:vAlign w:val="bottom"/>
            <w:tcBorders>
              <w:bottom w:val="single" w:sz="8" w:color="646464"/>
            </w:tcBorders>
            <w:gridSpan w:val="2"/>
          </w:tcPr>
          <w:p>
            <w:pPr>
              <w:spacing w:after="0" w:line="129" w:lineRule="exact"/>
              <w:rPr>
                <w:sz w:val="20"/>
                <w:szCs w:val="20"/>
                <w:color w:val="auto"/>
              </w:rPr>
            </w:pPr>
            <w:r>
              <w:rPr>
                <w:rFonts w:ascii="Times New Roman" w:cs="Times New Roman" w:eastAsia="Times New Roman" w:hAnsi="Times New Roman"/>
                <w:sz w:val="12"/>
                <w:szCs w:val="12"/>
                <w:color w:val="auto"/>
                <w:w w:val="94"/>
              </w:rPr>
              <w:t>18,28 1</w:t>
            </w:r>
          </w:p>
        </w:tc>
        <w:tc>
          <w:tcPr>
            <w:tcW w:w="100" w:type="dxa"/>
            <w:vAlign w:val="bottom"/>
          </w:tcPr>
          <w:p>
            <w:pPr>
              <w:spacing w:after="0"/>
              <w:rPr>
                <w:sz w:val="11"/>
                <w:szCs w:val="11"/>
                <w:color w:val="auto"/>
              </w:rPr>
            </w:pPr>
          </w:p>
        </w:tc>
        <w:tc>
          <w:tcPr>
            <w:tcW w:w="920" w:type="dxa"/>
            <w:vAlign w:val="bottom"/>
            <w:tcBorders>
              <w:bottom w:val="single" w:sz="8" w:color="646464"/>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15,636</w:t>
            </w:r>
          </w:p>
        </w:tc>
        <w:tc>
          <w:tcPr>
            <w:tcW w:w="20" w:type="dxa"/>
            <w:vAlign w:val="bottom"/>
            <w:tcBorders>
              <w:bottom w:val="single" w:sz="8" w:color="646464"/>
            </w:tcBorders>
          </w:tcPr>
          <w:p>
            <w:pPr>
              <w:spacing w:after="0"/>
              <w:rPr>
                <w:sz w:val="11"/>
                <w:szCs w:val="11"/>
                <w:color w:val="auto"/>
              </w:rPr>
            </w:pPr>
          </w:p>
        </w:tc>
      </w:tr>
    </w:tbl>
    <w:p>
      <w:pPr>
        <w:spacing w:after="0" w:line="173" w:lineRule="exact"/>
        <w:rPr>
          <w:sz w:val="20"/>
          <w:szCs w:val="20"/>
          <w:color w:val="auto"/>
        </w:rPr>
      </w:pPr>
    </w:p>
    <w:p>
      <w:pPr>
        <w:jc w:val="both"/>
        <w:ind w:hanging="4"/>
        <w:spacing w:after="0" w:line="257" w:lineRule="auto"/>
        <w:rPr>
          <w:sz w:val="20"/>
          <w:szCs w:val="20"/>
          <w:color w:val="auto"/>
        </w:rPr>
      </w:pPr>
      <w:r>
        <w:rPr>
          <w:rFonts w:ascii="Times New Roman" w:cs="Times New Roman" w:eastAsia="Times New Roman" w:hAnsi="Times New Roman"/>
          <w:sz w:val="12"/>
          <w:szCs w:val="12"/>
          <w:color w:val="auto"/>
        </w:rPr>
        <w:t>At November 30, 2024 and November 25, 2023, approximately 43% and 35%, respecti ve ly, of the aggregate risk exposure, net of re serves, shown above was attributable to fi ve customers. In fiscal 2024, 2023 and 2022, no customer accounted for more than 10% of total consolidated net sales.</w:t>
      </w:r>
    </w:p>
    <w:p>
      <w:pPr>
        <w:spacing w:after="0" w:line="152" w:lineRule="exact"/>
        <w:rPr>
          <w:sz w:val="20"/>
          <w:szCs w:val="20"/>
          <w:color w:val="auto"/>
        </w:rPr>
      </w:pPr>
    </w:p>
    <w:p>
      <w:pPr>
        <w:jc w:val="both"/>
        <w:ind w:firstLine="6"/>
        <w:spacing w:after="0" w:line="257" w:lineRule="auto"/>
        <w:rPr>
          <w:sz w:val="20"/>
          <w:szCs w:val="20"/>
          <w:color w:val="auto"/>
        </w:rPr>
      </w:pPr>
      <w:r>
        <w:rPr>
          <w:rFonts w:ascii="Times New Roman" w:cs="Times New Roman" w:eastAsia="Times New Roman" w:hAnsi="Times New Roman"/>
          <w:sz w:val="12"/>
          <w:szCs w:val="12"/>
          <w:color w:val="auto"/>
        </w:rPr>
        <w:t>We have no foreign manufacturin g operations . We define export sales from our wholesale segment as sales to any country or territory other than the United States or its territories or possessions. Our wholesale export sales were approximately $323, $406, and $731 in fiscal 2024, 2023, and 2022, respecti ve ly. All of our export sales are in vo iced and settled in U.S . dollars.</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Inventories</w:t>
      </w:r>
    </w:p>
    <w:p>
      <w:pPr>
        <w:spacing w:after="0" w:line="161" w:lineRule="exact"/>
        <w:rPr>
          <w:sz w:val="20"/>
          <w:szCs w:val="20"/>
          <w:color w:val="auto"/>
        </w:rPr>
      </w:pPr>
    </w:p>
    <w:p>
      <w:pPr>
        <w:jc w:val="both"/>
        <w:ind w:firstLine="5"/>
        <w:spacing w:after="0" w:line="258" w:lineRule="auto"/>
        <w:rPr>
          <w:sz w:val="20"/>
          <w:szCs w:val="20"/>
          <w:color w:val="auto"/>
        </w:rPr>
      </w:pPr>
      <w:r>
        <w:rPr>
          <w:rFonts w:ascii="Times New Roman" w:cs="Times New Roman" w:eastAsia="Times New Roman" w:hAnsi="Times New Roman"/>
          <w:sz w:val="12"/>
          <w:szCs w:val="12"/>
          <w:color w:val="auto"/>
        </w:rPr>
        <w:t>In ventories (retail merchandise, fini shed goods, work in process and raw material s) accounted for und er the first-in , first out ("FIFO") method are stated at the lower of cost or net realizable value or, in the case of inventory accounted for und er th e last-in , first out ("LIFO") method, at the lower of cost or market. Cost is determined for domestic manufactured furniture inventories using th e LIFO method because we believe thi s methodology provides better matching of revenu e and expenses. The cost of imported inventories as we ll as Lane Venture, Bassett Outdoor and Noa Home product in ventories are detennined on a first-in, first-out ("FIFO") basis. Inventories accounted for under the LIFO method represented 50% and 51% of total inventory before reserves at November 30, 2024 and November 25, 2023 , respectively. We estimate inventory reserves for excess quantities and obsolete items based on specific identification and hi storical write-offs, taking into account future demand and mark et conditions. If actual demand or market conditions in th e future are less favorable than those estimated, additional inventory write-downs may be required.</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Property and Equipment</w:t>
      </w:r>
    </w:p>
    <w:p>
      <w:pPr>
        <w:spacing w:after="0" w:line="161" w:lineRule="exact"/>
        <w:rPr>
          <w:sz w:val="20"/>
          <w:szCs w:val="20"/>
          <w:color w:val="auto"/>
        </w:rPr>
      </w:pPr>
    </w:p>
    <w:p>
      <w:pPr>
        <w:jc w:val="both"/>
        <w:ind w:firstLine="5"/>
        <w:spacing w:after="0" w:line="259" w:lineRule="auto"/>
        <w:rPr>
          <w:sz w:val="20"/>
          <w:szCs w:val="20"/>
          <w:color w:val="auto"/>
        </w:rPr>
      </w:pPr>
      <w:r>
        <w:rPr>
          <w:rFonts w:ascii="Times New Roman" w:cs="Times New Roman" w:eastAsia="Times New Roman" w:hAnsi="Times New Roman"/>
          <w:sz w:val="12"/>
          <w:szCs w:val="12"/>
          <w:color w:val="auto"/>
        </w:rPr>
        <w:t>Property and equipment is comprised of all land, buildings and leasehold improvemen ts and machin ery and equipment used in th e manufacturing and warehousing of furniture, our Company-owned retail operations, our logistical services operations, and corporate administration. This property and equipm ent is stated at cost less accumulated depreciation. Depreciation is computed over the estimated useful lives of the respective assets utilizing th e straight-lin e method. Buildings and improvemen ts are generally depreciated over a period of 10 to 39 years. Machinery and equipm ent are generally depreciated over a period of 5 to I 0 years. Leasehold improvements are amortized based on the und erly ing lease term, or th e asset's estimated useful life, whichever is shorter.</w:t>
      </w:r>
    </w:p>
    <w:p>
      <w:pPr>
        <w:spacing w:after="0" w:line="445" w:lineRule="exact"/>
        <w:rPr>
          <w:sz w:val="20"/>
          <w:szCs w:val="20"/>
          <w:color w:val="auto"/>
        </w:rPr>
      </w:pPr>
    </w:p>
    <w:p>
      <w:pPr>
        <w:sectPr>
          <w:pgSz w:w="15840" w:h="12240" w:orient="landscape"/>
          <w:cols w:equalWidth="0" w:num="2">
            <w:col w:w="7200" w:space="720"/>
            <w:col w:w="6440"/>
          </w:cols>
          <w:pgMar w:left="740" w:top="1440" w:right="740" w:bottom="897" w:gutter="0" w:footer="0" w:header="0"/>
        </w:sectPr>
      </w:pPr>
    </w:p>
    <w:p>
      <w:pPr>
        <w:spacing w:after="0" w:line="191"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23</w:t>
      </w:r>
      <w:r>
        <w:rPr>
          <w:sz w:val="20"/>
          <w:szCs w:val="20"/>
          <w:color w:val="auto"/>
        </w:rPr>
        <w:tab/>
      </w:r>
      <w:r>
        <w:rPr>
          <w:rFonts w:ascii="Times New Roman" w:cs="Times New Roman" w:eastAsia="Times New Roman" w:hAnsi="Times New Roman"/>
          <w:sz w:val="12"/>
          <w:szCs w:val="12"/>
          <w:color w:val="auto"/>
        </w:rPr>
        <w:t>24</w:t>
      </w:r>
    </w:p>
    <w:p>
      <w:pPr>
        <w:sectPr>
          <w:pgSz w:w="15840" w:h="12240" w:orient="landscape"/>
          <w:cols w:equalWidth="0" w:num="1">
            <w:col w:w="14360"/>
          </w:cols>
          <w:pgMar w:left="740" w:top="1440" w:right="740" w:bottom="897" w:gutter="0" w:footer="0" w:header="0"/>
          <w:type w:val="continuous"/>
        </w:sectPr>
      </w:pPr>
    </w:p>
    <w:bookmarkStart w:id="16" w:name="page17"/>
    <w:bookmarkEnd w:id="16"/>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0058400" cy="7772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thousands, except share and per share data)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Goodwill</w:t>
      </w:r>
    </w:p>
    <w:p>
      <w:pPr>
        <w:spacing w:after="0" w:line="162" w:lineRule="exact"/>
        <w:rPr>
          <w:sz w:val="20"/>
          <w:szCs w:val="20"/>
          <w:color w:val="auto"/>
        </w:rPr>
      </w:pPr>
    </w:p>
    <w:p>
      <w:pPr>
        <w:jc w:val="both"/>
        <w:ind w:right="760"/>
        <w:spacing w:after="0" w:line="257" w:lineRule="auto"/>
        <w:rPr>
          <w:sz w:val="20"/>
          <w:szCs w:val="20"/>
          <w:color w:val="auto"/>
        </w:rPr>
      </w:pPr>
      <w:r>
        <w:rPr>
          <w:rFonts w:ascii="Times New Roman" w:cs="Times New Roman" w:eastAsia="Times New Roman" w:hAnsi="Times New Roman"/>
          <w:sz w:val="12"/>
          <w:szCs w:val="12"/>
          <w:color w:val="auto"/>
        </w:rPr>
        <w:t>Goodwill represents the excess of the fair va lue of consideration given over the fair va lue of the tangible assets and liabilities and identifiable intangible assets of businesses acquired. The acquisition of assets and liabilities and the resulting goodwill is allocated to the respective reporting unit: Wood, Upholstery, Retail or Noa Home. We review goodwill at the reporting unit leve l annually for impairment or more frequentl y if events or circumstances indicate that assets might be impaired.</w:t>
      </w:r>
    </w:p>
    <w:p>
      <w:pPr>
        <w:spacing w:after="0" w:line="152" w:lineRule="exact"/>
        <w:rPr>
          <w:sz w:val="20"/>
          <w:szCs w:val="20"/>
          <w:color w:val="auto"/>
        </w:rPr>
      </w:pPr>
    </w:p>
    <w:p>
      <w:pPr>
        <w:jc w:val="both"/>
        <w:ind w:right="740" w:firstLine="5"/>
        <w:spacing w:after="0" w:line="258" w:lineRule="auto"/>
        <w:rPr>
          <w:sz w:val="20"/>
          <w:szCs w:val="20"/>
          <w:color w:val="auto"/>
        </w:rPr>
      </w:pPr>
      <w:r>
        <w:rPr>
          <w:rFonts w:ascii="Times New Roman" w:cs="Times New Roman" w:eastAsia="Times New Roman" w:hAnsi="Times New Roman"/>
          <w:sz w:val="12"/>
          <w:szCs w:val="12"/>
          <w:color w:val="auto"/>
        </w:rPr>
        <w:t xml:space="preserve">In accordance with ASC Topic 350, </w:t>
      </w:r>
      <w:r>
        <w:rPr>
          <w:rFonts w:ascii="Times New Roman" w:cs="Times New Roman" w:eastAsia="Times New Roman" w:hAnsi="Times New Roman"/>
          <w:sz w:val="12"/>
          <w:szCs w:val="12"/>
          <w:i w:val="1"/>
          <w:iCs w:val="1"/>
          <w:color w:val="auto"/>
        </w:rPr>
        <w:t>Intangibles - Goodwill</w:t>
      </w:r>
      <w:r>
        <w:rPr>
          <w:rFonts w:ascii="Times New Roman" w:cs="Times New Roman" w:eastAsia="Times New Roman" w:hAnsi="Times New Roman"/>
          <w:sz w:val="12"/>
          <w:szCs w:val="12"/>
          <w:color w:val="auto"/>
        </w:rPr>
        <w:t xml:space="preserve"> </w:t>
      </w:r>
      <w:r>
        <w:rPr>
          <w:rFonts w:ascii="Arial" w:cs="Arial" w:eastAsia="Arial" w:hAnsi="Arial"/>
          <w:sz w:val="11"/>
          <w:szCs w:val="11"/>
          <w:i w:val="1"/>
          <w:iCs w:val="1"/>
          <w:color w:val="auto"/>
        </w:rPr>
        <w:t>&amp;</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Other,</w:t>
      </w:r>
      <w:r>
        <w:rPr>
          <w:rFonts w:ascii="Times New Roman" w:cs="Times New Roman" w:eastAsia="Times New Roman" w:hAnsi="Times New Roman"/>
          <w:sz w:val="12"/>
          <w:szCs w:val="12"/>
          <w:color w:val="auto"/>
        </w:rPr>
        <w:t xml:space="preserve"> we first assess qualitative factors to determine whether it is more likely than not that the fair va lue of a reporting unit is less than its carrying amount as a basis for determining whether it is necessary to perform the quantitative goodwill impairment test described in ASC Topic 350. The more likely than not threshold is defined as having a likelihood of more than 50 percent. If, after assessing the totality of events or circumstances, we determine that it is not more likely than not that the fair va lue of a reporting unit is less than its carrying amount, then performing the quantitative impairment test is unnecessary and our goodwill is considered to be unimpaired. However, if based on our qualitati ve assessment we conclude that it is more likely than not that the fair va lue of a reporting unit is less than its carrying amount, we will proceed with performing the quantitati ve evaluation process. For the annual test of goodwill performed as of the beginning of the fourth quarter of fi scal 2024, we performed the qualitati ve assessment as described above w ith respect to our upholstery reporting unit and concluded that there was no impairment of goodwilL For the annual test of goodwill performed as of the beginning of the fourth quarter of fi scal 2023, we performed the qualitati ve assessment as described above wi th respect to our upholstery reportin g unit and concluded that there was no impairment of the goodwill allocated to that reporting unit as of November 25, 2023 . However, with respect to our Noa Home reporting unit, we proceeded to the quantitative test and concluded that th e goodwill allocated to that reporting unit as of November 25, 2023 was fully impaired. For the annual test of goodwill performed as of the beginning of the fourth fi scal quarter of 2022, we performed the qualitative assessment as described above and concluded that there was no impairment of our goodwill as of November 26, 2022.</w:t>
      </w:r>
    </w:p>
    <w:p>
      <w:pPr>
        <w:spacing w:after="0" w:line="305" w:lineRule="exact"/>
        <w:rPr>
          <w:sz w:val="20"/>
          <w:szCs w:val="20"/>
          <w:color w:val="auto"/>
        </w:rPr>
      </w:pPr>
    </w:p>
    <w:p>
      <w:pPr>
        <w:jc w:val="both"/>
        <w:ind w:right="760"/>
        <w:spacing w:after="0" w:line="258" w:lineRule="auto"/>
        <w:rPr>
          <w:sz w:val="20"/>
          <w:szCs w:val="20"/>
          <w:color w:val="auto"/>
        </w:rPr>
      </w:pPr>
      <w:r>
        <w:rPr>
          <w:rFonts w:ascii="Times New Roman" w:cs="Times New Roman" w:eastAsia="Times New Roman" w:hAnsi="Times New Roman"/>
          <w:sz w:val="12"/>
          <w:szCs w:val="12"/>
          <w:color w:val="auto"/>
        </w:rPr>
        <w:t xml:space="preserve">The quantitative evaluation compares the carrying value of each reporting unit that has goodwill with th e estimated fair value of the respective reporting unit. Should th e carrying value of a reporting unit be in excess of th e estimated fair value of that reportin g unit, a goodwill impainnent charge will be recognized in the amount by which the reportin g unit' s carrying amount exceeds its fair value, but not to exceed th e total goodwill assigned to the reporting unit. The determination of th e fair value of our reportin g units is based on a combination of a market approach, that considers benchmark company market multiples, an income approach, that utili zes discounted cash flows for each reportin g unit and other Level 3 inputs as specified in th e fair value hierarchy in ASC Topic 820, </w:t>
      </w:r>
      <w:r>
        <w:rPr>
          <w:rFonts w:ascii="Times New Roman" w:cs="Times New Roman" w:eastAsia="Times New Roman" w:hAnsi="Times New Roman"/>
          <w:sz w:val="12"/>
          <w:szCs w:val="12"/>
          <w:i w:val="1"/>
          <w:iCs w:val="1"/>
          <w:color w:val="auto"/>
        </w:rPr>
        <w:t>Fair Value Measurements and Disclosure</w:t>
      </w:r>
      <w:r>
        <w:rPr>
          <w:rFonts w:ascii="Times New Roman" w:cs="Times New Roman" w:eastAsia="Times New Roman" w:hAnsi="Times New Roman"/>
          <w:sz w:val="12"/>
          <w:szCs w:val="12"/>
          <w:color w:val="auto"/>
        </w:rPr>
        <w:t xml:space="preserve"> (see Note 4), and, in th e case of our retail reporting unit, a cost approach that utili zes estimates of net asset value . The cash flows used to determine fair va lue are dependent on a number of significant managem ent assumptions such as our expectations of future performance and th e expected future economic environm ent, which are partly based upon our hi storical experience. Our estimates are subj ect to change given th e inherent uncertainty in predicting future results. Additionally, the discount rate and the terminal growth rate are based on our judgment of th e rates that would be utilized by a hypothetical market participant. As part of th e goodwill impairment testing, we also consider our mark et capitalization in assessing the reasonableness of th e combined fair va lues estimated for our reportin g units . While we beli eve such assumptions and estimates are reasonable, th e actual resul ts may differ materially from th e projected amounts. See Note 8 for additional information regarding th e results of our goodwill impairment test perform ed as of th e beg inning of the fourth quarter of fi scal2023.</w:t>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Leases</w:t>
      </w:r>
    </w:p>
    <w:p>
      <w:pPr>
        <w:spacing w:after="0" w:line="157" w:lineRule="exact"/>
        <w:rPr>
          <w:sz w:val="20"/>
          <w:szCs w:val="20"/>
          <w:color w:val="auto"/>
        </w:rPr>
      </w:pPr>
    </w:p>
    <w:p>
      <w:pPr>
        <w:jc w:val="both"/>
        <w:ind w:right="760" w:firstLine="5"/>
        <w:spacing w:after="0" w:line="248" w:lineRule="auto"/>
        <w:rPr>
          <w:sz w:val="20"/>
          <w:szCs w:val="20"/>
          <w:color w:val="auto"/>
        </w:rPr>
      </w:pPr>
      <w:r>
        <w:rPr>
          <w:rFonts w:ascii="Times New Roman" w:cs="Times New Roman" w:eastAsia="Times New Roman" w:hAnsi="Times New Roman"/>
          <w:sz w:val="12"/>
          <w:szCs w:val="12"/>
          <w:color w:val="auto"/>
        </w:rPr>
        <w:t xml:space="preserve">Effective as of the beginning offiscal2020, we adopted </w:t>
      </w:r>
      <w:r>
        <w:rPr>
          <w:rFonts w:ascii="Times New Roman" w:cs="Times New Roman" w:eastAsia="Times New Roman" w:hAnsi="Times New Roman"/>
          <w:sz w:val="13"/>
          <w:szCs w:val="13"/>
          <w:color w:val="auto"/>
        </w:rPr>
        <w:t>ASU</w:t>
      </w:r>
      <w:r>
        <w:rPr>
          <w:rFonts w:ascii="Times New Roman" w:cs="Times New Roman" w:eastAsia="Times New Roman" w:hAnsi="Times New Roman"/>
          <w:sz w:val="12"/>
          <w:szCs w:val="12"/>
          <w:color w:val="auto"/>
        </w:rPr>
        <w:t xml:space="preserve"> 2016-02, Leases (Topic 842) and all related amendments. Th e guidance requires lessees to recognize substantially all leases on their balance sheet as a right-of-u se ("ROU") asset and a lease liability.</w:t>
      </w:r>
    </w:p>
    <w:p>
      <w:pPr>
        <w:spacing w:after="0" w:line="304" w:lineRule="exact"/>
        <w:rPr>
          <w:sz w:val="20"/>
          <w:szCs w:val="20"/>
          <w:color w:val="auto"/>
        </w:rPr>
      </w:pPr>
    </w:p>
    <w:p>
      <w:pPr>
        <w:jc w:val="both"/>
        <w:ind w:right="760" w:firstLine="6"/>
        <w:spacing w:after="0" w:line="258" w:lineRule="auto"/>
        <w:rPr>
          <w:sz w:val="20"/>
          <w:szCs w:val="20"/>
          <w:color w:val="auto"/>
        </w:rPr>
      </w:pPr>
      <w:r>
        <w:rPr>
          <w:rFonts w:ascii="Times New Roman" w:cs="Times New Roman" w:eastAsia="Times New Roman" w:hAnsi="Times New Roman"/>
          <w:sz w:val="12"/>
          <w:szCs w:val="12"/>
          <w:color w:val="auto"/>
        </w:rPr>
        <w:t>We lease land and buildings that are used in the operation of our Company-owned retail stores as well as in th e operation of certain of our licensee-owned stores, and we lease land and buildings at variou s locations throu ghout the continental United States for warehouse space used in our retail segment. We also lease local delivery truck s used in our retail segment. We determine if a contract contains a lease at inception based on our right to control the use of an id entifi ed asset and our right to obtain substantially all of th e economic benefits from the use of that identified asset. Our real estate lease terms range from one to 15 years and generally have renewal options of between five and 15 years. We assess these options to determine if we are reasonably certain of exercising these options based on all relevant economic and financial f.:1ctors. Any options that meet thi s criteria are included in the lease term at lease commencement.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 sands, except share and per share data)</w:t>
      </w:r>
    </w:p>
    <w:p>
      <w:pPr>
        <w:spacing w:after="0" w:line="162" w:lineRule="exact"/>
        <w:rPr>
          <w:sz w:val="20"/>
          <w:szCs w:val="20"/>
          <w:color w:val="auto"/>
        </w:rPr>
      </w:pPr>
    </w:p>
    <w:p>
      <w:pPr>
        <w:jc w:val="both"/>
        <w:ind w:right="20" w:firstLine="1"/>
        <w:spacing w:after="0" w:line="257" w:lineRule="auto"/>
        <w:rPr>
          <w:sz w:val="20"/>
          <w:szCs w:val="20"/>
          <w:color w:val="auto"/>
        </w:rPr>
      </w:pPr>
      <w:r>
        <w:rPr>
          <w:rFonts w:ascii="Times New Roman" w:cs="Times New Roman" w:eastAsia="Times New Roman" w:hAnsi="Times New Roman"/>
          <w:sz w:val="12"/>
          <w:szCs w:val="12"/>
          <w:color w:val="auto"/>
        </w:rPr>
        <w:t>Most of our leases do not have an interest rate implicit in the lease . As a result, for purposes of measuring our RO U asset and lease liability, we determine our incremental borrowing rate by appl ying a spread above the U.S. Treasury borrowing rates. In the case an interest rate is implicit in a lease we will use that rate as the di scount rate for that lease. Some of our leases contain variable rent payments based on a Consumer Price Index or percentage of sa les. Due to the variable nature of these costs, they are not included in the measurement of the ROU asset and lease liability.</w:t>
      </w:r>
    </w:p>
    <w:p>
      <w:pPr>
        <w:spacing w:after="0" w:line="154" w:lineRule="exact"/>
        <w:rPr>
          <w:sz w:val="20"/>
          <w:szCs w:val="20"/>
          <w:color w:val="auto"/>
        </w:rPr>
      </w:pPr>
    </w:p>
    <w:p>
      <w:pPr>
        <w:jc w:val="both"/>
        <w:ind w:right="20" w:firstLine="6"/>
        <w:spacing w:after="0" w:line="258" w:lineRule="auto"/>
        <w:rPr>
          <w:sz w:val="20"/>
          <w:szCs w:val="20"/>
          <w:color w:val="auto"/>
        </w:rPr>
      </w:pPr>
      <w:r>
        <w:rPr>
          <w:rFonts w:ascii="Times New Roman" w:cs="Times New Roman" w:eastAsia="Times New Roman" w:hAnsi="Times New Roman"/>
          <w:sz w:val="12"/>
          <w:szCs w:val="12"/>
          <w:color w:val="auto"/>
        </w:rPr>
        <w:t xml:space="preserve">We adopted the standard utili zi ng the transition election to not restate comparative periods for the impact of adopting the standard and recogni zing the cumulative impact of adoption in the opening balance of retained earnings . We elected the package of tran sition expedients available for expired or existing contracts, which allowed the carry-forward of hi storical assessments of(!) whether contracts are or contain leases, (2) lease classification and (3) initial direct costs . </w:t>
      </w:r>
      <w:r>
        <w:rPr>
          <w:rFonts w:ascii="Arial" w:cs="Arial" w:eastAsia="Arial" w:hAnsi="Arial"/>
          <w:sz w:val="11"/>
          <w:szCs w:val="11"/>
          <w:color w:val="auto"/>
        </w:rPr>
        <w:t>ln</w:t>
      </w:r>
      <w:r>
        <w:rPr>
          <w:rFonts w:ascii="Times New Roman" w:cs="Times New Roman" w:eastAsia="Times New Roman" w:hAnsi="Times New Roman"/>
          <w:sz w:val="12"/>
          <w:szCs w:val="12"/>
          <w:color w:val="auto"/>
        </w:rPr>
        <w:t xml:space="preserve"> addition, we have elected the practical expedient to not separate lease and non-lease components when determinin g the ROU asset and lease liability and have elected the practical expedient related to land easements, allowing us to carry forward our accounting treatm ent for land easements on existing agreements . We have also elected the hindsight practical expedient to determine the lease term for existing leases . In our application of hindsight, we evaluated the performance of the leased stores and the associated markets in relation to our overall real estate strategies, which resulted in the determination that most renewa l options would not be reasonably certain in determining the expected lease term. We have made an accounting policy election to not recogni ze ROU assets and lease liabilities on the balance sheet for those leases with initial term s of one year or less and instead such lease obligations will be ex pensed on a strai ght-line basis over the lease term.</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See Note 15 for additional information regardin g our leases .</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Intangible Assets</w:t>
      </w:r>
    </w:p>
    <w:p>
      <w:pPr>
        <w:spacing w:after="0" w:line="162" w:lineRule="exact"/>
        <w:rPr>
          <w:sz w:val="20"/>
          <w:szCs w:val="20"/>
          <w:color w:val="auto"/>
        </w:rPr>
      </w:pPr>
    </w:p>
    <w:p>
      <w:pPr>
        <w:jc w:val="both"/>
        <w:ind w:firstLine="5"/>
        <w:spacing w:after="0" w:line="258" w:lineRule="auto"/>
        <w:rPr>
          <w:sz w:val="20"/>
          <w:szCs w:val="20"/>
          <w:color w:val="auto"/>
        </w:rPr>
      </w:pPr>
      <w:r>
        <w:rPr>
          <w:rFonts w:ascii="Times New Roman" w:cs="Times New Roman" w:eastAsia="Times New Roman" w:hAnsi="Times New Roman"/>
          <w:sz w:val="12"/>
          <w:szCs w:val="12"/>
          <w:color w:val="auto"/>
        </w:rPr>
        <w:t>Intangible assets acquired in a business combination and determin ed to have an ind efinite useful life are not amortized but are tested for impairment annually or between annual tests when an impairment indicator exists . The recoverability of ind e finite-lived intangible assets is assessed by comparison of th e carrying value of th e asset to its estimated fair value. If we determine that th e carrying va lu e of th e asset exceeds its estimated fair value, an impairment loss equal to the excess would be recorded. During the second quarter of fi scal 2024, in conjunction with our deci sion to close Noa Home and cease operations by th e end of fiscal 2024, we fully impaired the carrying value of th e intangible asset for th e Noa Hom e trad e name.</w:t>
      </w:r>
    </w:p>
    <w:p>
      <w:pPr>
        <w:spacing w:after="0" w:line="300" w:lineRule="exact"/>
        <w:rPr>
          <w:sz w:val="20"/>
          <w:szCs w:val="20"/>
          <w:color w:val="auto"/>
        </w:rPr>
      </w:pPr>
    </w:p>
    <w:p>
      <w:pPr>
        <w:jc w:val="both"/>
        <w:ind w:firstLine="5"/>
        <w:spacing w:after="0" w:line="257" w:lineRule="auto"/>
        <w:rPr>
          <w:sz w:val="20"/>
          <w:szCs w:val="20"/>
          <w:color w:val="auto"/>
        </w:rPr>
      </w:pPr>
      <w:r>
        <w:rPr>
          <w:rFonts w:ascii="Times New Roman" w:cs="Times New Roman" w:eastAsia="Times New Roman" w:hAnsi="Times New Roman"/>
          <w:sz w:val="12"/>
          <w:szCs w:val="12"/>
          <w:color w:val="auto"/>
        </w:rPr>
        <w:t>Definite-lived intangible assets are amortized over th eir respective estimated useful lives and rev iewed for impairment whenever events or changes in circumstances indicate that their carrying amounts may not be recoverable. We estimate th e useful lives of our intangible assets and ratably amortize the value over th e estimated useful lives of those assets. If th e estimates of the useful lives should change, we will amortize th e remaining book va lu e over the remaining useful lives or, if an asset is deemed to be impaired, a write-down of the value of the asset may be required at such tim e.</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Impairm ent of Long Lived Assets</w:t>
      </w:r>
    </w:p>
    <w:p>
      <w:pPr>
        <w:spacing w:after="0" w:line="162" w:lineRule="exact"/>
        <w:rPr>
          <w:sz w:val="20"/>
          <w:szCs w:val="20"/>
          <w:color w:val="auto"/>
        </w:rPr>
      </w:pPr>
    </w:p>
    <w:p>
      <w:pPr>
        <w:jc w:val="both"/>
        <w:ind w:right="20" w:firstLine="6"/>
        <w:spacing w:after="0" w:line="258" w:lineRule="auto"/>
        <w:rPr>
          <w:sz w:val="20"/>
          <w:szCs w:val="20"/>
          <w:color w:val="auto"/>
        </w:rPr>
      </w:pPr>
      <w:r>
        <w:rPr>
          <w:rFonts w:ascii="Times New Roman" w:cs="Times New Roman" w:eastAsia="Times New Roman" w:hAnsi="Times New Roman"/>
          <w:sz w:val="12"/>
          <w:szCs w:val="12"/>
          <w:color w:val="auto"/>
        </w:rPr>
        <w:t>We periodically evaluate whether events or circumstances have occurred that indicate long-lived assets may not be recoverable or that th e remaining useful life may warrant revi sion. When such events or circumstances are present, we assess the recoverability of long-lived assets by determining whether th e carrying value will be recovered through th e expected undiscounted future cash flows resulting from the use and eventual di sposition of th e asset. In th e event th e sum of th e ex pected undi scounted future cash flows is less than the carrying value of the asset, an impairment loss equal to th e excess of th e asset's carrying va lue over its fair value is recorded. Fair value is determined based on di scounted cash flows or appraised values depending on th e nature of the assets. The long-term nature of these assets requires the estimation of cash inflows and outflows several years into th e future.</w:t>
      </w:r>
    </w:p>
    <w:p>
      <w:pPr>
        <w:spacing w:after="0" w:line="301" w:lineRule="exact"/>
        <w:rPr>
          <w:sz w:val="20"/>
          <w:szCs w:val="20"/>
          <w:color w:val="auto"/>
        </w:rPr>
      </w:pPr>
    </w:p>
    <w:p>
      <w:pPr>
        <w:jc w:val="both"/>
        <w:ind w:right="20" w:firstLine="9"/>
        <w:spacing w:after="0" w:line="258" w:lineRule="auto"/>
        <w:rPr>
          <w:sz w:val="20"/>
          <w:szCs w:val="20"/>
          <w:color w:val="auto"/>
        </w:rPr>
      </w:pPr>
      <w:r>
        <w:rPr>
          <w:rFonts w:ascii="Times New Roman" w:cs="Times New Roman" w:eastAsia="Times New Roman" w:hAnsi="Times New Roman"/>
          <w:sz w:val="12"/>
          <w:szCs w:val="12"/>
          <w:color w:val="auto"/>
        </w:rPr>
        <w:t>When analyzing our real estate properties for potential impairment, we consider such qualitative factors as our experience in leasing and selling real estate properti es as well as specific site and local market characteristics. Upon th e closure of a Bassett !-lom e Furnishings store, we generally write offal I tenant improvemen ts which are only suitable for use in such a store. ROU assets und er operating leases are written down to th eir estimated fair va lue. Our estimates of th e fair va lue of th e impaired RO U assets included estimates of discounted cash flows based upon current mark et rents and other inputs which we consider to be Level 3 inputs as specified in th e fair value hierarchy in ASC Topic 820, Fair Value Measurement and Disclosure (see Note4) .</w:t>
      </w:r>
    </w:p>
    <w:p>
      <w:pPr>
        <w:spacing w:after="0" w:line="496" w:lineRule="exact"/>
        <w:rPr>
          <w:sz w:val="20"/>
          <w:szCs w:val="20"/>
          <w:color w:val="auto"/>
        </w:rPr>
      </w:pPr>
    </w:p>
    <w:p>
      <w:pPr>
        <w:sectPr>
          <w:pgSz w:w="15840" w:h="12240" w:orient="landscape"/>
          <w:cols w:equalWidth="0" w:num="2">
            <w:col w:w="7200" w:space="720"/>
            <w:col w:w="6460"/>
          </w:cols>
          <w:pgMar w:left="740" w:top="1440" w:right="720" w:bottom="898" w:gutter="0" w:footer="0" w:header="0"/>
        </w:sectPr>
      </w:pPr>
    </w:p>
    <w:p>
      <w:pPr>
        <w:spacing w:after="0" w:line="190"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25</w:t>
      </w:r>
      <w:r>
        <w:rPr>
          <w:sz w:val="20"/>
          <w:szCs w:val="20"/>
          <w:color w:val="auto"/>
        </w:rPr>
        <w:tab/>
      </w:r>
      <w:r>
        <w:rPr>
          <w:rFonts w:ascii="Times New Roman" w:cs="Times New Roman" w:eastAsia="Times New Roman" w:hAnsi="Times New Roman"/>
          <w:sz w:val="12"/>
          <w:szCs w:val="12"/>
          <w:color w:val="auto"/>
        </w:rPr>
        <w:t>26</w:t>
      </w:r>
    </w:p>
    <w:p>
      <w:pPr>
        <w:sectPr>
          <w:pgSz w:w="15840" w:h="12240" w:orient="landscape"/>
          <w:cols w:equalWidth="0" w:num="1">
            <w:col w:w="14380"/>
          </w:cols>
          <w:pgMar w:left="740" w:top="1440" w:right="720" w:bottom="898" w:gutter="0" w:footer="0" w:header="0"/>
          <w:type w:val="continuous"/>
        </w:sectPr>
      </w:pPr>
    </w:p>
    <w:bookmarkStart w:id="17" w:name="page18"/>
    <w:bookmarkEnd w:id="17"/>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0058400" cy="7772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thousands, except share and per share data)</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Income Taxes</w:t>
      </w:r>
    </w:p>
    <w:p>
      <w:pPr>
        <w:spacing w:after="0" w:line="162" w:lineRule="exact"/>
        <w:rPr>
          <w:sz w:val="20"/>
          <w:szCs w:val="20"/>
          <w:color w:val="auto"/>
        </w:rPr>
      </w:pPr>
    </w:p>
    <w:p>
      <w:pPr>
        <w:jc w:val="both"/>
        <w:ind w:right="760" w:firstLine="6"/>
        <w:spacing w:after="0" w:line="258" w:lineRule="auto"/>
        <w:rPr>
          <w:sz w:val="20"/>
          <w:szCs w:val="20"/>
          <w:color w:val="auto"/>
        </w:rPr>
      </w:pPr>
      <w:r>
        <w:rPr>
          <w:rFonts w:ascii="Times New Roman" w:cs="Times New Roman" w:eastAsia="Times New Roman" w:hAnsi="Times New Roman"/>
          <w:sz w:val="12"/>
          <w:szCs w:val="12"/>
          <w:color w:val="auto"/>
        </w:rPr>
        <w:t>We account for income taxes under the liability method which requires that we recognize deferred tax assets and liabilities for the future tax consequences attributable to differences between the financial statement carrying amount of existing assets and liabilities and their respecti ve tax bases .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w:t>
      </w:r>
    </w:p>
    <w:p>
      <w:pPr>
        <w:spacing w:after="0" w:line="300" w:lineRule="exact"/>
        <w:rPr>
          <w:sz w:val="20"/>
          <w:szCs w:val="20"/>
          <w:color w:val="auto"/>
        </w:rPr>
      </w:pPr>
    </w:p>
    <w:p>
      <w:pPr>
        <w:jc w:val="both"/>
        <w:ind w:right="760" w:firstLine="6"/>
        <w:spacing w:after="0" w:line="257" w:lineRule="auto"/>
        <w:rPr>
          <w:sz w:val="20"/>
          <w:szCs w:val="20"/>
          <w:color w:val="auto"/>
        </w:rPr>
      </w:pPr>
      <w:r>
        <w:rPr>
          <w:rFonts w:ascii="Times New Roman" w:cs="Times New Roman" w:eastAsia="Times New Roman" w:hAnsi="Times New Roman"/>
          <w:sz w:val="12"/>
          <w:szCs w:val="12"/>
          <w:color w:val="auto"/>
        </w:rPr>
        <w:t>We recognize the tax benefit from an uncertain tax position only if it is more likely than not that the tax position will be sustained on examination by the taxing authorities, based on the technical merits of the position. Despite our belief that our liability for unrecogni zed tax benefits is adequate, it is often difficult to predict the final outcome or the timing of the resolution of any particular tax matters. We may adjust these liabilities as relevan t circumstances evolve, such as guidance from the relevan t tax authority or our tax advisors, or resolution of issues in the courts . These aqjustments are recogni zed as a component of income tax expense in the period in which they are identified.</w:t>
      </w:r>
    </w:p>
    <w:p>
      <w:pPr>
        <w:spacing w:after="0" w:line="155" w:lineRule="exact"/>
        <w:rPr>
          <w:sz w:val="20"/>
          <w:szCs w:val="20"/>
          <w:color w:val="auto"/>
        </w:rPr>
      </w:pPr>
    </w:p>
    <w:p>
      <w:pPr>
        <w:jc w:val="both"/>
        <w:ind w:right="760" w:firstLine="6"/>
        <w:spacing w:after="0" w:line="258" w:lineRule="auto"/>
        <w:rPr>
          <w:sz w:val="20"/>
          <w:szCs w:val="20"/>
          <w:color w:val="auto"/>
        </w:rPr>
      </w:pPr>
      <w:r>
        <w:rPr>
          <w:rFonts w:ascii="Times New Roman" w:cs="Times New Roman" w:eastAsia="Times New Roman" w:hAnsi="Times New Roman"/>
          <w:sz w:val="12"/>
          <w:szCs w:val="12"/>
          <w:color w:val="auto"/>
        </w:rPr>
        <w:t xml:space="preserve">We evaluate our deferred income tax assets to determine if va luation allowances are required or should be adjusted . </w:t>
      </w:r>
      <w:r>
        <w:rPr>
          <w:rFonts w:ascii="Times New Roman" w:cs="Times New Roman" w:eastAsia="Times New Roman" w:hAnsi="Times New Roman"/>
          <w:sz w:val="12"/>
          <w:szCs w:val="12"/>
          <w:i w:val="1"/>
          <w:iCs w:val="1"/>
          <w:color w:val="auto"/>
        </w:rPr>
        <w:t>A</w:t>
      </w:r>
      <w:r>
        <w:rPr>
          <w:rFonts w:ascii="Times New Roman" w:cs="Times New Roman" w:eastAsia="Times New Roman" w:hAnsi="Times New Roman"/>
          <w:sz w:val="12"/>
          <w:szCs w:val="12"/>
          <w:color w:val="auto"/>
        </w:rPr>
        <w:t xml:space="preserve"> va luation allowance is established against our deferred tax assets based on consideration of all available evidence, both pos iti ve and negati ve, using a "more likely than not" standard. This assessment considers, among other matters, the nature, frequency and severity of recent losses, forecasts of future profitability, the duration of statutory carryforward or carryback periods, our experience with tax attributes expiring unu sed and tax planning alternatives. In making such judgments, significant we ight is given to evidence that can be objectively verified. See Note 13 for additional information regarding our income taxes .</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Shipping and Handling Costs</w:t>
      </w:r>
    </w:p>
    <w:p>
      <w:pPr>
        <w:spacing w:after="0" w:line="162" w:lineRule="exact"/>
        <w:rPr>
          <w:sz w:val="20"/>
          <w:szCs w:val="20"/>
          <w:color w:val="auto"/>
        </w:rPr>
      </w:pPr>
    </w:p>
    <w:p>
      <w:pPr>
        <w:jc w:val="both"/>
        <w:ind w:right="760"/>
        <w:spacing w:after="0" w:line="257" w:lineRule="auto"/>
        <w:rPr>
          <w:sz w:val="20"/>
          <w:szCs w:val="20"/>
          <w:color w:val="auto"/>
        </w:rPr>
      </w:pPr>
      <w:r>
        <w:rPr>
          <w:rFonts w:ascii="Times New Roman" w:cs="Times New Roman" w:eastAsia="Times New Roman" w:hAnsi="Times New Roman"/>
          <w:sz w:val="12"/>
          <w:szCs w:val="12"/>
          <w:color w:val="auto"/>
        </w:rPr>
        <w:t>Costs incurred to deliver wholesale merchandi se to customers are record ed in selling, general and administrative expense and totaled $22,721, $26,125, and $33,029 for fiscal 2024, 2023 and 2022, respecti ve ly . Costs incurred to deli ver retail merchandise to customers, including th e cost of operating reg ional di stribution warehouses, are also recorded in selling, general and administrative expense and totaled $20,342,$23,399, and $23,812 for fi scal2024, 2023 and 2022, respective 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Advertising</w:t>
      </w:r>
    </w:p>
    <w:p>
      <w:pPr>
        <w:spacing w:after="0" w:line="162" w:lineRule="exact"/>
        <w:rPr>
          <w:sz w:val="20"/>
          <w:szCs w:val="20"/>
          <w:color w:val="auto"/>
        </w:rPr>
      </w:pPr>
    </w:p>
    <w:p>
      <w:pPr>
        <w:jc w:val="both"/>
        <w:ind w:right="760"/>
        <w:spacing w:after="0" w:line="256" w:lineRule="auto"/>
        <w:rPr>
          <w:sz w:val="20"/>
          <w:szCs w:val="20"/>
          <w:color w:val="auto"/>
        </w:rPr>
      </w:pPr>
      <w:r>
        <w:rPr>
          <w:rFonts w:ascii="Times New Roman" w:cs="Times New Roman" w:eastAsia="Times New Roman" w:hAnsi="Times New Roman"/>
          <w:sz w:val="12"/>
          <w:szCs w:val="12"/>
          <w:color w:val="auto"/>
        </w:rPr>
        <w:t>Costs incurred for producing and di stributing advertising and advertising materials are expensed when incurred and are included in sellin g, general and administrative expenses . Advertising costs totaled $13,256, $19,106, and $16,698 in fiscal 2024, 2023 , and 2022, respectively .</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Insurance Reserves</w:t>
      </w:r>
    </w:p>
    <w:p>
      <w:pPr>
        <w:spacing w:after="0" w:line="162" w:lineRule="exact"/>
        <w:rPr>
          <w:sz w:val="20"/>
          <w:szCs w:val="20"/>
          <w:color w:val="auto"/>
        </w:rPr>
      </w:pPr>
    </w:p>
    <w:p>
      <w:pPr>
        <w:jc w:val="both"/>
        <w:ind w:right="760" w:firstLine="6"/>
        <w:spacing w:after="0" w:line="257" w:lineRule="auto"/>
        <w:rPr>
          <w:sz w:val="20"/>
          <w:szCs w:val="20"/>
          <w:color w:val="auto"/>
        </w:rPr>
      </w:pPr>
      <w:r>
        <w:rPr>
          <w:rFonts w:ascii="Times New Roman" w:cs="Times New Roman" w:eastAsia="Times New Roman" w:hAnsi="Times New Roman"/>
          <w:sz w:val="12"/>
          <w:szCs w:val="12"/>
          <w:color w:val="auto"/>
        </w:rPr>
        <w:t>We have self-funded insurance programs in place to cover workers' compensation and health insurance. These insurance programs are subj ect to various stop-loss limitations. We accrue estimated losses using hi storical loss experi ence. Although we believe that the insurance reserves are adequate, th e reserve estimates are based on historical experi ence, which may not be indicative of current and future losses . We adjust insurance reserves, as needed, in th e event that future loss experience differs from historical loss patterns.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Supplemental Cash Flow Information</w:t>
      </w:r>
    </w:p>
    <w:p>
      <w:pPr>
        <w:spacing w:after="0" w:line="162" w:lineRule="exact"/>
        <w:rPr>
          <w:sz w:val="20"/>
          <w:szCs w:val="20"/>
          <w:color w:val="auto"/>
        </w:rPr>
      </w:pPr>
    </w:p>
    <w:p>
      <w:pPr>
        <w:jc w:val="both"/>
        <w:ind w:right="760" w:firstLine="5"/>
        <w:spacing w:after="0" w:line="257" w:lineRule="auto"/>
        <w:rPr>
          <w:sz w:val="20"/>
          <w:szCs w:val="20"/>
          <w:color w:val="auto"/>
        </w:rPr>
      </w:pPr>
      <w:r>
        <w:rPr>
          <w:rFonts w:ascii="Times New Roman" w:cs="Times New Roman" w:eastAsia="Times New Roman" w:hAnsi="Times New Roman"/>
          <w:sz w:val="12"/>
          <w:szCs w:val="12"/>
          <w:color w:val="auto"/>
        </w:rPr>
        <w:t>Refer to the supplemental lease disclosures in Note 15 for cash flow impacts of leasing transactions durin g fiscal 2024, 2023 and 2022. At November 30, 2024, $273 of our fi scal 2024 purchases of property and equipment were unpaid and included in accounts payable in th e accompanying balance sheet. Otherwise, th ere were no material non-cash investing or financing activities during fi scal 2024, 2023 or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 sands, except share and per share data)</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Recent Accounting Pronouncements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Recent Pronouncements Not Yet Adopted</w:t>
      </w:r>
    </w:p>
    <w:p>
      <w:pPr>
        <w:spacing w:after="0" w:line="162" w:lineRule="exact"/>
        <w:rPr>
          <w:sz w:val="20"/>
          <w:szCs w:val="20"/>
          <w:color w:val="auto"/>
        </w:rPr>
      </w:pPr>
    </w:p>
    <w:p>
      <w:pPr>
        <w:jc w:val="both"/>
        <w:ind w:firstLine="5"/>
        <w:spacing w:after="0" w:line="258" w:lineRule="auto"/>
        <w:rPr>
          <w:sz w:val="20"/>
          <w:szCs w:val="20"/>
          <w:color w:val="auto"/>
        </w:rPr>
      </w:pPr>
      <w:r>
        <w:rPr>
          <w:rFonts w:ascii="Times New Roman" w:cs="Times New Roman" w:eastAsia="Times New Roman" w:hAnsi="Times New Roman"/>
          <w:sz w:val="12"/>
          <w:szCs w:val="12"/>
          <w:color w:val="auto"/>
        </w:rPr>
        <w:t xml:space="preserve">In June 2022, the FASB iss ued Accounting Standards Update No. 2022-03 - Fair Value Measurement (Topic 820): Fair Value Measurement of Equity Securities Subject to Contractual Sale Restriction s, to clarify the guidance in Topic 820 when measuring the fair va lue of an equity sec urity subject to contractual restrictions that prohibit the sale of an equity sec urity . The amendments in ASU 2022-03 clarify that a contractual restriction on the sale of an equity sec urity is not considered part of the unit of account of the equity sec urity and, therefore, is not considered in measuring fair va lue. The amendments also clarify that an entity cannot, as a separate unit of account, recogni ze and measure a contractual sale restriction. In addition, the amendments in ASU 2022-03 require certain additional di sclosures related to investments in equity sec urities </w:t>
      </w:r>
      <w:r>
        <w:rPr>
          <w:rFonts w:ascii="Arial" w:cs="Arial" w:eastAsia="Arial" w:hAnsi="Arial"/>
          <w:sz w:val="9"/>
          <w:szCs w:val="9"/>
          <w:color w:val="auto"/>
        </w:rPr>
        <w:t>su~ject</w:t>
      </w:r>
      <w:r>
        <w:rPr>
          <w:rFonts w:ascii="Times New Roman" w:cs="Times New Roman" w:eastAsia="Times New Roman" w:hAnsi="Times New Roman"/>
          <w:sz w:val="12"/>
          <w:szCs w:val="12"/>
          <w:color w:val="auto"/>
        </w:rPr>
        <w:t xml:space="preserve"> to contractual sa le restrictions. The amendments in ASU 2022-03 will become effective for us as of the beginning of our 2025 fi scal year. Early adoption is permitted. As of November 30, 2024 we do not hold any investments in equity sec urities, therefore we do not currently expect that thi s guidance will have a material impact upon our financial position and res ults of operations .</w:t>
      </w:r>
    </w:p>
    <w:p>
      <w:pPr>
        <w:spacing w:after="0" w:line="302" w:lineRule="exact"/>
        <w:rPr>
          <w:sz w:val="20"/>
          <w:szCs w:val="20"/>
          <w:color w:val="auto"/>
        </w:rPr>
      </w:pPr>
    </w:p>
    <w:p>
      <w:pPr>
        <w:jc w:val="both"/>
        <w:ind w:firstLine="6"/>
        <w:spacing w:after="0" w:line="258" w:lineRule="auto"/>
        <w:rPr>
          <w:sz w:val="20"/>
          <w:szCs w:val="20"/>
          <w:color w:val="auto"/>
        </w:rPr>
      </w:pPr>
      <w:r>
        <w:rPr>
          <w:rFonts w:ascii="Times New Roman" w:cs="Times New Roman" w:eastAsia="Times New Roman" w:hAnsi="Times New Roman"/>
          <w:sz w:val="12"/>
          <w:szCs w:val="12"/>
          <w:color w:val="auto"/>
        </w:rPr>
        <w:t>In November 2023, the FASB issued Accounting Standards Update 2023-07 - Segment Reporting (Topic ASC 740) Improvements to Reportable Segment Disclosures. The ASU improves reportable segment di sclosure requirements, primarily through enhanced di sclosures about significant segment expenses. The amendments in this update require: that a public entity disc lose, on an annual and interim basis, significant segment expenses that are reg ularly provided to the chief operating decision maker (CODM) and included within each reported measure of segment profit or loss (coll ectively referred to as th e "significant expense principle"); and that a public entity disclose, on an annual and interim basis, an amount for other segment items by reportable segment and a description of its composition . The other segment items category is the difference between segment revenue less the segment expenses disc losed und er the significant expense principle and each reported measure of segment profit or loss. The amendments in ASU 2023-07 will become effective for us for our 2025 fiscal year and for interim periods beginning with our 2026 fi scal year. Early adoption is permitted. We do not expect that thi s guidance will have a material impact upon our financial position and results of operations.</w:t>
      </w:r>
    </w:p>
    <w:p>
      <w:pPr>
        <w:spacing w:after="0" w:line="302" w:lineRule="exact"/>
        <w:rPr>
          <w:sz w:val="20"/>
          <w:szCs w:val="20"/>
          <w:color w:val="auto"/>
        </w:rPr>
      </w:pPr>
    </w:p>
    <w:p>
      <w:pPr>
        <w:jc w:val="both"/>
        <w:ind w:right="20" w:firstLine="6"/>
        <w:spacing w:after="0" w:line="258" w:lineRule="auto"/>
        <w:rPr>
          <w:sz w:val="20"/>
          <w:szCs w:val="20"/>
          <w:color w:val="auto"/>
        </w:rPr>
      </w:pPr>
      <w:r>
        <w:rPr>
          <w:rFonts w:ascii="Times New Roman" w:cs="Times New Roman" w:eastAsia="Times New Roman" w:hAnsi="Times New Roman"/>
          <w:sz w:val="12"/>
          <w:szCs w:val="12"/>
          <w:color w:val="auto"/>
        </w:rPr>
        <w:t>In December 2023, th e F ASB issued Accounting Standards Update 2023-09 -Income Taxes (Topic ASC 740) Income Taxes . The ASU improves the tran sparency of income tax disclosures by requiring (I) consistent categories and greater disaggregation of information in th e rate reconciliation and (2) income taxes paid disaggregated by jurisd iction. It also includes certain other amendments to improve the effectiveness of income tax di sclosures . The amendments in ASU 2023-09 will become effective for us as of th e beginning of our 2026 fi scal year. Early adoption is permitted for annual financial statements that have not yet been issued or made available for issuance. We do not expect that thi s guidance will have a material impact upon our financial position and results of operations.</w:t>
      </w:r>
    </w:p>
    <w:p>
      <w:pPr>
        <w:spacing w:after="0" w:line="149" w:lineRule="exact"/>
        <w:rPr>
          <w:sz w:val="20"/>
          <w:szCs w:val="20"/>
          <w:color w:val="auto"/>
        </w:rPr>
      </w:pPr>
    </w:p>
    <w:p>
      <w:pPr>
        <w:jc w:val="both"/>
        <w:ind w:right="20" w:firstLine="9"/>
        <w:spacing w:after="0" w:line="258" w:lineRule="auto"/>
        <w:rPr>
          <w:sz w:val="20"/>
          <w:szCs w:val="20"/>
          <w:color w:val="auto"/>
        </w:rPr>
      </w:pPr>
      <w:r>
        <w:rPr>
          <w:rFonts w:ascii="Times New Roman" w:cs="Times New Roman" w:eastAsia="Times New Roman" w:hAnsi="Times New Roman"/>
          <w:sz w:val="12"/>
          <w:szCs w:val="12"/>
          <w:color w:val="auto"/>
        </w:rPr>
        <w:t>In November 2024, the FASB issued Accounting Standards Update 2024-03 -Income Statement - Reporting Comprehensive In come - Expense Disaggregation Disclosures (Subtopic ASC 220-40) Disaggregation of Income Statement Expenses. The amendments in this ASU require a public busin ess entity to di sc lose specific information about certain costs and expenses in the notes to its financial statements for interim and annual reporting periods. Th e objective of th e di sclosure requirements is to provided disaggregated information about a public business entity's expenses to help investors (a) better und erstand the entity's performance, (b) better assess th e entity's prospects for future cash flows, and (c) compare an entity's performance over tim e and with that of other entiti es. The amendments in ASU 2024-03 will become effective for us for our 2028 fi scal year and for interim period s beg inning with our 2029 fi scal year. Early adoption is permitted . We do not ex pect that this guidance will have a material impact upon our financial position and results of operations.</w:t>
      </w:r>
    </w:p>
    <w:p>
      <w:pPr>
        <w:spacing w:after="0" w:line="1095" w:lineRule="exact"/>
        <w:rPr>
          <w:sz w:val="20"/>
          <w:szCs w:val="20"/>
          <w:color w:val="auto"/>
        </w:rPr>
      </w:pPr>
    </w:p>
    <w:p>
      <w:pPr>
        <w:sectPr>
          <w:pgSz w:w="15840" w:h="12240" w:orient="landscape"/>
          <w:cols w:equalWidth="0" w:num="2">
            <w:col w:w="7200" w:space="720"/>
            <w:col w:w="6460"/>
          </w:cols>
          <w:pgMar w:left="740" w:top="1440" w:right="720" w:bottom="8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27</w:t>
      </w:r>
      <w:r>
        <w:rPr>
          <w:sz w:val="20"/>
          <w:szCs w:val="20"/>
          <w:color w:val="auto"/>
        </w:rPr>
        <w:tab/>
      </w:r>
      <w:r>
        <w:rPr>
          <w:rFonts w:ascii="Times New Roman" w:cs="Times New Roman" w:eastAsia="Times New Roman" w:hAnsi="Times New Roman"/>
          <w:sz w:val="12"/>
          <w:szCs w:val="12"/>
          <w:color w:val="auto"/>
        </w:rPr>
        <w:t>28</w:t>
      </w:r>
    </w:p>
    <w:p>
      <w:pPr>
        <w:sectPr>
          <w:pgSz w:w="15840" w:h="12240" w:orient="landscape"/>
          <w:cols w:equalWidth="0" w:num="1">
            <w:col w:w="14380"/>
          </w:cols>
          <w:pgMar w:left="740" w:top="1440" w:right="720" w:bottom="897" w:gutter="0" w:footer="0" w:header="0"/>
          <w:type w:val="continuous"/>
        </w:sectPr>
      </w:pPr>
    </w:p>
    <w:bookmarkStart w:id="18" w:name="page19"/>
    <w:bookmarkEnd w:id="18"/>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0058400" cy="7772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thousands, except share and per share data)</w:t>
      </w:r>
    </w:p>
    <w:p>
      <w:pPr>
        <w:spacing w:after="0" w:line="148" w:lineRule="exact"/>
        <w:rPr>
          <w:sz w:val="20"/>
          <w:szCs w:val="20"/>
          <w:color w:val="auto"/>
        </w:rPr>
      </w:pPr>
    </w:p>
    <w:p>
      <w:pPr>
        <w:ind w:left="240" w:hanging="233"/>
        <w:spacing w:after="0"/>
        <w:tabs>
          <w:tab w:leader="none" w:pos="2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Combinations</w:t>
      </w:r>
    </w:p>
    <w:p>
      <w:pPr>
        <w:spacing w:after="0" w:line="162" w:lineRule="exact"/>
        <w:rPr>
          <w:sz w:val="20"/>
          <w:szCs w:val="20"/>
          <w:color w:val="auto"/>
        </w:rPr>
      </w:pPr>
    </w:p>
    <w:p>
      <w:pPr>
        <w:jc w:val="both"/>
        <w:ind w:right="760"/>
        <w:spacing w:after="0" w:line="258" w:lineRule="auto"/>
        <w:rPr>
          <w:sz w:val="20"/>
          <w:szCs w:val="20"/>
          <w:color w:val="auto"/>
        </w:rPr>
      </w:pPr>
      <w:r>
        <w:rPr>
          <w:rFonts w:ascii="Times New Roman" w:cs="Times New Roman" w:eastAsia="Times New Roman" w:hAnsi="Times New Roman"/>
          <w:sz w:val="12"/>
          <w:szCs w:val="12"/>
          <w:color w:val="auto"/>
        </w:rPr>
        <w:t>On September 2, 2022, we acquired 100% of the capital stock of Noa Home, a mid-priced e-commerce furniture retailer headquartered in Montreal, Canada . Noa Home had operations in Canada, Australia, Singapore and the United Kingdom . The initial purchase price (denominated in Canadian dollars) of approximately C$7,700 included cash payments ofC$2,000 paid to the co-founders ofNoa Home and approximately C$5,700 for the repayment of existing debt owed by Noa Home, Per the terms of the agreement at the acquisition date, the Noa Home co-founders also had the opportunity to recei ve additional cash payments totalin g approximately C$ 1,330 per year for the three fi scal years following the year of acquisition based on established increases in net revenues and achieving certain internal EBITDA goal.</w:t>
      </w:r>
    </w:p>
    <w:p>
      <w:pPr>
        <w:spacing w:after="0" w:line="152" w:lineRule="exact"/>
        <w:rPr>
          <w:sz w:val="20"/>
          <w:szCs w:val="20"/>
          <w:color w:val="auto"/>
        </w:rPr>
      </w:pPr>
    </w:p>
    <w:p>
      <w:pPr>
        <w:jc w:val="both"/>
        <w:ind w:right="740" w:firstLine="5"/>
        <w:spacing w:after="0" w:line="257" w:lineRule="auto"/>
        <w:rPr>
          <w:sz w:val="20"/>
          <w:szCs w:val="20"/>
          <w:color w:val="auto"/>
        </w:rPr>
      </w:pPr>
      <w:r>
        <w:rPr>
          <w:rFonts w:ascii="Times New Roman" w:cs="Times New Roman" w:eastAsia="Times New Roman" w:hAnsi="Times New Roman"/>
          <w:sz w:val="12"/>
          <w:szCs w:val="12"/>
          <w:color w:val="auto"/>
        </w:rPr>
        <w:t>Under the acquisition method of accounting, the fair va lue of the consideration tran sferred was allocated to the tan gible and intangible assets acquired and the liabilities assumed based on their estimated fair va lues as of the acquisition date with the remaining unallocated amount recorded as goodwill. The allocation of the purchase price (translated into U.S. dollars as of the acquisition date) is as follo 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Fair va lue of consideration tran sferred in exchange for 100% ofNoa Home:</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Cash</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5,878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Fair va lue of contingent consideration payable</w:t>
            </w:r>
          </w:p>
        </w:tc>
        <w:tc>
          <w:tcPr>
            <w:tcW w:w="1040" w:type="dxa"/>
            <w:vAlign w:val="bottom"/>
            <w:tcBorders>
              <w:bottom w:val="single" w:sz="8" w:color="6C6868"/>
            </w:tcBorders>
          </w:tcPr>
          <w:p>
            <w:pPr>
              <w:jc w:val="right"/>
              <w:spacing w:after="0"/>
              <w:rPr>
                <w:sz w:val="20"/>
                <w:szCs w:val="20"/>
                <w:color w:val="auto"/>
              </w:rPr>
            </w:pPr>
            <w:r>
              <w:rPr>
                <w:rFonts w:ascii="Times New Roman" w:cs="Times New Roman" w:eastAsia="Times New Roman" w:hAnsi="Times New Roman"/>
                <w:sz w:val="12"/>
                <w:szCs w:val="12"/>
                <w:color w:val="auto"/>
              </w:rPr>
              <w:t>1,375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5320" w:type="dxa"/>
            <w:vAlign w:val="bottom"/>
          </w:tcPr>
          <w:p>
            <w:pPr>
              <w:ind w:left="240"/>
              <w:spacing w:after="0" w:line="134" w:lineRule="exact"/>
              <w:rPr>
                <w:sz w:val="20"/>
                <w:szCs w:val="20"/>
                <w:color w:val="auto"/>
              </w:rPr>
            </w:pPr>
            <w:r>
              <w:rPr>
                <w:rFonts w:ascii="Times New Roman" w:cs="Times New Roman" w:eastAsia="Times New Roman" w:hAnsi="Times New Roman"/>
                <w:sz w:val="12"/>
                <w:szCs w:val="12"/>
                <w:color w:val="auto"/>
              </w:rPr>
              <w:t>Total fair va lue of consideration paid or payable</w:t>
            </w:r>
          </w:p>
        </w:tc>
        <w:tc>
          <w:tcPr>
            <w:tcW w:w="20" w:type="dxa"/>
            <w:vAlign w:val="bottom"/>
            <w:tcBorders>
              <w:bottom w:val="single" w:sz="8" w:color="585458"/>
            </w:tcBorders>
          </w:tcPr>
          <w:p>
            <w:pPr>
              <w:spacing w:after="0"/>
              <w:rPr>
                <w:sz w:val="12"/>
                <w:szCs w:val="12"/>
                <w:color w:val="auto"/>
              </w:rPr>
            </w:pPr>
          </w:p>
        </w:tc>
        <w:tc>
          <w:tcPr>
            <w:tcW w:w="1040" w:type="dxa"/>
            <w:vAlign w:val="bottom"/>
            <w:tcBorders>
              <w:bottom w:val="single" w:sz="8" w:color="585458"/>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7,253</w:t>
            </w:r>
          </w:p>
        </w:tc>
        <w:tc>
          <w:tcPr>
            <w:tcW w:w="20" w:type="dxa"/>
            <w:vAlign w:val="bottom"/>
            <w:tcBorders>
              <w:bottom w:val="single" w:sz="8" w:color="585458"/>
            </w:tcBorders>
          </w:tcPr>
          <w:p>
            <w:pPr>
              <w:spacing w:after="0"/>
              <w:rPr>
                <w:sz w:val="12"/>
                <w:szCs w:val="12"/>
                <w:color w:val="auto"/>
              </w:rPr>
            </w:pPr>
          </w:p>
        </w:tc>
        <w:tc>
          <w:tcPr>
            <w:tcW w:w="20" w:type="dxa"/>
            <w:vAlign w:val="bottom"/>
          </w:tcPr>
          <w:p>
            <w:pPr>
              <w:spacing w:after="0"/>
              <w:rPr>
                <w:sz w:val="12"/>
                <w:szCs w:val="12"/>
                <w:color w:val="auto"/>
              </w:rPr>
            </w:pPr>
          </w:p>
        </w:tc>
      </w:tr>
      <w:tr>
        <w:trPr>
          <w:trHeight w:val="300"/>
        </w:trPr>
        <w:tc>
          <w:tcPr>
            <w:tcW w:w="5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Allocation of the fair va lue of consideration trans ferred:</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Identifiable assets acquired:</w:t>
            </w: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Cash</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Inventory</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Other current assets</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 xml:space="preserve">Property </w:t>
            </w:r>
            <w:r>
              <w:rPr>
                <w:rFonts w:ascii="Arial" w:cs="Arial" w:eastAsia="Arial" w:hAnsi="Arial"/>
                <w:sz w:val="11"/>
                <w:szCs w:val="11"/>
                <w:color w:val="auto"/>
              </w:rPr>
              <w:t>&amp;</w:t>
            </w:r>
            <w:r>
              <w:rPr>
                <w:rFonts w:ascii="Times New Roman" w:cs="Times New Roman" w:eastAsia="Times New Roman" w:hAnsi="Times New Roman"/>
                <w:sz w:val="12"/>
                <w:szCs w:val="12"/>
                <w:color w:val="auto"/>
              </w:rPr>
              <w:t xml:space="preserve"> equipment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Intan gible asset- trade name</w:t>
            </w:r>
          </w:p>
        </w:tc>
        <w:tc>
          <w:tcPr>
            <w:tcW w:w="104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1,929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Total identifiable assets acquired</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Liabilities assumed:</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(1,227)</w:t>
            </w:r>
          </w:p>
        </w:tc>
      </w:tr>
      <w:tr>
        <w:trPr>
          <w:trHeight w:val="149"/>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Customer deposits</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(1 ,059)</w:t>
            </w:r>
          </w:p>
        </w:tc>
      </w:tr>
      <w:tr>
        <w:trPr>
          <w:trHeight w:val="147"/>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Other current liabilities and accrued expenses</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(458)</w:t>
            </w:r>
          </w:p>
        </w:tc>
      </w:tr>
      <w:tr>
        <w:trPr>
          <w:trHeight w:val="20"/>
        </w:trPr>
        <w:tc>
          <w:tcPr>
            <w:tcW w:w="5340" w:type="dxa"/>
            <w:vAlign w:val="bottom"/>
            <w:gridSpan w:val="2"/>
          </w:tcPr>
          <w:p>
            <w:pPr>
              <w:spacing w:after="0" w:line="20" w:lineRule="exact"/>
              <w:rPr>
                <w:sz w:val="1"/>
                <w:szCs w:val="1"/>
                <w:color w:val="auto"/>
              </w:rPr>
            </w:pPr>
          </w:p>
        </w:tc>
        <w:tc>
          <w:tcPr>
            <w:tcW w:w="1040" w:type="dxa"/>
            <w:vAlign w:val="bottom"/>
            <w:shd w:val="clear" w:color="auto" w:fill="6C686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38"/>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Total liabilities assumed</w:t>
            </w:r>
          </w:p>
        </w:tc>
        <w:tc>
          <w:tcPr>
            <w:tcW w:w="108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2"/>
                <w:szCs w:val="12"/>
                <w:color w:val="auto"/>
              </w:rPr>
              <w:t>(2,744)</w:t>
            </w:r>
          </w:p>
        </w:tc>
      </w:tr>
      <w:tr>
        <w:trPr>
          <w:trHeight w:val="140"/>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Net id entifiable assets acquired</w:t>
            </w:r>
          </w:p>
        </w:tc>
        <w:tc>
          <w:tcPr>
            <w:tcW w:w="1040" w:type="dxa"/>
            <w:vAlign w:val="bottom"/>
            <w:tcBorders>
              <w:top w:val="single" w:sz="8" w:color="6C6868"/>
            </w:tcBorders>
          </w:tcPr>
          <w:p>
            <w:pPr>
              <w:jc w:val="right"/>
              <w:spacing w:after="0"/>
              <w:rPr>
                <w:sz w:val="20"/>
                <w:szCs w:val="20"/>
                <w:color w:val="auto"/>
              </w:rPr>
            </w:pPr>
            <w:r>
              <w:rPr>
                <w:rFonts w:ascii="Times New Roman" w:cs="Times New Roman" w:eastAsia="Times New Roman" w:hAnsi="Times New Roman"/>
                <w:sz w:val="12"/>
                <w:szCs w:val="12"/>
                <w:color w:val="auto"/>
              </w:rPr>
              <w:t>1,538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Goodwill</w:t>
            </w:r>
          </w:p>
        </w:tc>
        <w:tc>
          <w:tcPr>
            <w:tcW w:w="104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5,715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53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Total net assets acquired</w:t>
            </w:r>
          </w:p>
        </w:tc>
        <w:tc>
          <w:tcPr>
            <w:tcW w:w="20" w:type="dxa"/>
            <w:vAlign w:val="bottom"/>
            <w:tcBorders>
              <w:bottom w:val="single" w:sz="8" w:color="201C20"/>
            </w:tcBorders>
          </w:tcPr>
          <w:p>
            <w:pPr>
              <w:spacing w:after="0"/>
              <w:rPr>
                <w:sz w:val="12"/>
                <w:szCs w:val="12"/>
                <w:color w:val="auto"/>
              </w:rPr>
            </w:pPr>
          </w:p>
        </w:tc>
        <w:tc>
          <w:tcPr>
            <w:tcW w:w="104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12"/>
                <w:szCs w:val="12"/>
                <w:color w:val="auto"/>
              </w:rPr>
              <w:t>7,253</w:t>
            </w:r>
          </w:p>
        </w:tc>
        <w:tc>
          <w:tcPr>
            <w:tcW w:w="20" w:type="dxa"/>
            <w:vAlign w:val="bottom"/>
            <w:tcBorders>
              <w:bottom w:val="single" w:sz="8" w:color="201C20"/>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174" w:lineRule="exact"/>
        <w:rPr>
          <w:sz w:val="20"/>
          <w:szCs w:val="20"/>
          <w:color w:val="auto"/>
        </w:rPr>
      </w:pPr>
    </w:p>
    <w:p>
      <w:pPr>
        <w:jc w:val="both"/>
        <w:ind w:right="760"/>
        <w:spacing w:after="0" w:line="258" w:lineRule="auto"/>
        <w:rPr>
          <w:sz w:val="20"/>
          <w:szCs w:val="20"/>
          <w:color w:val="auto"/>
        </w:rPr>
      </w:pPr>
      <w:r>
        <w:rPr>
          <w:rFonts w:ascii="Times New Roman" w:cs="Times New Roman" w:eastAsia="Times New Roman" w:hAnsi="Times New Roman"/>
          <w:sz w:val="12"/>
          <w:szCs w:val="12"/>
          <w:color w:val="auto"/>
        </w:rPr>
        <w:t>Goodwill was determined based on the residual difference between th e fair value of the consideration transferred and th e value assigned to the tangible and intangible assets and liabilities recogni zed in connection with th e acquisition and is deductibl e for US tax purposes. Among th e factors that contributed to a purchase price resulting in the recognition of goodwill were the expected sy nergies arising from combining the Company's manufacturin g and di stribution capabilities with Noa Hom e's position in the international e-commerce mark et for hom e furni shings and accessories. As part of our annual test for impairment of goodwill as of the beginning of the fourth quarter offiscal2023, all of the goodwill recogni zed at acquisition was fully impaired. See Note 8 for additional information regarding th e impairment.</w:t>
      </w:r>
    </w:p>
    <w:p>
      <w:pPr>
        <w:spacing w:after="0" w:line="152" w:lineRule="exact"/>
        <w:rPr>
          <w:sz w:val="20"/>
          <w:szCs w:val="20"/>
          <w:color w:val="auto"/>
        </w:rPr>
      </w:pPr>
    </w:p>
    <w:p>
      <w:pPr>
        <w:jc w:val="both"/>
        <w:ind w:right="760" w:firstLine="9"/>
        <w:spacing w:after="0" w:line="258" w:lineRule="auto"/>
        <w:tabs>
          <w:tab w:leader="none" w:pos="126"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portion of th e fair value of the consideration tran sferred in th e amount of$1 ,929 was assigned to th e id entifiabl e intan gibl e asset associated with th e Noa Hom e trade nam e. At th e tim e of acquisition, thi s intangible asset was considered to have an ind efinite life and th erefore was not amortized but was tested for impairment annually or between annual tests if an indicator of impairment ex isted. During th e second quarter of fi scal 2024 we concluded that t-loa Home was not likely to achieve profitability in the foreseeable future and decided to cease operations by selling th e remainin g inventory in an orderly fashion through the end of fi scal 2024. Th erefore, at th e end of the second quarter of fiscal 2024 we full y impaired th e trad e name intangible asset, which at the tim e of the impairment had a carrying value of $1,827 refl ecting currency translation adjustments through th e date of the impairment.</w:t>
      </w:r>
    </w:p>
    <w:p>
      <w:pPr>
        <w:spacing w:after="0" w:line="152" w:lineRule="exact"/>
        <w:rPr>
          <w:sz w:val="20"/>
          <w:szCs w:val="20"/>
          <w:color w:val="auto"/>
        </w:rPr>
      </w:pPr>
    </w:p>
    <w:p>
      <w:pPr>
        <w:ind w:left="20" w:right="780" w:hanging="4"/>
        <w:spacing w:after="0" w:line="254" w:lineRule="auto"/>
        <w:rPr>
          <w:sz w:val="20"/>
          <w:szCs w:val="20"/>
          <w:color w:val="auto"/>
        </w:rPr>
      </w:pPr>
      <w:r>
        <w:rPr>
          <w:rFonts w:ascii="Times New Roman" w:cs="Times New Roman" w:eastAsia="Times New Roman" w:hAnsi="Times New Roman"/>
          <w:sz w:val="12"/>
          <w:szCs w:val="12"/>
          <w:color w:val="auto"/>
        </w:rPr>
        <w:t xml:space="preserve">The fair values of consideration transferred and net assets acquired were determined using a combination of Level 2 and Level3 inputs as spec ified in the fair value hierarchy in ASC 820, </w:t>
      </w:r>
      <w:r>
        <w:rPr>
          <w:rFonts w:ascii="Times New Roman" w:cs="Times New Roman" w:eastAsia="Times New Roman" w:hAnsi="Times New Roman"/>
          <w:sz w:val="12"/>
          <w:szCs w:val="12"/>
          <w:i w:val="1"/>
          <w:iCs w:val="1"/>
          <w:color w:val="auto"/>
        </w:rPr>
        <w:t>Fair Value Measurements and Disclosures.</w:t>
      </w:r>
      <w:r>
        <w:rPr>
          <w:rFonts w:ascii="Times New Roman" w:cs="Times New Roman" w:eastAsia="Times New Roman" w:hAnsi="Times New Roman"/>
          <w:sz w:val="12"/>
          <w:szCs w:val="12"/>
          <w:color w:val="auto"/>
        </w:rPr>
        <w:t xml:space="preserve"> See Note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 sands, except share and per share data)</w:t>
      </w:r>
    </w:p>
    <w:p>
      <w:pPr>
        <w:spacing w:after="0" w:line="162" w:lineRule="exact"/>
        <w:rPr>
          <w:sz w:val="20"/>
          <w:szCs w:val="20"/>
          <w:color w:val="auto"/>
        </w:rPr>
      </w:pPr>
    </w:p>
    <w:p>
      <w:pPr>
        <w:jc w:val="both"/>
        <w:ind w:right="20" w:firstLine="4"/>
        <w:spacing w:after="0" w:line="257" w:lineRule="auto"/>
        <w:rPr>
          <w:sz w:val="20"/>
          <w:szCs w:val="20"/>
          <w:color w:val="auto"/>
        </w:rPr>
      </w:pPr>
      <w:r>
        <w:rPr>
          <w:rFonts w:ascii="Times New Roman" w:cs="Times New Roman" w:eastAsia="Times New Roman" w:hAnsi="Times New Roman"/>
          <w:sz w:val="12"/>
          <w:szCs w:val="12"/>
          <w:color w:val="auto"/>
        </w:rPr>
        <w:t>Subsequent to the acquisition date, the parties concluded that the targets originally set forth by which the Noa Home co-founders were to earn the contingent consideration would likel y not be met within the initially anticipated time frame. Therefore, we have agreed to replace the contingent consideration wi th two fixed payments ofC$200 each, the first of which was paid in June of 2023 with the second paid in December of 2024 . As a result of the write-down of the contingent consideration payable that was recogni zed at the acquisition date, we recorded a gain of$1,013 durin g fi scal2023.</w:t>
      </w:r>
    </w:p>
    <w:p>
      <w:pPr>
        <w:spacing w:after="0" w:line="1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2"/>
          <w:szCs w:val="12"/>
          <w:color w:val="auto"/>
        </w:rPr>
        <w:t>The pro forma impact of the acquisition has not been presented because it was not material to our consolidated results of operations for the fi scal year ended November 26, 2022,</w:t>
      </w:r>
    </w:p>
    <w:p>
      <w:pPr>
        <w:spacing w:after="0" w:line="300" w:lineRule="exact"/>
        <w:rPr>
          <w:sz w:val="20"/>
          <w:szCs w:val="20"/>
          <w:color w:val="auto"/>
        </w:rPr>
      </w:pPr>
    </w:p>
    <w:p>
      <w:pPr>
        <w:ind w:left="240" w:hanging="232"/>
        <w:spacing w:after="0"/>
        <w:tabs>
          <w:tab w:leader="none" w:pos="2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Financial Instruments, Investments and Fair Value Measurements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Financial Instruments</w:t>
      </w:r>
    </w:p>
    <w:p>
      <w:pPr>
        <w:spacing w:after="0" w:line="16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2"/>
          <w:szCs w:val="12"/>
          <w:color w:val="auto"/>
        </w:rPr>
        <w:t>Our financial</w:t>
      </w:r>
      <w:r>
        <w:rPr>
          <w:sz w:val="20"/>
          <w:szCs w:val="20"/>
          <w:color w:val="auto"/>
        </w:rPr>
        <w:t xml:space="preserve"> </w:t>
      </w:r>
      <w:r>
        <w:rPr>
          <w:rFonts w:ascii="Times New Roman" w:cs="Times New Roman" w:eastAsia="Times New Roman" w:hAnsi="Times New Roman"/>
          <w:sz w:val="12"/>
          <w:szCs w:val="12"/>
          <w:color w:val="auto"/>
        </w:rPr>
        <w:t>instrum ents include cash and cash equivalents, short-term investments in certificates of deposit, accounts recei vable, and accounts payable. Because of their short maturities, the carrying amounts of cash and cash equivalents, short-term in vestments in certificates of deposit, accounts recei vable, and accounts payable approximate fair va lue.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Investments</w:t>
      </w:r>
    </w:p>
    <w:p>
      <w:pPr>
        <w:spacing w:after="0" w:line="16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2"/>
          <w:szCs w:val="12"/>
          <w:color w:val="auto"/>
        </w:rPr>
        <w:t>Our short-term investm ents of$20,360 and $17,775 at November 30, 2024 and November 25, 2023 consisted of certificates of deposit (COs) wi th original terms of six to twel ve months, bearing interest at rates ranging from 0.7% to 5.28%. At November 30, 2024, the we ighted average remainin g time to maturity of the COs was approximately three month s and the weighted average yield of th e CDs was approximately 4.3%. Except as noted below, each CD is placed with a federally insured financial institution and all deposits are within Federal deposit insurance limits. As the COs mature, we expect to reinvest them in COs of similar maturities of up to one year. Due to th e nature of these investm ents and their relati vely short maturiti es, th e carrying amount of th e short-term investmen ts at November 30, 2024 and November 25, 2023 approximates their fair va lue.</w:t>
      </w:r>
    </w:p>
    <w:p>
      <w:pPr>
        <w:spacing w:after="0" w:line="296" w:lineRule="exact"/>
        <w:rPr>
          <w:sz w:val="20"/>
          <w:szCs w:val="20"/>
          <w:color w:val="auto"/>
        </w:rPr>
      </w:pPr>
    </w:p>
    <w:p>
      <w:pPr>
        <w:jc w:val="both"/>
        <w:ind w:right="20" w:firstLine="1"/>
        <w:spacing w:after="0" w:line="259" w:lineRule="auto"/>
        <w:rPr>
          <w:sz w:val="20"/>
          <w:szCs w:val="20"/>
          <w:color w:val="auto"/>
        </w:rPr>
      </w:pPr>
      <w:r>
        <w:rPr>
          <w:rFonts w:ascii="Times New Roman" w:cs="Times New Roman" w:eastAsia="Times New Roman" w:hAnsi="Times New Roman"/>
          <w:sz w:val="12"/>
          <w:szCs w:val="12"/>
          <w:color w:val="auto"/>
        </w:rPr>
        <w:t>Our in vestment in CDs at November 30, 2024 includes one CD in the amount of $2,500 which was placed with a financial institution that provid es merchant services for our retail segment. This CD has been pledged as security for th e merchant services agreement. The CD has a six-month term, an interest rate of 2.0% and th e requirement to maintain the pledge will be reassessed prior to th e end of fiscal 2025, therefore th e CD is classified as a current asset with our other CDs. This CD is in excess of the $250 Federal deposit insurance limit.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Fair Value Measuremeut</w:t>
      </w:r>
    </w:p>
    <w:p>
      <w:pPr>
        <w:spacing w:after="0" w:line="162" w:lineRule="exact"/>
        <w:rPr>
          <w:sz w:val="20"/>
          <w:szCs w:val="20"/>
          <w:color w:val="auto"/>
        </w:rPr>
      </w:pPr>
    </w:p>
    <w:p>
      <w:pPr>
        <w:jc w:val="both"/>
        <w:ind w:right="20" w:firstLine="3"/>
        <w:spacing w:after="0" w:line="257" w:lineRule="auto"/>
        <w:rPr>
          <w:sz w:val="20"/>
          <w:szCs w:val="20"/>
          <w:color w:val="auto"/>
        </w:rPr>
      </w:pPr>
      <w:r>
        <w:rPr>
          <w:rFonts w:ascii="Times New Roman" w:cs="Times New Roman" w:eastAsia="Times New Roman" w:hAnsi="Times New Roman"/>
          <w:sz w:val="12"/>
          <w:szCs w:val="12"/>
          <w:color w:val="auto"/>
        </w:rPr>
        <w:t xml:space="preserve">The Company accounts for items measured at fair va lue in accordance with ASC Topic 820, </w:t>
      </w:r>
      <w:r>
        <w:rPr>
          <w:rFonts w:ascii="Times New Roman" w:cs="Times New Roman" w:eastAsia="Times New Roman" w:hAnsi="Times New Roman"/>
          <w:sz w:val="12"/>
          <w:szCs w:val="12"/>
          <w:i w:val="1"/>
          <w:iCs w:val="1"/>
          <w:color w:val="auto"/>
        </w:rPr>
        <w:t>Fair Value Measurements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Disclosures. </w:t>
      </w:r>
      <w:r>
        <w:rPr>
          <w:rFonts w:ascii="Times New Roman" w:cs="Times New Roman" w:eastAsia="Times New Roman" w:hAnsi="Times New Roman"/>
          <w:sz w:val="12"/>
          <w:szCs w:val="12"/>
          <w:color w:val="auto"/>
        </w:rPr>
        <w:t>ASC 820's valuation techniques are based on observable and unobservabl e inputs. Observable inpu ts reflect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read ily obtainable data from ind ependent sources, while unobservable inputs refl ect our market assumptions. ASC 820 classifies these inputs into the following hi erarchy: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 xml:space="preserve">Level I Inputs- </w:t>
      </w:r>
      <w:r>
        <w:rPr>
          <w:rFonts w:ascii="Times New Roman" w:cs="Times New Roman" w:eastAsia="Times New Roman" w:hAnsi="Times New Roman"/>
          <w:sz w:val="12"/>
          <w:szCs w:val="12"/>
          <w:color w:val="auto"/>
        </w:rPr>
        <w:t>Quoted prices for id entical instruments in active markets.</w:t>
      </w:r>
    </w:p>
    <w:p>
      <w:pPr>
        <w:spacing w:after="0" w:line="161" w:lineRule="exact"/>
        <w:rPr>
          <w:sz w:val="20"/>
          <w:szCs w:val="20"/>
          <w:color w:val="auto"/>
        </w:rPr>
      </w:pPr>
    </w:p>
    <w:p>
      <w:pPr>
        <w:jc w:val="both"/>
        <w:ind w:right="20" w:hanging="1"/>
        <w:spacing w:after="0" w:line="242" w:lineRule="auto"/>
        <w:rPr>
          <w:sz w:val="20"/>
          <w:szCs w:val="20"/>
          <w:color w:val="auto"/>
        </w:rPr>
      </w:pPr>
      <w:r>
        <w:rPr>
          <w:rFonts w:ascii="Times New Roman" w:cs="Times New Roman" w:eastAsia="Times New Roman" w:hAnsi="Times New Roman"/>
          <w:sz w:val="13"/>
          <w:szCs w:val="13"/>
          <w:i w:val="1"/>
          <w:iCs w:val="1"/>
          <w:color w:val="auto"/>
        </w:rPr>
        <w:t xml:space="preserve">Level 2 Inputs- </w:t>
      </w:r>
      <w:r>
        <w:rPr>
          <w:rFonts w:ascii="Times New Roman" w:cs="Times New Roman" w:eastAsia="Times New Roman" w:hAnsi="Times New Roman"/>
          <w:sz w:val="12"/>
          <w:szCs w:val="12"/>
          <w:color w:val="auto"/>
        </w:rPr>
        <w:t>Quoted prices for similar instruments in active markets; quoted prices for identical or similar instrum ents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2"/>
          <w:szCs w:val="12"/>
          <w:color w:val="auto"/>
        </w:rPr>
        <w:t>mark ets that are not active; and model-d erived valuations whose inputs are observable or whose significant va lu e drivers are observable.</w:t>
      </w: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 xml:space="preserve">Level 3 </w:t>
      </w:r>
      <w:r>
        <w:rPr>
          <w:rFonts w:ascii="Times New Roman" w:cs="Times New Roman" w:eastAsia="Times New Roman" w:hAnsi="Times New Roman"/>
          <w:sz w:val="12"/>
          <w:szCs w:val="12"/>
          <w:color w:val="auto"/>
        </w:rPr>
        <w:t>Inputs-  Instruments with primarily unobservable value drivers.</w:t>
      </w:r>
    </w:p>
    <w:p>
      <w:pPr>
        <w:spacing w:after="0" w:line="162" w:lineRule="exact"/>
        <w:rPr>
          <w:sz w:val="20"/>
          <w:szCs w:val="20"/>
          <w:color w:val="auto"/>
        </w:rPr>
      </w:pPr>
    </w:p>
    <w:p>
      <w:pPr>
        <w:jc w:val="both"/>
        <w:ind w:right="20" w:firstLine="6"/>
        <w:spacing w:after="0" w:line="257" w:lineRule="auto"/>
        <w:rPr>
          <w:sz w:val="20"/>
          <w:szCs w:val="20"/>
          <w:color w:val="auto"/>
        </w:rPr>
      </w:pPr>
      <w:r>
        <w:rPr>
          <w:rFonts w:ascii="Times New Roman" w:cs="Times New Roman" w:eastAsia="Times New Roman" w:hAnsi="Times New Roman"/>
          <w:sz w:val="12"/>
          <w:szCs w:val="12"/>
          <w:color w:val="auto"/>
        </w:rPr>
        <w:t>We believe that the carrying amounts of our current assets and current liabilities approximate fair value du e to th e short-term nature of th ese items. Our primary non-recurring fair va lue estimates typically invol ve th e following : business acquisitions (Note 3) which in vo lve a combination of Leve l 2 and Level 3 inputs to determin e th e fair value of contingent consideration and net assets acquired , including identified intangible assets; goodwill impairment testing (Note 8), which involves Level 3 inputs; and asset impairments (Note 14) which utili ze Level3 inputs.</w:t>
      </w:r>
    </w:p>
    <w:p>
      <w:pPr>
        <w:spacing w:after="0" w:line="454" w:lineRule="exact"/>
        <w:rPr>
          <w:sz w:val="20"/>
          <w:szCs w:val="20"/>
          <w:color w:val="auto"/>
        </w:rPr>
      </w:pPr>
    </w:p>
    <w:p>
      <w:pPr>
        <w:sectPr>
          <w:pgSz w:w="15840" w:h="12240" w:orient="landscape"/>
          <w:cols w:equalWidth="0" w:num="2">
            <w:col w:w="7200" w:space="720"/>
            <w:col w:w="6460"/>
          </w:cols>
          <w:pgMar w:left="740" w:top="1440" w:right="720" w:bottom="897" w:gutter="0" w:footer="0" w:header="0"/>
        </w:sectPr>
      </w:pPr>
    </w:p>
    <w:p>
      <w:pPr>
        <w:spacing w:after="0" w:line="86"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29</w:t>
      </w:r>
      <w:r>
        <w:rPr>
          <w:sz w:val="20"/>
          <w:szCs w:val="20"/>
          <w:color w:val="auto"/>
        </w:rPr>
        <w:tab/>
      </w:r>
      <w:r>
        <w:rPr>
          <w:rFonts w:ascii="Times New Roman" w:cs="Times New Roman" w:eastAsia="Times New Roman" w:hAnsi="Times New Roman"/>
          <w:sz w:val="12"/>
          <w:szCs w:val="12"/>
          <w:color w:val="auto"/>
        </w:rPr>
        <w:t>30</w:t>
      </w:r>
    </w:p>
    <w:p>
      <w:pPr>
        <w:sectPr>
          <w:pgSz w:w="15840" w:h="12240" w:orient="landscape"/>
          <w:cols w:equalWidth="0" w:num="1">
            <w:col w:w="14380"/>
          </w:cols>
          <w:pgMar w:left="740" w:top="1440" w:right="720" w:bottom="897" w:gutter="0" w:footer="0" w:header="0"/>
          <w:type w:val="continuous"/>
        </w:sectPr>
      </w:pPr>
    </w:p>
    <w:bookmarkStart w:id="19" w:name="page20"/>
    <w:bookmarkEnd w:id="19"/>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thousands, except share and per share data)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 Accounts Receivable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Accounts receivable consist of the following:</w:t>
      </w:r>
    </w:p>
    <w:p>
      <w:pPr>
        <w:spacing w:after="0" w:line="148" w:lineRule="exact"/>
        <w:rPr>
          <w:sz w:val="20"/>
          <w:szCs w:val="20"/>
          <w:color w:val="auto"/>
        </w:rPr>
      </w:pPr>
    </w:p>
    <w:p>
      <w:pPr>
        <w:jc w:val="right"/>
        <w:ind w:right="1720"/>
        <w:spacing w:after="0"/>
        <w:tabs>
          <w:tab w:leader="none" w:pos="2460" w:val="left"/>
        </w:tabs>
        <w:rPr>
          <w:sz w:val="20"/>
          <w:szCs w:val="20"/>
          <w:color w:val="auto"/>
        </w:rPr>
      </w:pPr>
      <w:r>
        <w:rPr>
          <w:rFonts w:ascii="Times New Roman" w:cs="Times New Roman" w:eastAsia="Times New Roman" w:hAnsi="Times New Roman"/>
          <w:sz w:val="13"/>
          <w:szCs w:val="13"/>
          <w:b w:val="1"/>
          <w:bCs w:val="1"/>
          <w:color w:val="auto"/>
        </w:rPr>
        <w:t>November 30,</w:t>
      </w:r>
      <w:r>
        <w:rPr>
          <w:sz w:val="20"/>
          <w:szCs w:val="20"/>
          <w:color w:val="auto"/>
        </w:rPr>
        <w:tab/>
      </w:r>
      <w:r>
        <w:rPr>
          <w:rFonts w:ascii="Times New Roman" w:cs="Times New Roman" w:eastAsia="Times New Roman" w:hAnsi="Times New Roman"/>
          <w:sz w:val="12"/>
          <w:szCs w:val="12"/>
          <w:b w:val="1"/>
          <w:bCs w:val="1"/>
          <w:color w:val="auto"/>
        </w:rPr>
        <w:t>November 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-5498465</wp:posOffset>
            </wp:positionH>
            <wp:positionV relativeFrom="paragraph">
              <wp:posOffset>-1018540</wp:posOffset>
            </wp:positionV>
            <wp:extent cx="10058400" cy="7772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(In thou sands, except share and per share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Activity in the reserves for excess quantities and obsolete inventory by segment are as follows:</w:t>
      </w: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1720" w:type="dxa"/>
            <w:vAlign w:val="bottom"/>
          </w:tcPr>
          <w:p>
            <w:pPr>
              <w:spacing w:after="0"/>
              <w:rPr>
                <w:sz w:val="12"/>
                <w:szCs w:val="12"/>
                <w:color w:val="auto"/>
              </w:rPr>
            </w:pPr>
          </w:p>
        </w:tc>
        <w:tc>
          <w:tcPr>
            <w:tcW w:w="296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 xml:space="preserve">Wholesale SegmentRetail Segment   </w:t>
            </w:r>
            <w:r>
              <w:rPr>
                <w:rFonts w:ascii="Arial" w:cs="Arial" w:eastAsia="Arial" w:hAnsi="Arial"/>
                <w:sz w:val="9"/>
                <w:szCs w:val="9"/>
                <w:color w:val="auto"/>
              </w:rPr>
              <w:t>~</w:t>
            </w:r>
          </w:p>
        </w:tc>
        <w:tc>
          <w:tcPr>
            <w:tcW w:w="300" w:type="dxa"/>
            <w:vAlign w:val="bottom"/>
          </w:tcPr>
          <w:p>
            <w:pPr>
              <w:spacing w:after="0"/>
              <w:rPr>
                <w:sz w:val="12"/>
                <w:szCs w:val="12"/>
                <w:color w:val="auto"/>
              </w:rPr>
            </w:pPr>
          </w:p>
        </w:tc>
      </w:tr>
      <w:tr>
        <w:trPr>
          <w:trHeight w:val="159"/>
        </w:trPr>
        <w:tc>
          <w:tcPr>
            <w:tcW w:w="1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November 26, 2022</w:t>
            </w:r>
          </w:p>
        </w:tc>
        <w:tc>
          <w:tcPr>
            <w:tcW w:w="520" w:type="dxa"/>
            <w:vAlign w:val="bottom"/>
          </w:tcPr>
          <w:p>
            <w:pPr>
              <w:jc w:val="right"/>
              <w:ind w:right="354"/>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4, 103</w:t>
            </w:r>
          </w:p>
        </w:tc>
        <w:tc>
          <w:tcPr>
            <w:tcW w:w="40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1,064</w:t>
            </w:r>
          </w:p>
        </w:tc>
        <w:tc>
          <w:tcPr>
            <w:tcW w:w="660" w:type="dxa"/>
            <w:vAlign w:val="bottom"/>
          </w:tcPr>
          <w:p>
            <w:pPr>
              <w:jc w:val="right"/>
              <w:ind w:right="498"/>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5,167</w:t>
            </w:r>
          </w:p>
        </w:tc>
      </w:tr>
      <w:tr>
        <w:trPr>
          <w:trHeight w:val="149"/>
        </w:trPr>
        <w:tc>
          <w:tcPr>
            <w:tcW w:w="1720" w:type="dxa"/>
            <w:vAlign w:val="bottom"/>
          </w:tcPr>
          <w:p>
            <w:pPr>
              <w:spacing w:after="0"/>
              <w:rPr>
                <w:sz w:val="20"/>
                <w:szCs w:val="20"/>
                <w:color w:val="auto"/>
              </w:rPr>
            </w:pPr>
            <w:r>
              <w:rPr>
                <w:rFonts w:ascii="Times New Roman" w:cs="Times New Roman" w:eastAsia="Times New Roman" w:hAnsi="Times New Roman"/>
                <w:sz w:val="12"/>
                <w:szCs w:val="12"/>
                <w:color w:val="auto"/>
              </w:rPr>
              <w:t>Additions charged to expense</w:t>
            </w:r>
          </w:p>
        </w:tc>
        <w:tc>
          <w:tcPr>
            <w:tcW w:w="5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3,876</w:t>
            </w:r>
          </w:p>
        </w:tc>
        <w:tc>
          <w:tcPr>
            <w:tcW w:w="4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w:t>
            </w:r>
          </w:p>
        </w:tc>
        <w:tc>
          <w:tcPr>
            <w:tcW w:w="6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4,626</w:t>
            </w:r>
          </w:p>
        </w:tc>
      </w:tr>
    </w:tbl>
    <w:p>
      <w:pPr>
        <w:spacing w:after="0" w:line="1" w:lineRule="exact"/>
        <w:rPr>
          <w:sz w:val="20"/>
          <w:szCs w:val="20"/>
          <w:color w:val="auto"/>
        </w:rPr>
      </w:pPr>
    </w:p>
    <w:p>
      <w:pPr>
        <w:sectPr>
          <w:pgSz w:w="15840" w:h="12240" w:orient="landscape"/>
          <w:cols w:equalWidth="0" w:num="2">
            <w:col w:w="7200" w:space="720"/>
            <w:col w:w="6420"/>
          </w:cols>
          <w:pgMar w:left="740" w:top="1440" w:right="760" w:bottom="897" w:gutter="0" w:footer="0" w:header="0"/>
        </w:sectPr>
      </w:pPr>
    </w:p>
    <w:p>
      <w:pPr>
        <w:spacing w:after="0" w:line="15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2"/>
          <w:szCs w:val="12"/>
          <w:color w:val="auto"/>
        </w:rPr>
        <w:t>Gross accounts recei vable</w:t>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2"/>
          <w:szCs w:val="12"/>
          <w:color w:val="auto"/>
        </w:rPr>
        <w:t>Allowance for credit losses</w:t>
      </w:r>
    </w:p>
    <w:p>
      <w:pPr>
        <w:spacing w:after="0" w:line="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2"/>
          <w:szCs w:val="12"/>
          <w:color w:val="auto"/>
        </w:rPr>
        <w:t>Net accounts recei vable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Activity in the allowance for credit losses was as follo ws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800" w:type="dxa"/>
            <w:vAlign w:val="bottom"/>
            <w:tcBorders>
              <w:bottom w:val="single" w:sz="8" w:color="585454"/>
            </w:tcBorders>
          </w:tcPr>
          <w:p>
            <w:pPr>
              <w:jc w:val="right"/>
              <w:ind w:right="218"/>
              <w:spacing w:after="0"/>
              <w:rPr>
                <w:sz w:val="20"/>
                <w:szCs w:val="20"/>
                <w:color w:val="auto"/>
              </w:rPr>
            </w:pPr>
            <w:r>
              <w:rPr>
                <w:rFonts w:ascii="Times New Roman" w:cs="Times New Roman" w:eastAsia="Times New Roman" w:hAnsi="Times New Roman"/>
                <w:sz w:val="12"/>
                <w:szCs w:val="12"/>
                <w:color w:val="auto"/>
              </w:rPr>
              <w:t>2024</w:t>
            </w:r>
          </w:p>
        </w:tc>
        <w:tc>
          <w:tcPr>
            <w:tcW w:w="80" w:type="dxa"/>
            <w:vAlign w:val="bottom"/>
          </w:tcPr>
          <w:p>
            <w:pPr>
              <w:spacing w:after="0"/>
              <w:rPr>
                <w:sz w:val="11"/>
                <w:szCs w:val="11"/>
                <w:color w:val="auto"/>
              </w:rPr>
            </w:pPr>
          </w:p>
        </w:tc>
        <w:tc>
          <w:tcPr>
            <w:tcW w:w="160" w:type="dxa"/>
            <w:vAlign w:val="bottom"/>
            <w:tcBorders>
              <w:bottom w:val="single" w:sz="8" w:color="585454"/>
            </w:tcBorders>
          </w:tcPr>
          <w:p>
            <w:pPr>
              <w:spacing w:after="0"/>
              <w:rPr>
                <w:sz w:val="11"/>
                <w:szCs w:val="11"/>
                <w:color w:val="auto"/>
              </w:rPr>
            </w:pPr>
          </w:p>
        </w:tc>
        <w:tc>
          <w:tcPr>
            <w:tcW w:w="640" w:type="dxa"/>
            <w:vAlign w:val="bottom"/>
            <w:tcBorders>
              <w:bottom w:val="single" w:sz="8" w:color="585454"/>
            </w:tcBorders>
          </w:tcPr>
          <w:p>
            <w:pPr>
              <w:jc w:val="right"/>
              <w:ind w:right="218"/>
              <w:spacing w:after="0"/>
              <w:rPr>
                <w:sz w:val="20"/>
                <w:szCs w:val="20"/>
                <w:color w:val="auto"/>
              </w:rPr>
            </w:pPr>
            <w:r>
              <w:rPr>
                <w:rFonts w:ascii="Times New Roman" w:cs="Times New Roman" w:eastAsia="Times New Roman" w:hAnsi="Times New Roman"/>
                <w:sz w:val="12"/>
                <w:szCs w:val="12"/>
                <w:color w:val="auto"/>
              </w:rPr>
              <w:t>2023</w:t>
            </w:r>
          </w:p>
        </w:tc>
        <w:tc>
          <w:tcPr>
            <w:tcW w:w="40" w:type="dxa"/>
            <w:vAlign w:val="bottom"/>
          </w:tcPr>
          <w:p>
            <w:pPr>
              <w:spacing w:after="0"/>
              <w:rPr>
                <w:sz w:val="11"/>
                <w:szCs w:val="11"/>
                <w:color w:val="auto"/>
              </w:rPr>
            </w:pPr>
          </w:p>
        </w:tc>
      </w:tr>
      <w:tr>
        <w:trPr>
          <w:trHeight w:val="140"/>
        </w:trPr>
        <w:tc>
          <w:tcPr>
            <w:tcW w:w="82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w w:val="96"/>
              </w:rPr>
              <w:t>14,278</w:t>
            </w:r>
          </w:p>
        </w:tc>
        <w:tc>
          <w:tcPr>
            <w:tcW w:w="80" w:type="dxa"/>
            <w:vAlign w:val="bottom"/>
          </w:tcPr>
          <w:p>
            <w:pPr>
              <w:spacing w:after="0"/>
              <w:rPr>
                <w:sz w:val="12"/>
                <w:szCs w:val="12"/>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2"/>
                <w:szCs w:val="12"/>
                <w:color w:val="auto"/>
                <w:w w:val="96"/>
              </w:rPr>
              <w:t>14,271</w:t>
            </w:r>
          </w:p>
        </w:tc>
        <w:tc>
          <w:tcPr>
            <w:tcW w:w="40" w:type="dxa"/>
            <w:vAlign w:val="bottom"/>
          </w:tcPr>
          <w:p>
            <w:pPr>
              <w:spacing w:after="0"/>
              <w:rPr>
                <w:sz w:val="12"/>
                <w:szCs w:val="12"/>
                <w:color w:val="auto"/>
              </w:rPr>
            </w:pPr>
          </w:p>
        </w:tc>
      </w:tr>
      <w:tr>
        <w:trPr>
          <w:trHeight w:val="171"/>
        </w:trPr>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w w:val="89"/>
              </w:rPr>
              <w:t>::-----'("'1'"-:09,_,7)</w:t>
            </w:r>
          </w:p>
        </w:tc>
        <w:tc>
          <w:tcPr>
            <w:tcW w:w="1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(53 5)</w:t>
            </w:r>
          </w:p>
        </w:tc>
      </w:tr>
      <w:tr>
        <w:trPr>
          <w:trHeight w:val="137"/>
        </w:trPr>
        <w:tc>
          <w:tcPr>
            <w:tcW w:w="820" w:type="dxa"/>
            <w:vAlign w:val="bottom"/>
            <w:gridSpan w:val="2"/>
          </w:tcPr>
          <w:p>
            <w:pPr>
              <w:ind w:left="480"/>
              <w:spacing w:after="0" w:line="137" w:lineRule="exact"/>
              <w:rPr>
                <w:sz w:val="20"/>
                <w:szCs w:val="20"/>
                <w:color w:val="auto"/>
              </w:rPr>
            </w:pPr>
            <w:r>
              <w:rPr>
                <w:rFonts w:ascii="Times New Roman" w:cs="Times New Roman" w:eastAsia="Times New Roman" w:hAnsi="Times New Roman"/>
                <w:sz w:val="12"/>
                <w:szCs w:val="12"/>
                <w:color w:val="auto"/>
                <w:w w:val="88"/>
              </w:rPr>
              <w:t>13, 181</w:t>
            </w:r>
          </w:p>
        </w:tc>
        <w:tc>
          <w:tcPr>
            <w:tcW w:w="80" w:type="dxa"/>
            <w:vAlign w:val="bottom"/>
          </w:tcPr>
          <w:p>
            <w:pPr>
              <w:spacing w:after="0"/>
              <w:rPr>
                <w:sz w:val="11"/>
                <w:szCs w:val="11"/>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auto"/>
                <w:w w:val="90"/>
              </w:rPr>
              <w:t>13,736</w:t>
            </w:r>
          </w:p>
        </w:tc>
        <w:tc>
          <w:tcPr>
            <w:tcW w:w="40" w:type="dxa"/>
            <w:vAlign w:val="bottom"/>
          </w:tcPr>
          <w:p>
            <w:pPr>
              <w:spacing w:after="0"/>
              <w:rPr>
                <w:sz w:val="11"/>
                <w:szCs w:val="11"/>
                <w:color w:val="auto"/>
              </w:rPr>
            </w:pPr>
          </w:p>
        </w:tc>
      </w:tr>
      <w:tr>
        <w:trPr>
          <w:trHeight w:val="622"/>
        </w:trPr>
        <w:tc>
          <w:tcPr>
            <w:tcW w:w="20" w:type="dxa"/>
            <w:vAlign w:val="bottom"/>
          </w:tcPr>
          <w:p>
            <w:pPr>
              <w:spacing w:after="0"/>
              <w:rPr>
                <w:sz w:val="24"/>
                <w:szCs w:val="24"/>
                <w:color w:val="auto"/>
              </w:rPr>
            </w:pPr>
          </w:p>
        </w:tc>
        <w:tc>
          <w:tcPr>
            <w:tcW w:w="800" w:type="dxa"/>
            <w:vAlign w:val="bottom"/>
            <w:tcBorders>
              <w:bottom w:val="single" w:sz="8" w:color="585454"/>
            </w:tcBorders>
          </w:tcPr>
          <w:p>
            <w:pPr>
              <w:jc w:val="right"/>
              <w:ind w:right="218"/>
              <w:spacing w:after="0"/>
              <w:rPr>
                <w:sz w:val="20"/>
                <w:szCs w:val="20"/>
                <w:color w:val="auto"/>
              </w:rPr>
            </w:pPr>
            <w:r>
              <w:rPr>
                <w:rFonts w:ascii="Times New Roman" w:cs="Times New Roman" w:eastAsia="Times New Roman" w:hAnsi="Times New Roman"/>
                <w:sz w:val="12"/>
                <w:szCs w:val="12"/>
                <w:color w:val="auto"/>
              </w:rPr>
              <w:t>2024</w:t>
            </w:r>
          </w:p>
        </w:tc>
        <w:tc>
          <w:tcPr>
            <w:tcW w:w="80" w:type="dxa"/>
            <w:vAlign w:val="bottom"/>
          </w:tcPr>
          <w:p>
            <w:pPr>
              <w:spacing w:after="0"/>
              <w:rPr>
                <w:sz w:val="24"/>
                <w:szCs w:val="24"/>
                <w:color w:val="auto"/>
              </w:rPr>
            </w:pPr>
          </w:p>
        </w:tc>
        <w:tc>
          <w:tcPr>
            <w:tcW w:w="160" w:type="dxa"/>
            <w:vAlign w:val="bottom"/>
            <w:tcBorders>
              <w:bottom w:val="single" w:sz="8" w:color="585454"/>
            </w:tcBorders>
          </w:tcPr>
          <w:p>
            <w:pPr>
              <w:spacing w:after="0"/>
              <w:rPr>
                <w:sz w:val="24"/>
                <w:szCs w:val="24"/>
                <w:color w:val="auto"/>
              </w:rPr>
            </w:pPr>
          </w:p>
        </w:tc>
        <w:tc>
          <w:tcPr>
            <w:tcW w:w="640" w:type="dxa"/>
            <w:vAlign w:val="bottom"/>
            <w:tcBorders>
              <w:bottom w:val="single" w:sz="8" w:color="585454"/>
            </w:tcBorders>
          </w:tcPr>
          <w:p>
            <w:pPr>
              <w:jc w:val="right"/>
              <w:ind w:right="218"/>
              <w:spacing w:after="0"/>
              <w:rPr>
                <w:sz w:val="20"/>
                <w:szCs w:val="20"/>
                <w:color w:val="auto"/>
              </w:rPr>
            </w:pPr>
            <w:r>
              <w:rPr>
                <w:rFonts w:ascii="Times New Roman" w:cs="Times New Roman" w:eastAsia="Times New Roman" w:hAnsi="Times New Roman"/>
                <w:sz w:val="12"/>
                <w:szCs w:val="12"/>
                <w:color w:val="auto"/>
              </w:rPr>
              <w:t>2023</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700" w:type="dxa"/>
        <w:tblCellMar>
          <w:top w:w="0" w:type="dxa"/>
          <w:left w:w="0" w:type="dxa"/>
          <w:bottom w:w="0" w:type="dxa"/>
          <w:right w:w="0" w:type="dxa"/>
        </w:tblCellMar>
      </w:tblPr>
      <w:tr>
        <w:trPr>
          <w:trHeight w:val="138"/>
        </w:trPr>
        <w:tc>
          <w:tcPr>
            <w:tcW w:w="1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Write-offs</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_____,("-'3,:,:,:83:,:,4)</w:t>
            </w:r>
          </w:p>
        </w:tc>
        <w:tc>
          <w:tcPr>
            <w:tcW w:w="3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(776)</w:t>
            </w:r>
          </w:p>
        </w:tc>
        <w:tc>
          <w:tcPr>
            <w:tcW w:w="360" w:type="dxa"/>
            <w:vAlign w:val="bottom"/>
          </w:tcPr>
          <w:p>
            <w:pPr>
              <w:spacing w:after="0"/>
              <w:rPr>
                <w:sz w:val="12"/>
                <w:szCs w:val="12"/>
                <w:color w:val="auto"/>
              </w:rPr>
            </w:pPr>
          </w:p>
        </w:tc>
        <w:tc>
          <w:tcPr>
            <w:tcW w:w="640" w:type="dxa"/>
            <w:vAlign w:val="bottom"/>
          </w:tcPr>
          <w:p>
            <w:pPr>
              <w:jc w:val="center"/>
              <w:ind w:left="198"/>
              <w:spacing w:after="0"/>
              <w:rPr>
                <w:sz w:val="20"/>
                <w:szCs w:val="20"/>
                <w:color w:val="auto"/>
              </w:rPr>
            </w:pPr>
            <w:r>
              <w:rPr>
                <w:rFonts w:ascii="Times New Roman" w:cs="Times New Roman" w:eastAsia="Times New Roman" w:hAnsi="Times New Roman"/>
                <w:sz w:val="12"/>
                <w:szCs w:val="12"/>
                <w:color w:val="auto"/>
              </w:rPr>
              <w:t>(4,610)</w:t>
            </w:r>
          </w:p>
        </w:tc>
      </w:tr>
      <w:tr>
        <w:trPr>
          <w:trHeight w:val="158"/>
        </w:trPr>
        <w:tc>
          <w:tcPr>
            <w:tcW w:w="1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November 25, 2023</w:t>
            </w:r>
          </w:p>
        </w:tc>
        <w:tc>
          <w:tcPr>
            <w:tcW w:w="130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4,145</w:t>
            </w:r>
          </w:p>
        </w:tc>
        <w:tc>
          <w:tcPr>
            <w:tcW w:w="380" w:type="dxa"/>
            <w:vAlign w:val="bottom"/>
          </w:tcPr>
          <w:p>
            <w:pPr>
              <w:spacing w:after="0"/>
              <w:rPr>
                <w:sz w:val="13"/>
                <w:szCs w:val="13"/>
                <w:color w:val="auto"/>
              </w:rPr>
            </w:pPr>
          </w:p>
        </w:tc>
        <w:tc>
          <w:tcPr>
            <w:tcW w:w="64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1,038</w:t>
            </w:r>
          </w:p>
        </w:tc>
        <w:tc>
          <w:tcPr>
            <w:tcW w:w="360" w:type="dxa"/>
            <w:vAlign w:val="bottom"/>
          </w:tcPr>
          <w:p>
            <w:pPr>
              <w:spacing w:after="0"/>
              <w:rPr>
                <w:sz w:val="13"/>
                <w:szCs w:val="13"/>
                <w:color w:val="auto"/>
              </w:rPr>
            </w:pPr>
          </w:p>
        </w:tc>
        <w:tc>
          <w:tcPr>
            <w:tcW w:w="640" w:type="dxa"/>
            <w:vAlign w:val="bottom"/>
          </w:tcPr>
          <w:p>
            <w:pPr>
              <w:jc w:val="center"/>
              <w:ind w:left="178"/>
              <w:spacing w:after="0"/>
              <w:rPr>
                <w:sz w:val="20"/>
                <w:szCs w:val="20"/>
                <w:color w:val="auto"/>
              </w:rPr>
            </w:pPr>
            <w:r>
              <w:rPr>
                <w:rFonts w:ascii="Times New Roman" w:cs="Times New Roman" w:eastAsia="Times New Roman" w:hAnsi="Times New Roman"/>
                <w:sz w:val="12"/>
                <w:szCs w:val="12"/>
                <w:color w:val="auto"/>
              </w:rPr>
              <w:t>5,183</w:t>
            </w:r>
          </w:p>
        </w:tc>
      </w:tr>
      <w:tr>
        <w:trPr>
          <w:trHeight w:val="149"/>
        </w:trPr>
        <w:tc>
          <w:tcPr>
            <w:tcW w:w="1720" w:type="dxa"/>
            <w:vAlign w:val="bottom"/>
          </w:tcPr>
          <w:p>
            <w:pPr>
              <w:spacing w:after="0"/>
              <w:rPr>
                <w:sz w:val="20"/>
                <w:szCs w:val="20"/>
                <w:color w:val="auto"/>
              </w:rPr>
            </w:pPr>
            <w:r>
              <w:rPr>
                <w:rFonts w:ascii="Times New Roman" w:cs="Times New Roman" w:eastAsia="Times New Roman" w:hAnsi="Times New Roman"/>
                <w:sz w:val="12"/>
                <w:szCs w:val="12"/>
                <w:color w:val="auto"/>
              </w:rPr>
              <w:t>Additions charged to expense</w:t>
            </w:r>
          </w:p>
        </w:tc>
        <w:tc>
          <w:tcPr>
            <w:tcW w:w="130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4,284</w:t>
            </w:r>
          </w:p>
        </w:tc>
        <w:tc>
          <w:tcPr>
            <w:tcW w:w="380" w:type="dxa"/>
            <w:vAlign w:val="bottom"/>
          </w:tcPr>
          <w:p>
            <w:pPr>
              <w:spacing w:after="0"/>
              <w:rPr>
                <w:sz w:val="12"/>
                <w:szCs w:val="12"/>
                <w:color w:val="auto"/>
              </w:rPr>
            </w:pPr>
          </w:p>
        </w:tc>
        <w:tc>
          <w:tcPr>
            <w:tcW w:w="64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717</w:t>
            </w:r>
          </w:p>
        </w:tc>
        <w:tc>
          <w:tcPr>
            <w:tcW w:w="360" w:type="dxa"/>
            <w:vAlign w:val="bottom"/>
          </w:tcPr>
          <w:p>
            <w:pPr>
              <w:spacing w:after="0"/>
              <w:rPr>
                <w:sz w:val="12"/>
                <w:szCs w:val="12"/>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 xml:space="preserve">5,00 </w:t>
            </w:r>
            <w:r>
              <w:rPr>
                <w:rFonts w:ascii="Arial" w:cs="Arial" w:eastAsia="Arial" w:hAnsi="Arial"/>
                <w:sz w:val="11"/>
                <w:szCs w:val="11"/>
                <w:color w:val="auto"/>
              </w:rPr>
              <w:t>I</w:t>
            </w:r>
          </w:p>
        </w:tc>
      </w:tr>
      <w:tr>
        <w:trPr>
          <w:trHeight w:val="154"/>
        </w:trPr>
        <w:tc>
          <w:tcPr>
            <w:tcW w:w="1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Write-offs</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::-______,.(4-;.:,=-27:-,:.1)</w:t>
            </w: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w:t>
            </w:r>
          </w:p>
        </w:tc>
        <w:tc>
          <w:tcPr>
            <w:tcW w:w="360" w:type="dxa"/>
            <w:vAlign w:val="bottom"/>
          </w:tcPr>
          <w:p>
            <w:pPr>
              <w:spacing w:after="0"/>
              <w:rPr>
                <w:sz w:val="13"/>
                <w:szCs w:val="13"/>
                <w:color w:val="auto"/>
              </w:rPr>
            </w:pPr>
          </w:p>
        </w:tc>
        <w:tc>
          <w:tcPr>
            <w:tcW w:w="640" w:type="dxa"/>
            <w:vAlign w:val="bottom"/>
          </w:tcPr>
          <w:p>
            <w:pPr>
              <w:jc w:val="center"/>
              <w:ind w:left="198"/>
              <w:spacing w:after="0"/>
              <w:rPr>
                <w:sz w:val="20"/>
                <w:szCs w:val="20"/>
                <w:color w:val="auto"/>
              </w:rPr>
            </w:pPr>
            <w:r>
              <w:rPr>
                <w:rFonts w:ascii="Times New Roman" w:cs="Times New Roman" w:eastAsia="Times New Roman" w:hAnsi="Times New Roman"/>
                <w:sz w:val="12"/>
                <w:szCs w:val="12"/>
                <w:color w:val="auto"/>
              </w:rPr>
              <w:t>(4,789)</w:t>
            </w:r>
          </w:p>
        </w:tc>
      </w:tr>
      <w:tr>
        <w:trPr>
          <w:trHeight w:val="154"/>
        </w:trPr>
        <w:tc>
          <w:tcPr>
            <w:tcW w:w="1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November 30, 2024</w:t>
            </w:r>
          </w:p>
        </w:tc>
        <w:tc>
          <w:tcPr>
            <w:tcW w:w="130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4, 158</w:t>
            </w: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1,237</w:t>
            </w:r>
          </w:p>
        </w:tc>
        <w:tc>
          <w:tcPr>
            <w:tcW w:w="360" w:type="dxa"/>
            <w:vAlign w:val="bottom"/>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center"/>
              <w:ind w:left="178"/>
              <w:spacing w:after="0"/>
              <w:rPr>
                <w:sz w:val="20"/>
                <w:szCs w:val="20"/>
                <w:color w:val="auto"/>
              </w:rPr>
            </w:pPr>
            <w:r>
              <w:rPr>
                <w:rFonts w:ascii="Times New Roman" w:cs="Times New Roman" w:eastAsia="Times New Roman" w:hAnsi="Times New Roman"/>
                <w:sz w:val="12"/>
                <w:szCs w:val="12"/>
                <w:color w:val="auto"/>
              </w:rPr>
              <w:t>5,395</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 Property and Equipment</w:t>
      </w:r>
    </w:p>
    <w:p>
      <w:pPr>
        <w:spacing w:after="0" w:line="159" w:lineRule="exact"/>
        <w:rPr>
          <w:sz w:val="20"/>
          <w:szCs w:val="20"/>
          <w:color w:val="auto"/>
        </w:rPr>
      </w:pPr>
    </w:p>
    <w:p>
      <w:pPr>
        <w:sectPr>
          <w:pgSz w:w="15840" w:h="12240" w:orient="landscape"/>
          <w:cols w:equalWidth="0" w:num="3">
            <w:col w:w="3080" w:space="720"/>
            <w:col w:w="3400" w:space="720"/>
            <w:col w:w="6420"/>
          </w:cols>
          <w:pgMar w:left="740" w:top="1440" w:right="760" w:bottom="897" w:gutter="0" w:footer="0" w:header="0"/>
          <w:type w:val="continuous"/>
        </w:sectPr>
      </w:pPr>
    </w:p>
    <w:tbl>
      <w:tblPr>
        <w:tblLayout w:type="fixed"/>
        <w:tblInd w:w="900" w:type="dxa"/>
        <w:tblCellMar>
          <w:top w:w="0" w:type="dxa"/>
          <w:left w:w="0" w:type="dxa"/>
          <w:bottom w:w="0" w:type="dxa"/>
          <w:right w:w="0" w:type="dxa"/>
        </w:tblCellMar>
      </w:tblPr>
      <w:tr>
        <w:trPr>
          <w:trHeight w:val="138"/>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Balance, beginning of the year</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w:t>
            </w:r>
          </w:p>
        </w:tc>
        <w:tc>
          <w:tcPr>
            <w:tcW w:w="34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1,26 1</w:t>
            </w:r>
          </w:p>
        </w:tc>
      </w:tr>
      <w:tr>
        <w:trPr>
          <w:trHeight w:val="149"/>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Additions (recoveries) charged to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624</w:t>
            </w:r>
          </w:p>
        </w:tc>
        <w:tc>
          <w:tcPr>
            <w:tcW w:w="3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Property and equipment consist of the following:</w:t>
      </w:r>
    </w:p>
    <w:p>
      <w:pPr>
        <w:spacing w:after="0" w:line="150" w:lineRule="exact"/>
        <w:rPr>
          <w:sz w:val="20"/>
          <w:szCs w:val="20"/>
          <w:color w:val="auto"/>
        </w:rPr>
      </w:pPr>
    </w:p>
    <w:p>
      <w:pPr>
        <w:sectPr>
          <w:pgSz w:w="15840" w:h="12240" w:orient="landscape"/>
          <w:cols w:equalWidth="0" w:num="2">
            <w:col w:w="7220" w:space="720"/>
            <w:col w:w="6400"/>
          </w:cols>
          <w:pgMar w:left="740" w:top="1440" w:right="760" w:bottom="897" w:gutter="0" w:footer="0" w:header="0"/>
          <w:type w:val="continuous"/>
        </w:sectPr>
      </w:pPr>
    </w:p>
    <w:p>
      <w:pPr>
        <w:spacing w:after="0" w:line="10" w:lineRule="exact"/>
        <w:rPr>
          <w:sz w:val="20"/>
          <w:szCs w:val="20"/>
          <w:color w:val="auto"/>
        </w:rPr>
      </w:pPr>
    </w:p>
    <w:tbl>
      <w:tblPr>
        <w:tblLayout w:type="fixed"/>
        <w:tblInd w:w="900" w:type="dxa"/>
        <w:tblCellMar>
          <w:top w:w="0" w:type="dxa"/>
          <w:left w:w="0" w:type="dxa"/>
          <w:bottom w:w="0" w:type="dxa"/>
          <w:right w:w="0" w:type="dxa"/>
        </w:tblCellMar>
      </w:tblPr>
      <w:tr>
        <w:trPr>
          <w:trHeight w:val="160"/>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Reduction s to allowance, net</w:t>
            </w:r>
          </w:p>
        </w:tc>
        <w:tc>
          <w:tcPr>
            <w:tcW w:w="1580" w:type="dxa"/>
            <w:vAlign w:val="bottom"/>
          </w:tcPr>
          <w:p>
            <w:pPr>
              <w:jc w:val="right"/>
              <w:spacing w:after="0"/>
              <w:rPr>
                <w:sz w:val="20"/>
                <w:szCs w:val="20"/>
                <w:color w:val="auto"/>
              </w:rPr>
            </w:pPr>
            <w:r>
              <w:rPr>
                <w:rFonts w:ascii="Arial" w:cs="Arial" w:eastAsia="Arial" w:hAnsi="Arial"/>
                <w:sz w:val="12"/>
                <w:szCs w:val="12"/>
                <w:color w:val="auto"/>
              </w:rPr>
              <w:t>::------:-7:(6~2)</w:t>
            </w:r>
          </w:p>
        </w:tc>
        <w:tc>
          <w:tcPr>
            <w:tcW w:w="3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(945)</w:t>
            </w:r>
          </w:p>
        </w:tc>
      </w:tr>
      <w:tr>
        <w:trPr>
          <w:trHeight w:val="139"/>
        </w:trPr>
        <w:tc>
          <w:tcPr>
            <w:tcW w:w="220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Balance, end of the year</w:t>
            </w:r>
          </w:p>
        </w:tc>
        <w:tc>
          <w:tcPr>
            <w:tcW w:w="15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1,097</w:t>
            </w:r>
          </w:p>
        </w:tc>
        <w:tc>
          <w:tcPr>
            <w:tcW w:w="340" w:type="dxa"/>
            <w:vAlign w:val="bottom"/>
            <w:tcBorders>
              <w:bottom w:val="single" w:sz="8" w:color="201C20"/>
            </w:tcBorders>
          </w:tcPr>
          <w:p>
            <w:pPr>
              <w:jc w:val="right"/>
              <w:ind w:right="198"/>
              <w:spacing w:after="0" w:line="137"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201C20"/>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535</w:t>
            </w:r>
          </w:p>
        </w:tc>
        <w:tc>
          <w:tcPr>
            <w:tcW w:w="20" w:type="dxa"/>
            <w:vAlign w:val="bottom"/>
          </w:tcPr>
          <w:p>
            <w:pPr>
              <w:spacing w:after="0"/>
              <w:rPr>
                <w:sz w:val="12"/>
                <w:szCs w:val="12"/>
                <w:color w:val="auto"/>
              </w:rPr>
            </w:pPr>
          </w:p>
        </w:tc>
      </w:tr>
    </w:tbl>
    <w:p>
      <w:pPr>
        <w:spacing w:after="0" w:line="170" w:lineRule="exact"/>
        <w:rPr>
          <w:sz w:val="20"/>
          <w:szCs w:val="20"/>
          <w:color w:val="auto"/>
        </w:rPr>
      </w:pPr>
    </w:p>
    <w:p>
      <w:pPr>
        <w:jc w:val="both"/>
        <w:ind w:right="1800" w:firstLine="6"/>
        <w:spacing w:after="0" w:line="257" w:lineRule="auto"/>
        <w:rPr>
          <w:sz w:val="20"/>
          <w:szCs w:val="20"/>
          <w:color w:val="auto"/>
        </w:rPr>
      </w:pPr>
      <w:r>
        <w:rPr>
          <w:rFonts w:ascii="Times New Roman" w:cs="Times New Roman" w:eastAsia="Times New Roman" w:hAnsi="Times New Roman"/>
          <w:sz w:val="12"/>
          <w:szCs w:val="12"/>
          <w:color w:val="auto"/>
        </w:rPr>
        <w:t xml:space="preserve">We beli eve that the carrying value of our net accounts receivable approximates fair value. The inputs into th ese fair value estimates reflect our market assumptions and are not observable. Consequently, the inputs are considered to be Level 3 as speci fled in the fair va lue hierarchy in ASC Topic 820, </w:t>
      </w:r>
      <w:r>
        <w:rPr>
          <w:rFonts w:ascii="Times New Roman" w:cs="Times New Roman" w:eastAsia="Times New Roman" w:hAnsi="Times New Roman"/>
          <w:sz w:val="12"/>
          <w:szCs w:val="12"/>
          <w:i w:val="1"/>
          <w:iCs w:val="1"/>
          <w:color w:val="auto"/>
        </w:rPr>
        <w:t>Fair Value Measurements and Disclosures.</w:t>
      </w:r>
      <w:r>
        <w:rPr>
          <w:rFonts w:ascii="Times New Roman" w:cs="Times New Roman" w:eastAsia="Times New Roman" w:hAnsi="Times New Roman"/>
          <w:sz w:val="12"/>
          <w:szCs w:val="12"/>
          <w:color w:val="auto"/>
        </w:rPr>
        <w:t xml:space="preserve"> See Note 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 Inventories</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Buildings and leasehold improvements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Machinery and equipment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Property and equipment at cost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Less accumulated depreciation</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Property and equipment,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November 30,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November 25,</w:t>
            </w:r>
          </w:p>
        </w:tc>
      </w:tr>
      <w:tr>
        <w:trPr>
          <w:trHeight w:val="123"/>
        </w:trPr>
        <w:tc>
          <w:tcPr>
            <w:tcW w:w="880" w:type="dxa"/>
            <w:vAlign w:val="bottom"/>
          </w:tcPr>
          <w:p>
            <w:pPr>
              <w:jc w:val="right"/>
              <w:ind w:right="282"/>
              <w:spacing w:after="0" w:line="123" w:lineRule="exact"/>
              <w:rPr>
                <w:sz w:val="20"/>
                <w:szCs w:val="20"/>
                <w:color w:val="auto"/>
              </w:rPr>
            </w:pPr>
            <w:r>
              <w:rPr>
                <w:rFonts w:ascii="Times New Roman" w:cs="Times New Roman" w:eastAsia="Times New Roman" w:hAnsi="Times New Roman"/>
                <w:sz w:val="12"/>
                <w:szCs w:val="12"/>
                <w:color w:val="auto"/>
              </w:rPr>
              <w:t>2024</w:t>
            </w:r>
          </w:p>
        </w:tc>
        <w:tc>
          <w:tcPr>
            <w:tcW w:w="200" w:type="dxa"/>
            <w:vAlign w:val="bottom"/>
          </w:tcPr>
          <w:p>
            <w:pPr>
              <w:spacing w:after="0"/>
              <w:rPr>
                <w:sz w:val="10"/>
                <w:szCs w:val="10"/>
                <w:color w:val="auto"/>
              </w:rPr>
            </w:pPr>
          </w:p>
        </w:tc>
        <w:tc>
          <w:tcPr>
            <w:tcW w:w="660" w:type="dxa"/>
            <w:vAlign w:val="bottom"/>
          </w:tcPr>
          <w:p>
            <w:pPr>
              <w:jc w:val="right"/>
              <w:ind w:right="258"/>
              <w:spacing w:after="0" w:line="123" w:lineRule="exact"/>
              <w:rPr>
                <w:sz w:val="20"/>
                <w:szCs w:val="20"/>
                <w:color w:val="auto"/>
              </w:rPr>
            </w:pPr>
            <w:r>
              <w:rPr>
                <w:rFonts w:ascii="Times New Roman" w:cs="Times New Roman" w:eastAsia="Times New Roman" w:hAnsi="Times New Roman"/>
                <w:sz w:val="12"/>
                <w:szCs w:val="12"/>
                <w:color w:val="auto"/>
              </w:rPr>
              <w:t>2023</w:t>
            </w:r>
          </w:p>
        </w:tc>
      </w:tr>
      <w:tr>
        <w:trPr>
          <w:trHeight w:val="72"/>
        </w:trPr>
        <w:tc>
          <w:tcPr>
            <w:tcW w:w="1740" w:type="dxa"/>
            <w:vAlign w:val="bottom"/>
            <w:gridSpan w:val="3"/>
          </w:tcPr>
          <w:p>
            <w:pPr>
              <w:jc w:val="right"/>
              <w:ind w:right="238"/>
              <w:spacing w:after="0" w:line="73" w:lineRule="exact"/>
              <w:rPr>
                <w:sz w:val="20"/>
                <w:szCs w:val="20"/>
                <w:color w:val="auto"/>
              </w:rPr>
            </w:pPr>
            <w:r>
              <w:rPr>
                <w:rFonts w:ascii="Times New Roman" w:cs="Times New Roman" w:eastAsia="Times New Roman" w:hAnsi="Times New Roman"/>
                <w:sz w:val="8"/>
                <w:szCs w:val="8"/>
                <w:color w:val="auto"/>
              </w:rPr>
              <w:t>--------</w:t>
            </w:r>
          </w:p>
        </w:tc>
      </w:tr>
      <w:tr>
        <w:trPr>
          <w:trHeight w:val="124"/>
        </w:trPr>
        <w:tc>
          <w:tcPr>
            <w:tcW w:w="880" w:type="dxa"/>
            <w:vAlign w:val="bottom"/>
          </w:tcPr>
          <w:p>
            <w:pPr>
              <w:jc w:val="right"/>
              <w:ind w:right="2"/>
              <w:spacing w:after="0" w:line="107" w:lineRule="exact"/>
              <w:rPr>
                <w:sz w:val="20"/>
                <w:szCs w:val="20"/>
                <w:color w:val="auto"/>
              </w:rPr>
            </w:pPr>
            <w:r>
              <w:rPr>
                <w:rFonts w:ascii="Times New Roman" w:cs="Times New Roman" w:eastAsia="Times New Roman" w:hAnsi="Times New Roman"/>
                <w:sz w:val="10"/>
                <w:szCs w:val="10"/>
                <w:color w:val="auto"/>
              </w:rPr>
              <w:t>I U, MO</w:t>
            </w:r>
          </w:p>
        </w:tc>
        <w:tc>
          <w:tcPr>
            <w:tcW w:w="200" w:type="dxa"/>
            <w:vAlign w:val="bottom"/>
          </w:tcPr>
          <w:p>
            <w:pPr>
              <w:ind w:left="2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line="125" w:lineRule="exact"/>
              <w:rPr>
                <w:sz w:val="20"/>
                <w:szCs w:val="20"/>
                <w:color w:val="auto"/>
              </w:rPr>
            </w:pPr>
            <w:r>
              <w:rPr>
                <w:rFonts w:ascii="Arial" w:cs="Arial" w:eastAsia="Arial" w:hAnsi="Arial"/>
                <w:sz w:val="12"/>
                <w:szCs w:val="12"/>
                <w:color w:val="auto"/>
              </w:rPr>
              <w:t xml:space="preserve">I </w:t>
            </w:r>
            <w:r>
              <w:rPr>
                <w:rFonts w:ascii="Times New Roman" w:cs="Times New Roman" w:eastAsia="Times New Roman" w:hAnsi="Times New Roman"/>
                <w:sz w:val="12"/>
                <w:szCs w:val="12"/>
                <w:color w:val="auto"/>
              </w:rPr>
              <w:t>0,866</w:t>
            </w:r>
          </w:p>
        </w:tc>
      </w:tr>
      <w:tr>
        <w:trPr>
          <w:trHeight w:val="137"/>
        </w:trPr>
        <w:tc>
          <w:tcPr>
            <w:tcW w:w="880" w:type="dxa"/>
            <w:vAlign w:val="bottom"/>
          </w:tcPr>
          <w:p>
            <w:pPr>
              <w:jc w:val="right"/>
              <w:ind w:right="22"/>
              <w:spacing w:after="0" w:line="137" w:lineRule="exact"/>
              <w:rPr>
                <w:sz w:val="20"/>
                <w:szCs w:val="20"/>
                <w:color w:val="auto"/>
              </w:rPr>
            </w:pPr>
            <w:r>
              <w:rPr>
                <w:rFonts w:ascii="Times New Roman" w:cs="Times New Roman" w:eastAsia="Times New Roman" w:hAnsi="Times New Roman"/>
                <w:sz w:val="12"/>
                <w:szCs w:val="12"/>
                <w:color w:val="auto"/>
              </w:rPr>
              <w:t>124,305</w:t>
            </w:r>
          </w:p>
        </w:tc>
        <w:tc>
          <w:tcPr>
            <w:tcW w:w="200" w:type="dxa"/>
            <w:vAlign w:val="bottom"/>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125,290</w:t>
            </w:r>
          </w:p>
        </w:tc>
      </w:tr>
      <w:tr>
        <w:trPr>
          <w:trHeight w:val="171"/>
        </w:trPr>
        <w:tc>
          <w:tcPr>
            <w:tcW w:w="8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w w:val="76"/>
              </w:rPr>
              <w:t>---::,1:;:05"',6:;::6:.;;7</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106,613</w:t>
            </w:r>
          </w:p>
        </w:tc>
      </w:tr>
      <w:tr>
        <w:trPr>
          <w:trHeight w:val="137"/>
        </w:trPr>
        <w:tc>
          <w:tcPr>
            <w:tcW w:w="880" w:type="dxa"/>
            <w:vAlign w:val="bottom"/>
          </w:tcPr>
          <w:p>
            <w:pPr>
              <w:jc w:val="right"/>
              <w:ind w:right="2"/>
              <w:spacing w:after="0" w:line="137" w:lineRule="exact"/>
              <w:rPr>
                <w:sz w:val="20"/>
                <w:szCs w:val="20"/>
                <w:color w:val="auto"/>
              </w:rPr>
            </w:pPr>
            <w:r>
              <w:rPr>
                <w:rFonts w:ascii="Times New Roman" w:cs="Times New Roman" w:eastAsia="Times New Roman" w:hAnsi="Times New Roman"/>
                <w:sz w:val="12"/>
                <w:szCs w:val="12"/>
                <w:color w:val="auto"/>
              </w:rPr>
              <w:t>240,838</w:t>
            </w:r>
          </w:p>
        </w:tc>
        <w:tc>
          <w:tcPr>
            <w:tcW w:w="200" w:type="dxa"/>
            <w:vAlign w:val="bottom"/>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242,769</w:t>
            </w:r>
          </w:p>
        </w:tc>
      </w:tr>
      <w:tr>
        <w:trPr>
          <w:trHeight w:val="144"/>
        </w:trPr>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(163 ,79 1)</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(158,788)</w:t>
            </w:r>
          </w:p>
        </w:tc>
      </w:tr>
      <w:tr>
        <w:trPr>
          <w:trHeight w:val="163"/>
        </w:trPr>
        <w:tc>
          <w:tcPr>
            <w:tcW w:w="8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77,047</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83,981</w:t>
            </w:r>
          </w:p>
        </w:tc>
      </w:tr>
    </w:tbl>
    <w:p>
      <w:pPr>
        <w:spacing w:after="0" w:line="188" w:lineRule="exact"/>
        <w:rPr>
          <w:sz w:val="20"/>
          <w:szCs w:val="20"/>
          <w:color w:val="auto"/>
        </w:rPr>
      </w:pPr>
    </w:p>
    <w:p>
      <w:pPr>
        <w:sectPr>
          <w:pgSz w:w="15840" w:h="12240" w:orient="landscape"/>
          <w:cols w:equalWidth="0" w:num="3">
            <w:col w:w="8100" w:space="720"/>
            <w:col w:w="2180" w:space="720"/>
            <w:col w:w="2620"/>
          </w:cols>
          <w:pgMar w:left="740" w:top="1440" w:right="760" w:bottom="897" w:gutter="0" w:footer="0" w:header="0"/>
          <w:type w:val="continuous"/>
        </w:sectPr>
      </w:pP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Inventories consist of the following:</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98"/>
        </w:trPr>
        <w:tc>
          <w:tcPr>
            <w:tcW w:w="3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November 30,</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November 25,</w:t>
            </w:r>
          </w:p>
        </w:tc>
      </w:tr>
      <w:tr>
        <w:trPr>
          <w:trHeight w:val="147"/>
        </w:trPr>
        <w:tc>
          <w:tcPr>
            <w:tcW w:w="3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bottom w:val="single" w:sz="8" w:color="585454"/>
            </w:tcBorders>
          </w:tcPr>
          <w:p>
            <w:pPr>
              <w:jc w:val="right"/>
              <w:ind w:right="237"/>
              <w:spacing w:after="0"/>
              <w:rPr>
                <w:sz w:val="20"/>
                <w:szCs w:val="20"/>
                <w:color w:val="auto"/>
              </w:rPr>
            </w:pPr>
            <w:r>
              <w:rPr>
                <w:rFonts w:ascii="Times New Roman" w:cs="Times New Roman" w:eastAsia="Times New Roman" w:hAnsi="Times New Roman"/>
                <w:sz w:val="12"/>
                <w:szCs w:val="12"/>
                <w:color w:val="auto"/>
              </w:rPr>
              <w:t>2024</w:t>
            </w:r>
          </w:p>
        </w:tc>
        <w:tc>
          <w:tcPr>
            <w:tcW w:w="80" w:type="dxa"/>
            <w:vAlign w:val="bottom"/>
          </w:tcPr>
          <w:p>
            <w:pPr>
              <w:spacing w:after="0"/>
              <w:rPr>
                <w:sz w:val="12"/>
                <w:szCs w:val="12"/>
                <w:color w:val="auto"/>
              </w:rPr>
            </w:pPr>
          </w:p>
        </w:tc>
        <w:tc>
          <w:tcPr>
            <w:tcW w:w="180" w:type="dxa"/>
            <w:vAlign w:val="bottom"/>
            <w:tcBorders>
              <w:bottom w:val="single" w:sz="8" w:color="585454"/>
            </w:tcBorders>
          </w:tcPr>
          <w:p>
            <w:pPr>
              <w:spacing w:after="0"/>
              <w:rPr>
                <w:sz w:val="12"/>
                <w:szCs w:val="12"/>
                <w:color w:val="auto"/>
              </w:rPr>
            </w:pPr>
          </w:p>
        </w:tc>
        <w:tc>
          <w:tcPr>
            <w:tcW w:w="640" w:type="dxa"/>
            <w:vAlign w:val="bottom"/>
            <w:tcBorders>
              <w:bottom w:val="single" w:sz="8" w:color="585454"/>
            </w:tcBorders>
          </w:tcPr>
          <w:p>
            <w:pPr>
              <w:jc w:val="right"/>
              <w:ind w:right="218"/>
              <w:spacing w:after="0"/>
              <w:rPr>
                <w:sz w:val="20"/>
                <w:szCs w:val="20"/>
                <w:color w:val="auto"/>
              </w:rPr>
            </w:pPr>
            <w:r>
              <w:rPr>
                <w:rFonts w:ascii="Times New Roman" w:cs="Times New Roman" w:eastAsia="Times New Roman" w:hAnsi="Times New Roman"/>
                <w:sz w:val="12"/>
                <w:szCs w:val="12"/>
                <w:color w:val="auto"/>
              </w:rPr>
              <w:t>2023</w:t>
            </w:r>
          </w:p>
        </w:tc>
        <w:tc>
          <w:tcPr>
            <w:tcW w:w="40" w:type="dxa"/>
            <w:vAlign w:val="bottom"/>
          </w:tcPr>
          <w:p>
            <w:pPr>
              <w:spacing w:after="0"/>
              <w:rPr>
                <w:sz w:val="12"/>
                <w:szCs w:val="12"/>
                <w:color w:val="auto"/>
              </w:rPr>
            </w:pPr>
          </w:p>
        </w:tc>
      </w:tr>
      <w:tr>
        <w:trPr>
          <w:trHeight w:val="140"/>
        </w:trPr>
        <w:tc>
          <w:tcPr>
            <w:tcW w:w="346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Wholesale finished goods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24,841</w:t>
            </w:r>
          </w:p>
        </w:tc>
        <w:tc>
          <w:tcPr>
            <w:tcW w:w="80" w:type="dxa"/>
            <w:vAlign w:val="bottom"/>
          </w:tcPr>
          <w:p>
            <w:pPr>
              <w:spacing w:after="0"/>
              <w:rPr>
                <w:sz w:val="12"/>
                <w:szCs w:val="12"/>
                <w:color w:val="auto"/>
              </w:rPr>
            </w:pPr>
          </w:p>
        </w:tc>
        <w:tc>
          <w:tcPr>
            <w:tcW w:w="180" w:type="dxa"/>
            <w:vAlign w:val="bottom"/>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27,521</w:t>
            </w:r>
          </w:p>
        </w:tc>
        <w:tc>
          <w:tcPr>
            <w:tcW w:w="40" w:type="dxa"/>
            <w:vAlign w:val="bottom"/>
          </w:tcPr>
          <w:p>
            <w:pPr>
              <w:spacing w:after="0"/>
              <w:rPr>
                <w:sz w:val="12"/>
                <w:szCs w:val="12"/>
                <w:color w:val="auto"/>
              </w:rPr>
            </w:pPr>
          </w:p>
        </w:tc>
      </w:tr>
      <w:tr>
        <w:trPr>
          <w:trHeight w:val="149"/>
        </w:trPr>
        <w:tc>
          <w:tcPr>
            <w:tcW w:w="346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Work in process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519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637</w:t>
            </w:r>
          </w:p>
        </w:tc>
        <w:tc>
          <w:tcPr>
            <w:tcW w:w="40" w:type="dxa"/>
            <w:vAlign w:val="bottom"/>
          </w:tcPr>
          <w:p>
            <w:pPr>
              <w:spacing w:after="0"/>
              <w:rPr>
                <w:sz w:val="12"/>
                <w:szCs w:val="12"/>
                <w:color w:val="auto"/>
              </w:rPr>
            </w:pPr>
          </w:p>
        </w:tc>
      </w:tr>
      <w:tr>
        <w:trPr>
          <w:trHeight w:val="149"/>
        </w:trPr>
        <w:tc>
          <w:tcPr>
            <w:tcW w:w="346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Raw materials and supplies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14,921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18,655</w:t>
            </w:r>
          </w:p>
        </w:tc>
        <w:tc>
          <w:tcPr>
            <w:tcW w:w="40" w:type="dxa"/>
            <w:vAlign w:val="bottom"/>
          </w:tcPr>
          <w:p>
            <w:pPr>
              <w:spacing w:after="0"/>
              <w:rPr>
                <w:sz w:val="12"/>
                <w:szCs w:val="12"/>
                <w:color w:val="auto"/>
              </w:rPr>
            </w:pPr>
          </w:p>
        </w:tc>
      </w:tr>
      <w:tr>
        <w:trPr>
          <w:trHeight w:val="149"/>
        </w:trPr>
        <w:tc>
          <w:tcPr>
            <w:tcW w:w="346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Retail merchandise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31 ,744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33,090</w:t>
            </w:r>
          </w:p>
        </w:tc>
        <w:tc>
          <w:tcPr>
            <w:tcW w:w="40" w:type="dxa"/>
            <w:vAlign w:val="bottom"/>
          </w:tcPr>
          <w:p>
            <w:pPr>
              <w:spacing w:after="0"/>
              <w:rPr>
                <w:sz w:val="12"/>
                <w:szCs w:val="12"/>
                <w:color w:val="auto"/>
              </w:rPr>
            </w:pPr>
          </w:p>
        </w:tc>
      </w:tr>
      <w:tr>
        <w:trPr>
          <w:trHeight w:val="158"/>
        </w:trPr>
        <w:tc>
          <w:tcPr>
            <w:tcW w:w="346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Total inventories on first-in , first-out method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72,025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79,903</w:t>
            </w:r>
          </w:p>
        </w:tc>
        <w:tc>
          <w:tcPr>
            <w:tcW w:w="40" w:type="dxa"/>
            <w:vAlign w:val="bottom"/>
          </w:tcPr>
          <w:p>
            <w:pPr>
              <w:spacing w:after="0"/>
              <w:rPr>
                <w:sz w:val="13"/>
                <w:szCs w:val="13"/>
                <w:color w:val="auto"/>
              </w:rPr>
            </w:pPr>
          </w:p>
        </w:tc>
      </w:tr>
      <w:tr>
        <w:trPr>
          <w:trHeight w:val="149"/>
        </w:trPr>
        <w:tc>
          <w:tcPr>
            <w:tcW w:w="346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LIFO adjustment</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(11 ,665)</w:t>
            </w:r>
          </w:p>
        </w:tc>
        <w:tc>
          <w:tcPr>
            <w:tcW w:w="1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(11 ,738)</w:t>
            </w:r>
          </w:p>
        </w:tc>
      </w:tr>
      <w:tr>
        <w:trPr>
          <w:trHeight w:val="175"/>
        </w:trPr>
        <w:tc>
          <w:tcPr>
            <w:tcW w:w="346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Reserve for excess and obsolete inventory</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::------='(5"',3"-'9"'5.)</w:t>
            </w:r>
          </w:p>
        </w:tc>
        <w:tc>
          <w:tcPr>
            <w:tcW w:w="1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( 5, 183)</w:t>
            </w:r>
          </w:p>
        </w:tc>
      </w:tr>
      <w:tr>
        <w:trPr>
          <w:trHeight w:val="137"/>
        </w:trPr>
        <w:tc>
          <w:tcPr>
            <w:tcW w:w="3460" w:type="dxa"/>
            <w:vAlign w:val="bottom"/>
          </w:tcPr>
          <w:p>
            <w:pPr>
              <w:spacing w:after="0"/>
              <w:rPr>
                <w:sz w:val="11"/>
                <w:szCs w:val="11"/>
                <w:color w:val="auto"/>
              </w:rPr>
            </w:pPr>
          </w:p>
        </w:tc>
        <w:tc>
          <w:tcPr>
            <w:tcW w:w="1380" w:type="dxa"/>
            <w:vAlign w:val="bottom"/>
            <w:gridSpan w:val="4"/>
          </w:tcPr>
          <w:p>
            <w:pPr>
              <w:jc w:val="right"/>
              <w:ind w:right="60"/>
              <w:spacing w:after="0" w:line="137" w:lineRule="exact"/>
              <w:rPr>
                <w:sz w:val="20"/>
                <w:szCs w:val="20"/>
                <w:color w:val="auto"/>
              </w:rPr>
            </w:pPr>
            <w:r>
              <w:rPr>
                <w:rFonts w:ascii="Arial" w:cs="Arial" w:eastAsia="Arial" w:hAnsi="Arial"/>
                <w:sz w:val="10"/>
                <w:szCs w:val="10"/>
                <w:color w:val="auto"/>
              </w:rPr>
              <w:t xml:space="preserve">~ </w:t>
            </w:r>
            <w:r>
              <w:rPr>
                <w:rFonts w:ascii="Times New Roman" w:cs="Times New Roman" w:eastAsia="Times New Roman" w:hAnsi="Times New Roman"/>
                <w:sz w:val="12"/>
                <w:szCs w:val="12"/>
                <w:color w:val="auto"/>
              </w:rPr>
              <w:t>$</w:t>
            </w:r>
          </w:p>
        </w:tc>
        <w:tc>
          <w:tcPr>
            <w:tcW w:w="64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62,982</w:t>
            </w:r>
          </w:p>
        </w:tc>
        <w:tc>
          <w:tcPr>
            <w:tcW w:w="40" w:type="dxa"/>
            <w:vAlign w:val="bottom"/>
          </w:tcPr>
          <w:p>
            <w:pPr>
              <w:spacing w:after="0"/>
              <w:rPr>
                <w:sz w:val="11"/>
                <w:szCs w:val="11"/>
                <w:color w:val="auto"/>
              </w:rPr>
            </w:pPr>
          </w:p>
        </w:tc>
      </w:tr>
    </w:tbl>
    <w:p>
      <w:pPr>
        <w:spacing w:after="0" w:line="185" w:lineRule="exact"/>
        <w:rPr>
          <w:sz w:val="20"/>
          <w:szCs w:val="20"/>
          <w:color w:val="auto"/>
        </w:rPr>
      </w:pPr>
    </w:p>
    <w:p>
      <w:pPr>
        <w:ind w:right="780" w:firstLine="6"/>
        <w:spacing w:after="0" w:line="256" w:lineRule="auto"/>
        <w:rPr>
          <w:sz w:val="20"/>
          <w:szCs w:val="20"/>
          <w:color w:val="auto"/>
        </w:rPr>
      </w:pPr>
      <w:r>
        <w:rPr>
          <w:rFonts w:ascii="Times New Roman" w:cs="Times New Roman" w:eastAsia="Times New Roman" w:hAnsi="Times New Roman"/>
          <w:sz w:val="12"/>
          <w:szCs w:val="12"/>
          <w:color w:val="auto"/>
        </w:rPr>
        <w:t>We source a signi ticant amount of our wholesale product from other countries. During 2024, 2023 and 2022, purchases from our three largest vendors primarily located in Vietnam were $11 ,689, $15,601 and $33,253 respectively .</w:t>
      </w:r>
    </w:p>
    <w:p>
      <w:pPr>
        <w:spacing w:after="0" w:line="152" w:lineRule="exact"/>
        <w:rPr>
          <w:sz w:val="20"/>
          <w:szCs w:val="20"/>
          <w:color w:val="auto"/>
        </w:rPr>
      </w:pPr>
    </w:p>
    <w:p>
      <w:pPr>
        <w:jc w:val="both"/>
        <w:ind w:right="740" w:firstLine="6"/>
        <w:spacing w:after="0" w:line="258" w:lineRule="auto"/>
        <w:rPr>
          <w:sz w:val="20"/>
          <w:szCs w:val="20"/>
          <w:color w:val="auto"/>
        </w:rPr>
      </w:pPr>
      <w:r>
        <w:rPr>
          <w:rFonts w:ascii="Times New Roman" w:cs="Times New Roman" w:eastAsia="Times New Roman" w:hAnsi="Times New Roman"/>
          <w:sz w:val="12"/>
          <w:szCs w:val="12"/>
          <w:color w:val="auto"/>
        </w:rPr>
        <w:t>We estimate an inventory reserve for excess quantities and obsolete items based on specific identification and historical write-offs, taking into account future demand, mark et conditions and th e respective valuations at LIFO. The need for th ese reserves is primarily driven by th e normal product life cycle. As products mature and sales volumes decline, we rationali ze our product offerings to respond to consumer tastes and keep our product lines fresh. If actual demand or market conditions in the future are less favorable than those estimated, additional inventory write-downs may be required. In determining reserves, we calculate separate reserves on our wholesale and retail inventories. Our wholesale inventories tend to carry the majority of the reserves for excess quantities and obsolete inventory due to th e nature of our di stribution model. These wholesale reserves primarily represent design and style obsolescence. Typically, product is not shipped to our retail warehouses until a consumer has ordered and paid a depos it for the product. We do not typically hold retail inventory for stock purposes. Consequently, floor sampl e inventory and inventory for delivery to customers account for th e majority of our inventory at retail. Retail reserves are based on accessory and clearance floor sample inventory in our stores and any inventory that is not associated with a specific customer order in our retail warehouses.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The net book va lu e of our property and equipm ent by reportable segment is a follows:</w:t>
      </w:r>
    </w:p>
    <w:p>
      <w:pPr>
        <w:spacing w:after="0" w:line="148" w:lineRule="exact"/>
        <w:rPr>
          <w:sz w:val="20"/>
          <w:szCs w:val="20"/>
          <w:color w:val="auto"/>
        </w:rPr>
      </w:pPr>
    </w:p>
    <w:tbl>
      <w:tblPr>
        <w:tblLayout w:type="fixed"/>
        <w:tblInd w:w="900" w:type="dxa"/>
        <w:tblCellMar>
          <w:top w:w="0" w:type="dxa"/>
          <w:left w:w="0" w:type="dxa"/>
          <w:bottom w:w="0" w:type="dxa"/>
          <w:right w:w="0" w:type="dxa"/>
        </w:tblCellMar>
      </w:tblPr>
      <w:tr>
        <w:trPr>
          <w:trHeight w:val="149"/>
        </w:trPr>
        <w:tc>
          <w:tcPr>
            <w:tcW w:w="2400" w:type="dxa"/>
            <w:vAlign w:val="bottom"/>
          </w:tcPr>
          <w:p>
            <w:pPr>
              <w:spacing w:after="0"/>
              <w:rPr>
                <w:sz w:val="12"/>
                <w:szCs w:val="12"/>
                <w:color w:val="auto"/>
              </w:rPr>
            </w:pPr>
          </w:p>
        </w:tc>
        <w:tc>
          <w:tcPr>
            <w:tcW w:w="136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November 30,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November 25,</w:t>
            </w:r>
          </w:p>
        </w:tc>
      </w:tr>
      <w:tr>
        <w:trPr>
          <w:trHeight w:val="149"/>
        </w:trPr>
        <w:tc>
          <w:tcPr>
            <w:tcW w:w="2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262"/>
              <w:spacing w:after="0"/>
              <w:rPr>
                <w:sz w:val="20"/>
                <w:szCs w:val="20"/>
                <w:color w:val="auto"/>
              </w:rPr>
            </w:pPr>
            <w:r>
              <w:rPr>
                <w:rFonts w:ascii="Times New Roman" w:cs="Times New Roman" w:eastAsia="Times New Roman" w:hAnsi="Times New Roman"/>
                <w:sz w:val="12"/>
                <w:szCs w:val="12"/>
                <w:color w:val="auto"/>
              </w:rPr>
              <w:t>2024</w:t>
            </w:r>
          </w:p>
        </w:tc>
        <w:tc>
          <w:tcPr>
            <w:tcW w:w="220" w:type="dxa"/>
            <w:vAlign w:val="bottom"/>
          </w:tcPr>
          <w:p>
            <w:pPr>
              <w:spacing w:after="0"/>
              <w:rPr>
                <w:sz w:val="12"/>
                <w:szCs w:val="12"/>
                <w:color w:val="auto"/>
              </w:rPr>
            </w:pPr>
          </w:p>
        </w:tc>
        <w:tc>
          <w:tcPr>
            <w:tcW w:w="620" w:type="dxa"/>
            <w:vAlign w:val="bottom"/>
          </w:tcPr>
          <w:p>
            <w:pPr>
              <w:jc w:val="right"/>
              <w:ind w:right="218"/>
              <w:spacing w:after="0"/>
              <w:rPr>
                <w:sz w:val="20"/>
                <w:szCs w:val="20"/>
                <w:color w:val="auto"/>
              </w:rPr>
            </w:pPr>
            <w:r>
              <w:rPr>
                <w:rFonts w:ascii="Times New Roman" w:cs="Times New Roman" w:eastAsia="Times New Roman" w:hAnsi="Times New Roman"/>
                <w:sz w:val="12"/>
                <w:szCs w:val="12"/>
                <w:color w:val="auto"/>
              </w:rPr>
              <w:t>2023</w:t>
            </w:r>
          </w:p>
        </w:tc>
      </w:tr>
      <w:tr>
        <w:trPr>
          <w:trHeight w:val="158"/>
        </w:trPr>
        <w:tc>
          <w:tcPr>
            <w:tcW w:w="2400" w:type="dxa"/>
            <w:vAlign w:val="bottom"/>
          </w:tcPr>
          <w:p>
            <w:pPr>
              <w:spacing w:after="0"/>
              <w:rPr>
                <w:sz w:val="20"/>
                <w:szCs w:val="20"/>
                <w:color w:val="auto"/>
              </w:rPr>
            </w:pPr>
            <w:r>
              <w:rPr>
                <w:rFonts w:ascii="Times New Roman" w:cs="Times New Roman" w:eastAsia="Times New Roman" w:hAnsi="Times New Roman"/>
                <w:sz w:val="12"/>
                <w:szCs w:val="12"/>
                <w:color w:val="auto"/>
              </w:rPr>
              <w:t>Whol esale</w:t>
            </w:r>
          </w:p>
        </w:tc>
        <w:tc>
          <w:tcPr>
            <w:tcW w:w="6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21 ,0)~</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23 ,155</w:t>
            </w:r>
          </w:p>
        </w:tc>
      </w:tr>
      <w:tr>
        <w:trPr>
          <w:trHeight w:val="149"/>
        </w:trPr>
        <w:tc>
          <w:tcPr>
            <w:tcW w:w="2400" w:type="dxa"/>
            <w:vAlign w:val="bottom"/>
          </w:tcPr>
          <w:p>
            <w:pPr>
              <w:spacing w:after="0"/>
              <w:rPr>
                <w:sz w:val="20"/>
                <w:szCs w:val="20"/>
                <w:color w:val="auto"/>
              </w:rPr>
            </w:pPr>
            <w:r>
              <w:rPr>
                <w:rFonts w:ascii="Times New Roman" w:cs="Times New Roman" w:eastAsia="Times New Roman" w:hAnsi="Times New Roman"/>
                <w:sz w:val="12"/>
                <w:szCs w:val="12"/>
                <w:color w:val="auto"/>
              </w:rPr>
              <w:t>Retail - Company-owned stores</w:t>
            </w:r>
          </w:p>
        </w:tc>
        <w:tc>
          <w:tcPr>
            <w:tcW w:w="6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40,756</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44,799</w:t>
            </w:r>
          </w:p>
        </w:tc>
      </w:tr>
      <w:tr>
        <w:trPr>
          <w:trHeight w:val="149"/>
        </w:trPr>
        <w:tc>
          <w:tcPr>
            <w:tcW w:w="2400" w:type="dxa"/>
            <w:vAlign w:val="bottom"/>
          </w:tcPr>
          <w:p>
            <w:pPr>
              <w:spacing w:after="0"/>
              <w:rPr>
                <w:sz w:val="20"/>
                <w:szCs w:val="20"/>
                <w:color w:val="auto"/>
              </w:rPr>
            </w:pPr>
            <w:r>
              <w:rPr>
                <w:rFonts w:ascii="Times New Roman" w:cs="Times New Roman" w:eastAsia="Times New Roman" w:hAnsi="Times New Roman"/>
                <w:sz w:val="12"/>
                <w:szCs w:val="12"/>
                <w:color w:val="auto"/>
              </w:rPr>
              <w:t>Corporate and other</w:t>
            </w:r>
          </w:p>
        </w:tc>
        <w:tc>
          <w:tcPr>
            <w:tcW w:w="6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14,632</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16,027</w:t>
            </w:r>
          </w:p>
        </w:tc>
      </w:tr>
      <w:tr>
        <w:trPr>
          <w:trHeight w:val="159"/>
        </w:trPr>
        <w:tc>
          <w:tcPr>
            <w:tcW w:w="24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property and equipm ent, net</w:t>
            </w:r>
          </w:p>
        </w:tc>
        <w:tc>
          <w:tcPr>
            <w:tcW w:w="68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77,047</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83 ,981</w:t>
            </w:r>
          </w:p>
        </w:tc>
      </w:tr>
    </w:tbl>
    <w:p>
      <w:pPr>
        <w:spacing w:after="0" w:line="190" w:lineRule="exact"/>
        <w:rPr>
          <w:sz w:val="20"/>
          <w:szCs w:val="20"/>
          <w:color w:val="auto"/>
        </w:rPr>
      </w:pPr>
    </w:p>
    <w:p>
      <w:pPr>
        <w:ind w:firstLine="5"/>
        <w:spacing w:after="0" w:line="256" w:lineRule="auto"/>
        <w:rPr>
          <w:sz w:val="20"/>
          <w:szCs w:val="20"/>
          <w:color w:val="auto"/>
        </w:rPr>
      </w:pPr>
      <w:r>
        <w:rPr>
          <w:rFonts w:ascii="Times New Roman" w:cs="Times New Roman" w:eastAsia="Times New Roman" w:hAnsi="Times New Roman"/>
          <w:sz w:val="12"/>
          <w:szCs w:val="12"/>
          <w:color w:val="auto"/>
        </w:rPr>
        <w:t>Depreciation expense associated with th e property and equipment shown above was included in income from operations in our consolidated statem ents of operations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20" w:type="dxa"/>
            <w:vAlign w:val="bottom"/>
          </w:tcPr>
          <w:p>
            <w:pPr>
              <w:spacing w:after="0"/>
              <w:rPr>
                <w:sz w:val="12"/>
                <w:szCs w:val="12"/>
                <w:color w:val="auto"/>
              </w:rPr>
            </w:pPr>
          </w:p>
        </w:tc>
        <w:tc>
          <w:tcPr>
            <w:tcW w:w="60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12"/>
                <w:szCs w:val="12"/>
                <w:color w:val="auto"/>
              </w:rPr>
              <w:t>2024</w:t>
            </w:r>
          </w:p>
        </w:tc>
        <w:tc>
          <w:tcPr>
            <w:tcW w:w="300" w:type="dxa"/>
            <w:vAlign w:val="bottom"/>
            <w:tcBorders>
              <w:bottom w:val="single" w:sz="8" w:color="201C20"/>
            </w:tcBorders>
          </w:tcPr>
          <w:p>
            <w:pPr>
              <w:spacing w:after="0"/>
              <w:rPr>
                <w:sz w:val="12"/>
                <w:szCs w:val="12"/>
                <w:color w:val="auto"/>
              </w:rPr>
            </w:pPr>
          </w:p>
        </w:tc>
        <w:tc>
          <w:tcPr>
            <w:tcW w:w="1040" w:type="dxa"/>
            <w:vAlign w:val="bottom"/>
            <w:gridSpan w:val="2"/>
          </w:tcPr>
          <w:p>
            <w:pPr>
              <w:jc w:val="right"/>
              <w:ind w:right="278"/>
              <w:spacing w:after="0"/>
              <w:rPr>
                <w:sz w:val="20"/>
                <w:szCs w:val="20"/>
                <w:color w:val="auto"/>
              </w:rPr>
            </w:pPr>
            <w:r>
              <w:rPr>
                <w:rFonts w:ascii="Times New Roman" w:cs="Times New Roman" w:eastAsia="Times New Roman" w:hAnsi="Times New Roman"/>
                <w:sz w:val="12"/>
                <w:szCs w:val="12"/>
                <w:color w:val="auto"/>
              </w:rPr>
              <w:t>2023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242020"/>
            </w:tcBorders>
          </w:tcPr>
          <w:p>
            <w:pPr>
              <w:spacing w:after="0"/>
              <w:rPr>
                <w:sz w:val="12"/>
                <w:szCs w:val="12"/>
                <w:color w:val="auto"/>
              </w:rPr>
            </w:pPr>
          </w:p>
        </w:tc>
        <w:tc>
          <w:tcPr>
            <w:tcW w:w="680" w:type="dxa"/>
            <w:vAlign w:val="bottom"/>
            <w:tcBorders>
              <w:bottom w:val="single" w:sz="8" w:color="242020"/>
            </w:tcBorders>
          </w:tcPr>
          <w:p>
            <w:pPr>
              <w:jc w:val="right"/>
              <w:ind w:right="258"/>
              <w:spacing w:after="0"/>
              <w:rPr>
                <w:sz w:val="20"/>
                <w:szCs w:val="20"/>
                <w:color w:val="auto"/>
              </w:rPr>
            </w:pPr>
            <w:r>
              <w:rPr>
                <w:rFonts w:ascii="Times New Roman" w:cs="Times New Roman" w:eastAsia="Times New Roman" w:hAnsi="Times New Roman"/>
                <w:sz w:val="12"/>
                <w:szCs w:val="12"/>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4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Cost of goods sold (wholesale segment)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3"/>
              </w:rPr>
              <w:t>2, 106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2, 124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Wholesale segment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Retail segment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5,502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4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Corporate and Other</w:t>
            </w:r>
          </w:p>
        </w:tc>
        <w:tc>
          <w:tcPr>
            <w:tcW w:w="600" w:type="dxa"/>
            <w:vAlign w:val="bottom"/>
            <w:tcBorders>
              <w:bottom w:val="single" w:sz="8" w:color="201C20"/>
            </w:tcBorders>
          </w:tcPr>
          <w:p>
            <w:pPr>
              <w:spacing w:after="0"/>
              <w:rPr>
                <w:sz w:val="13"/>
                <w:szCs w:val="13"/>
                <w:color w:val="auto"/>
              </w:rPr>
            </w:pPr>
          </w:p>
        </w:tc>
        <w:tc>
          <w:tcPr>
            <w:tcW w:w="30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12"/>
                <w:szCs w:val="12"/>
                <w:color w:val="auto"/>
              </w:rPr>
              <w:t>2,644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2, 184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242020"/>
            </w:tcBorders>
          </w:tcPr>
          <w:p>
            <w:pPr>
              <w:spacing w:after="0"/>
              <w:rPr>
                <w:sz w:val="13"/>
                <w:szCs w:val="13"/>
                <w:color w:val="auto"/>
              </w:rPr>
            </w:pPr>
          </w:p>
        </w:tc>
        <w:tc>
          <w:tcPr>
            <w:tcW w:w="680" w:type="dxa"/>
            <w:vAlign w:val="bottom"/>
            <w:tcBorders>
              <w:bottom w:val="single" w:sz="8" w:color="242020"/>
            </w:tcBorders>
          </w:tcPr>
          <w:p>
            <w:pPr>
              <w:jc w:val="right"/>
              <w:spacing w:after="0"/>
              <w:rPr>
                <w:sz w:val="20"/>
                <w:szCs w:val="20"/>
                <w:color w:val="auto"/>
              </w:rPr>
            </w:pPr>
            <w:r>
              <w:rPr>
                <w:rFonts w:ascii="Times New Roman" w:cs="Times New Roman" w:eastAsia="Times New Roman" w:hAnsi="Times New Roman"/>
                <w:sz w:val="12"/>
                <w:szCs w:val="12"/>
                <w:color w:val="auto"/>
              </w:rPr>
              <w:t>1,895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included in selling, general and administrative expenses</w:t>
            </w:r>
          </w:p>
        </w:tc>
        <w:tc>
          <w:tcPr>
            <w:tcW w:w="600" w:type="dxa"/>
            <w:vAlign w:val="bottom"/>
            <w:tcBorders>
              <w:bottom w:val="single" w:sz="8" w:color="201C20"/>
            </w:tcBorders>
          </w:tcPr>
          <w:p>
            <w:pPr>
              <w:spacing w:after="0"/>
              <w:rPr>
                <w:sz w:val="12"/>
                <w:szCs w:val="12"/>
                <w:color w:val="auto"/>
              </w:rPr>
            </w:pPr>
          </w:p>
        </w:tc>
        <w:tc>
          <w:tcPr>
            <w:tcW w:w="30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12"/>
                <w:szCs w:val="12"/>
                <w:color w:val="auto"/>
              </w:rPr>
              <w:t>7,754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7,960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4020" w:type="dxa"/>
            <w:vAlign w:val="bottom"/>
            <w:gridSpan w:val="2"/>
            <w:vMerge w:val="restart"/>
          </w:tcPr>
          <w:p>
            <w:pPr>
              <w:ind w:left="120"/>
              <w:spacing w:after="0" w:line="137" w:lineRule="exact"/>
              <w:rPr>
                <w:sz w:val="20"/>
                <w:szCs w:val="20"/>
                <w:color w:val="auto"/>
              </w:rPr>
            </w:pPr>
            <w:r>
              <w:rPr>
                <w:rFonts w:ascii="Times New Roman" w:cs="Times New Roman" w:eastAsia="Times New Roman" w:hAnsi="Times New Roman"/>
                <w:sz w:val="12"/>
                <w:szCs w:val="12"/>
                <w:color w:val="auto"/>
              </w:rPr>
              <w:t>Total depreciation expense included in income from</w:t>
            </w: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40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3420" w:type="dxa"/>
            <w:vAlign w:val="bottom"/>
          </w:tcPr>
          <w:p>
            <w:pPr>
              <w:ind w:left="240"/>
              <w:spacing w:after="0" w:line="130" w:lineRule="exact"/>
              <w:rPr>
                <w:sz w:val="20"/>
                <w:szCs w:val="20"/>
                <w:color w:val="auto"/>
              </w:rPr>
            </w:pPr>
            <w:r>
              <w:rPr>
                <w:rFonts w:ascii="Times New Roman" w:cs="Times New Roman" w:eastAsia="Times New Roman" w:hAnsi="Times New Roman"/>
                <w:sz w:val="12"/>
                <w:szCs w:val="12"/>
                <w:color w:val="auto"/>
              </w:rPr>
              <w:t>operations</w:t>
            </w:r>
          </w:p>
        </w:tc>
        <w:tc>
          <w:tcPr>
            <w:tcW w:w="600" w:type="dxa"/>
            <w:vAlign w:val="bottom"/>
            <w:tcBorders>
              <w:bottom w:val="single" w:sz="8" w:color="242020"/>
            </w:tcBorders>
          </w:tcPr>
          <w:p>
            <w:pPr>
              <w:spacing w:after="0"/>
              <w:rPr>
                <w:sz w:val="12"/>
                <w:szCs w:val="12"/>
                <w:color w:val="auto"/>
              </w:rPr>
            </w:pPr>
          </w:p>
        </w:tc>
        <w:tc>
          <w:tcPr>
            <w:tcW w:w="300" w:type="dxa"/>
            <w:vAlign w:val="bottom"/>
            <w:tcBorders>
              <w:bottom w:val="single" w:sz="8" w:color="242020"/>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9,860</w:t>
            </w:r>
          </w:p>
        </w:tc>
        <w:tc>
          <w:tcPr>
            <w:tcW w:w="120" w:type="dxa"/>
            <w:vAlign w:val="bottom"/>
          </w:tcPr>
          <w:p>
            <w:pPr>
              <w:spacing w:after="0"/>
              <w:rPr>
                <w:sz w:val="12"/>
                <w:szCs w:val="12"/>
                <w:color w:val="auto"/>
              </w:rPr>
            </w:pPr>
          </w:p>
        </w:tc>
        <w:tc>
          <w:tcPr>
            <w:tcW w:w="920" w:type="dxa"/>
            <w:vAlign w:val="bottom"/>
            <w:tcBorders>
              <w:bottom w:val="single" w:sz="8" w:color="242020"/>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10,084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bottom w:val="single" w:sz="8" w:color="242020"/>
            </w:tcBorders>
            <w:gridSpan w:val="2"/>
          </w:tcPr>
          <w:p>
            <w:pPr>
              <w:jc w:val="right"/>
              <w:ind w:right="140"/>
              <w:spacing w:after="0" w:line="130" w:lineRule="exact"/>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242020"/>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9,986</w:t>
            </w:r>
          </w:p>
        </w:tc>
        <w:tc>
          <w:tcPr>
            <w:tcW w:w="20" w:type="dxa"/>
            <w:vAlign w:val="bottom"/>
            <w:tcBorders>
              <w:bottom w:val="single" w:sz="8" w:color="24202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044" w:lineRule="exact"/>
        <w:rPr>
          <w:sz w:val="20"/>
          <w:szCs w:val="20"/>
          <w:color w:val="auto"/>
        </w:rPr>
      </w:pPr>
    </w:p>
    <w:p>
      <w:pPr>
        <w:sectPr>
          <w:pgSz w:w="15840" w:h="12240" w:orient="landscape"/>
          <w:cols w:equalWidth="0" w:num="2">
            <w:col w:w="7200" w:space="720"/>
            <w:col w:w="6420"/>
          </w:cols>
          <w:pgMar w:left="740" w:top="1440" w:right="760" w:bottom="897"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31</w:t>
      </w:r>
      <w:r>
        <w:rPr>
          <w:sz w:val="20"/>
          <w:szCs w:val="20"/>
          <w:color w:val="auto"/>
        </w:rPr>
        <w:tab/>
      </w:r>
      <w:r>
        <w:rPr>
          <w:rFonts w:ascii="Times New Roman" w:cs="Times New Roman" w:eastAsia="Times New Roman" w:hAnsi="Times New Roman"/>
          <w:sz w:val="12"/>
          <w:szCs w:val="12"/>
          <w:color w:val="auto"/>
        </w:rPr>
        <w:t>32</w:t>
      </w:r>
    </w:p>
    <w:p>
      <w:pPr>
        <w:sectPr>
          <w:pgSz w:w="15840" w:h="12240" w:orient="landscape"/>
          <w:cols w:equalWidth="0" w:num="1">
            <w:col w:w="14340"/>
          </w:cols>
          <w:pgMar w:left="740" w:top="1440" w:right="760" w:bottom="897" w:gutter="0" w:footer="0" w:header="0"/>
          <w:type w:val="continuous"/>
        </w:sectPr>
      </w:pPr>
    </w:p>
    <w:bookmarkStart w:id="20" w:name="page21"/>
    <w:bookmarkEnd w:id="20"/>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thousands, except share and per share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 Goodwill and Other Intangible Assets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Goodwill and other intangible assets consisted of the following: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-5498465</wp:posOffset>
            </wp:positionH>
            <wp:positionV relativeFrom="paragraph">
              <wp:posOffset>-1018540</wp:posOffset>
            </wp:positionV>
            <wp:extent cx="10058400" cy="7772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(In thou sands, except share and per share data)</w:t>
      </w:r>
    </w:p>
    <w:p>
      <w:pPr>
        <w:spacing w:after="0" w:line="16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2"/>
          <w:szCs w:val="12"/>
          <w:color w:val="auto"/>
        </w:rPr>
        <w:t>a hypothetical market participant. As part of the goodwill impairment testing, we also consider our market capitalization in assessing the reasonableness of the combined fair va lues estimated for our reporting units.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Changes in the carrying amounts of goodwill by reportable segment were as follo ws:</w:t>
      </w:r>
    </w:p>
    <w:p>
      <w:pPr>
        <w:spacing w:after="0" w:line="129" w:lineRule="exact"/>
        <w:rPr>
          <w:sz w:val="20"/>
          <w:szCs w:val="20"/>
          <w:color w:val="auto"/>
        </w:rPr>
      </w:pPr>
    </w:p>
    <w:p>
      <w:pPr>
        <w:sectPr>
          <w:pgSz w:w="15840" w:h="12240" w:orient="landscape"/>
          <w:cols w:equalWidth="0" w:num="2">
            <w:col w:w="7200" w:space="720"/>
            <w:col w:w="6460"/>
          </w:cols>
          <w:pgMar w:left="740" w:top="1440" w:right="720" w:bottom="897" w:gutter="0" w:footer="0" w:header="0"/>
        </w:sectPr>
      </w:pPr>
    </w:p>
    <w:tbl>
      <w:tblPr>
        <w:tblLayout w:type="fixed"/>
        <w:tblInd w:w="440" w:type="dxa"/>
        <w:tblCellMar>
          <w:top w:w="0" w:type="dxa"/>
          <w:left w:w="0" w:type="dxa"/>
          <w:bottom w:w="0" w:type="dxa"/>
          <w:right w:w="0" w:type="dxa"/>
        </w:tblCellMar>
      </w:tblPr>
      <w:tr>
        <w:trPr>
          <w:trHeight w:val="138"/>
        </w:trPr>
        <w:tc>
          <w:tcPr>
            <w:tcW w:w="2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3C383C"/>
            </w:tcBorders>
          </w:tcPr>
          <w:p>
            <w:pPr>
              <w:spacing w:after="0"/>
              <w:rPr>
                <w:sz w:val="12"/>
                <w:szCs w:val="12"/>
                <w:color w:val="auto"/>
              </w:rPr>
            </w:pPr>
          </w:p>
        </w:tc>
        <w:tc>
          <w:tcPr>
            <w:tcW w:w="760" w:type="dxa"/>
            <w:vAlign w:val="bottom"/>
            <w:tcBorders>
              <w:bottom w:val="single" w:sz="8" w:color="3C383C"/>
            </w:tcBorders>
          </w:tcPr>
          <w:p>
            <w:pPr>
              <w:spacing w:after="0"/>
              <w:rPr>
                <w:sz w:val="12"/>
                <w:szCs w:val="12"/>
                <w:color w:val="auto"/>
              </w:rPr>
            </w:pPr>
          </w:p>
        </w:tc>
        <w:tc>
          <w:tcPr>
            <w:tcW w:w="20" w:type="dxa"/>
            <w:vAlign w:val="bottom"/>
            <w:tcBorders>
              <w:bottom w:val="single" w:sz="8" w:color="3C383C"/>
            </w:tcBorders>
          </w:tcPr>
          <w:p>
            <w:pPr>
              <w:spacing w:after="0"/>
              <w:rPr>
                <w:sz w:val="12"/>
                <w:szCs w:val="12"/>
                <w:color w:val="auto"/>
              </w:rPr>
            </w:pPr>
          </w:p>
        </w:tc>
        <w:tc>
          <w:tcPr>
            <w:tcW w:w="1080" w:type="dxa"/>
            <w:vAlign w:val="bottom"/>
            <w:tcBorders>
              <w:bottom w:val="single" w:sz="8" w:color="3C383C"/>
            </w:tcBorders>
            <w:gridSpan w:val="4"/>
          </w:tcPr>
          <w:p>
            <w:pPr>
              <w:jc w:val="center"/>
              <w:spacing w:after="0"/>
              <w:rPr>
                <w:sz w:val="20"/>
                <w:szCs w:val="20"/>
                <w:color w:val="auto"/>
              </w:rPr>
            </w:pPr>
            <w:r>
              <w:rPr>
                <w:rFonts w:ascii="Times New Roman" w:cs="Times New Roman" w:eastAsia="Times New Roman" w:hAnsi="Times New Roman"/>
                <w:sz w:val="12"/>
                <w:szCs w:val="12"/>
                <w:color w:val="auto"/>
              </w:rPr>
              <w:t>November 30, 2024</w:t>
            </w:r>
          </w:p>
        </w:tc>
        <w:tc>
          <w:tcPr>
            <w:tcW w:w="120" w:type="dxa"/>
            <w:vAlign w:val="bottom"/>
            <w:tcBorders>
              <w:bottom w:val="single" w:sz="8" w:color="3C383C"/>
            </w:tcBorders>
          </w:tcPr>
          <w:p>
            <w:pPr>
              <w:spacing w:after="0"/>
              <w:rPr>
                <w:sz w:val="12"/>
                <w:szCs w:val="12"/>
                <w:color w:val="auto"/>
              </w:rPr>
            </w:pPr>
          </w:p>
        </w:tc>
        <w:tc>
          <w:tcPr>
            <w:tcW w:w="800" w:type="dxa"/>
            <w:vAlign w:val="bottom"/>
            <w:tcBorders>
              <w:bottom w:val="single" w:sz="8" w:color="3C383C"/>
            </w:tcBorders>
          </w:tcPr>
          <w:p>
            <w:pPr>
              <w:spacing w:after="0"/>
              <w:rPr>
                <w:sz w:val="12"/>
                <w:szCs w:val="12"/>
                <w:color w:val="auto"/>
              </w:rPr>
            </w:pPr>
          </w:p>
        </w:tc>
      </w:tr>
      <w:tr>
        <w:trPr>
          <w:trHeight w:val="135"/>
        </w:trPr>
        <w:tc>
          <w:tcPr>
            <w:tcW w:w="2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0"/>
              <w:spacing w:after="0" w:line="136" w:lineRule="exact"/>
              <w:rPr>
                <w:sz w:val="20"/>
                <w:szCs w:val="20"/>
                <w:color w:val="auto"/>
              </w:rPr>
            </w:pPr>
            <w:r>
              <w:rPr>
                <w:rFonts w:ascii="Times New Roman" w:cs="Times New Roman" w:eastAsia="Times New Roman" w:hAnsi="Times New Roman"/>
                <w:sz w:val="12"/>
                <w:szCs w:val="12"/>
                <w:color w:val="auto"/>
              </w:rPr>
              <w:t>Gross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4"/>
        </w:trPr>
        <w:tc>
          <w:tcPr>
            <w:tcW w:w="2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rPr>
              <w:t>Carrying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rPr>
              <w:t>Accumulated</w:t>
            </w:r>
          </w:p>
        </w:tc>
        <w:tc>
          <w:tcPr>
            <w:tcW w:w="12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Intangible</w:t>
            </w:r>
          </w:p>
        </w:tc>
      </w:tr>
      <w:tr>
        <w:trPr>
          <w:trHeight w:val="147"/>
        </w:trPr>
        <w:tc>
          <w:tcPr>
            <w:tcW w:w="2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rPr>
              <w:t>Amount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rPr>
              <w:t>Amortization</w:t>
            </w:r>
          </w:p>
        </w:tc>
        <w:tc>
          <w:tcPr>
            <w:tcW w:w="120" w:type="dxa"/>
            <w:vAlign w:val="bottom"/>
          </w:tcPr>
          <w:p>
            <w:pPr>
              <w:spacing w:after="0"/>
              <w:rPr>
                <w:sz w:val="12"/>
                <w:szCs w:val="12"/>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Assets, Net</w:t>
            </w:r>
          </w:p>
        </w:tc>
      </w:tr>
      <w:tr>
        <w:trPr>
          <w:trHeight w:val="140"/>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Intangibles subject to amortization:</w:t>
            </w:r>
          </w:p>
        </w:tc>
        <w:tc>
          <w:tcPr>
            <w:tcW w:w="140" w:type="dxa"/>
            <w:vAlign w:val="bottom"/>
            <w:tcBorders>
              <w:top w:val="single" w:sz="8" w:color="242020"/>
            </w:tcBorders>
          </w:tcPr>
          <w:p>
            <w:pPr>
              <w:spacing w:after="0"/>
              <w:rPr>
                <w:sz w:val="12"/>
                <w:szCs w:val="12"/>
                <w:color w:val="auto"/>
              </w:rPr>
            </w:pPr>
          </w:p>
        </w:tc>
        <w:tc>
          <w:tcPr>
            <w:tcW w:w="760" w:type="dxa"/>
            <w:vAlign w:val="bottom"/>
            <w:tcBorders>
              <w:top w:val="single" w:sz="8" w:color="242020"/>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242020"/>
            </w:tcBorders>
          </w:tcPr>
          <w:p>
            <w:pPr>
              <w:spacing w:after="0"/>
              <w:rPr>
                <w:sz w:val="12"/>
                <w:szCs w:val="12"/>
                <w:color w:val="auto"/>
              </w:rPr>
            </w:pPr>
          </w:p>
        </w:tc>
        <w:tc>
          <w:tcPr>
            <w:tcW w:w="840" w:type="dxa"/>
            <w:vAlign w:val="bottom"/>
            <w:tcBorders>
              <w:top w:val="single" w:sz="8" w:color="242020"/>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5"/>
        </w:trPr>
        <w:tc>
          <w:tcPr>
            <w:tcW w:w="2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Customer relation ships</w:t>
            </w:r>
          </w:p>
        </w:tc>
        <w:tc>
          <w:tcPr>
            <w:tcW w:w="220" w:type="dxa"/>
            <w:vAlign w:val="bottom"/>
            <w:tcBorders>
              <w:bottom w:val="single" w:sz="8" w:color="3C383C"/>
            </w:tcBorders>
          </w:tcPr>
          <w:p>
            <w:pPr>
              <w:spacing w:after="0"/>
              <w:rPr>
                <w:sz w:val="12"/>
                <w:szCs w:val="12"/>
                <w:color w:val="auto"/>
              </w:rPr>
            </w:pPr>
          </w:p>
        </w:tc>
        <w:tc>
          <w:tcPr>
            <w:tcW w:w="140" w:type="dxa"/>
            <w:vAlign w:val="bottom"/>
            <w:tcBorders>
              <w:bottom w:val="single" w:sz="8" w:color="3C383C"/>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3C383C"/>
            </w:tcBorders>
          </w:tcPr>
          <w:p>
            <w:pPr>
              <w:jc w:val="right"/>
              <w:spacing w:after="0"/>
              <w:rPr>
                <w:sz w:val="20"/>
                <w:szCs w:val="20"/>
                <w:color w:val="auto"/>
              </w:rPr>
            </w:pPr>
            <w:r>
              <w:rPr>
                <w:rFonts w:ascii="Times New Roman" w:cs="Times New Roman" w:eastAsia="Times New Roman" w:hAnsi="Times New Roman"/>
                <w:sz w:val="12"/>
                <w:szCs w:val="12"/>
                <w:color w:val="auto"/>
              </w:rPr>
              <w:t>512</w:t>
            </w:r>
          </w:p>
        </w:tc>
        <w:tc>
          <w:tcPr>
            <w:tcW w:w="20" w:type="dxa"/>
            <w:vAlign w:val="bottom"/>
            <w:tcBorders>
              <w:bottom w:val="single" w:sz="8" w:color="3C383C"/>
            </w:tcBorders>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(392)</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r>
      <w:tr>
        <w:trPr>
          <w:trHeight w:val="426"/>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Intangibles not subj ect to amorti zation:</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49"/>
        </w:trPr>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Trade name</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6,848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Balance as of November 26, 2022</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Foreign currency translation adjustment</w:t>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Full impairment ofNoa Home goodwill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Balance as ofNovember 25 , 2023</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 xml:space="preserve">No changes </w:t>
      </w:r>
      <w:r>
        <w:rPr>
          <w:rFonts w:ascii="Arial" w:cs="Arial" w:eastAsia="Arial" w:hAnsi="Arial"/>
          <w:sz w:val="12"/>
          <w:szCs w:val="12"/>
          <w:color w:val="auto"/>
        </w:rPr>
        <w:t>in</w:t>
      </w:r>
      <w:r>
        <w:rPr>
          <w:rFonts w:ascii="Times New Roman" w:cs="Times New Roman" w:eastAsia="Times New Roman" w:hAnsi="Times New Roman"/>
          <w:sz w:val="12"/>
          <w:szCs w:val="12"/>
          <w:color w:val="auto"/>
        </w:rPr>
        <w:t xml:space="preserve"> fiscal 2024</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Corporate</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2"/>
        </w:trPr>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Wholesale</w:t>
            </w:r>
          </w:p>
        </w:tc>
        <w:tc>
          <w:tcPr>
            <w:tcW w:w="6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Retail</w:t>
            </w:r>
          </w:p>
        </w:tc>
        <w:tc>
          <w:tcPr>
            <w:tcW w:w="14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and Other</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Total</w:t>
            </w:r>
          </w:p>
        </w:tc>
      </w:tr>
      <w:tr>
        <w:trPr>
          <w:trHeight w:val="289"/>
        </w:trPr>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7,217</w:t>
            </w:r>
          </w:p>
        </w:tc>
        <w:tc>
          <w:tcPr>
            <w:tcW w:w="140" w:type="dxa"/>
            <w:vAlign w:val="bottom"/>
          </w:tcPr>
          <w:p>
            <w:pPr>
              <w:spacing w:after="0"/>
              <w:rPr>
                <w:sz w:val="24"/>
                <w:szCs w:val="24"/>
                <w:color w:val="auto"/>
              </w:rPr>
            </w:pPr>
          </w:p>
        </w:tc>
        <w:tc>
          <w:tcPr>
            <w:tcW w:w="660" w:type="dxa"/>
            <w:vAlign w:val="bottom"/>
            <w:tcBorders>
              <w:top w:val="single" w:sz="8" w:color="585454"/>
            </w:tcBorders>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5,554</w:t>
            </w:r>
          </w:p>
        </w:tc>
        <w:tc>
          <w:tcPr>
            <w:tcW w:w="120" w:type="dxa"/>
            <w:vAlign w:val="bottom"/>
          </w:tcPr>
          <w:p>
            <w:pPr>
              <w:spacing w:after="0"/>
              <w:rPr>
                <w:sz w:val="24"/>
                <w:szCs w:val="24"/>
                <w:color w:val="auto"/>
              </w:rPr>
            </w:pPr>
          </w:p>
        </w:tc>
        <w:tc>
          <w:tcPr>
            <w:tcW w:w="680" w:type="dxa"/>
            <w:vAlign w:val="bottom"/>
            <w:tcBorders>
              <w:top w:val="single" w:sz="8" w:color="585458"/>
            </w:tcBorders>
          </w:tcPr>
          <w:p>
            <w:pPr>
              <w:jc w:val="right"/>
              <w:spacing w:after="0"/>
              <w:rPr>
                <w:sz w:val="20"/>
                <w:szCs w:val="20"/>
                <w:color w:val="auto"/>
              </w:rPr>
            </w:pPr>
            <w:r>
              <w:rPr>
                <w:rFonts w:ascii="Times New Roman" w:cs="Times New Roman" w:eastAsia="Times New Roman" w:hAnsi="Times New Roman"/>
                <w:sz w:val="12"/>
                <w:szCs w:val="12"/>
                <w:color w:val="auto"/>
              </w:rPr>
              <w:t>12,771</w:t>
            </w:r>
          </w:p>
        </w:tc>
        <w:tc>
          <w:tcPr>
            <w:tcW w:w="40" w:type="dxa"/>
            <w:vAlign w:val="bottom"/>
          </w:tcPr>
          <w:p>
            <w:pPr>
              <w:spacing w:after="0"/>
              <w:rPr>
                <w:sz w:val="24"/>
                <w:szCs w:val="24"/>
                <w:color w:val="auto"/>
              </w:rPr>
            </w:pPr>
          </w:p>
        </w:tc>
      </w:tr>
      <w:tr>
        <w:trPr>
          <w:trHeight w:val="149"/>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(145)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(145)</w:t>
            </w:r>
          </w:p>
        </w:tc>
      </w:tr>
      <w:tr>
        <w:trPr>
          <w:trHeight w:val="145"/>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(5,409)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(5,409)</w:t>
            </w:r>
          </w:p>
        </w:tc>
      </w:tr>
      <w:tr>
        <w:trPr>
          <w:trHeight w:val="291"/>
        </w:trPr>
        <w:tc>
          <w:tcPr>
            <w:tcW w:w="680" w:type="dxa"/>
            <w:vAlign w:val="bottom"/>
            <w:tcBorders>
              <w:top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7,217</w:t>
            </w:r>
          </w:p>
        </w:tc>
        <w:tc>
          <w:tcPr>
            <w:tcW w:w="140" w:type="dxa"/>
            <w:vAlign w:val="bottom"/>
          </w:tcPr>
          <w:p>
            <w:pPr>
              <w:spacing w:after="0"/>
              <w:rPr>
                <w:sz w:val="24"/>
                <w:szCs w:val="24"/>
                <w:color w:val="auto"/>
              </w:rPr>
            </w:pPr>
          </w:p>
        </w:tc>
        <w:tc>
          <w:tcPr>
            <w:tcW w:w="660" w:type="dxa"/>
            <w:vAlign w:val="bottom"/>
            <w:tcBorders>
              <w:top w:val="single" w:sz="8" w:color="585454"/>
            </w:tcBorders>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top w:val="single" w:sz="8" w:color="585458"/>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585458"/>
            </w:tcBorders>
          </w:tcPr>
          <w:p>
            <w:pPr>
              <w:jc w:val="right"/>
              <w:spacing w:after="0"/>
              <w:rPr>
                <w:sz w:val="20"/>
                <w:szCs w:val="20"/>
                <w:color w:val="auto"/>
              </w:rPr>
            </w:pPr>
            <w:r>
              <w:rPr>
                <w:rFonts w:ascii="Times New Roman" w:cs="Times New Roman" w:eastAsia="Times New Roman" w:hAnsi="Times New Roman"/>
                <w:sz w:val="12"/>
                <w:szCs w:val="12"/>
                <w:color w:val="auto"/>
              </w:rPr>
              <w:t>7,217</w:t>
            </w:r>
          </w:p>
        </w:tc>
        <w:tc>
          <w:tcPr>
            <w:tcW w:w="40" w:type="dxa"/>
            <w:vAlign w:val="bottom"/>
          </w:tcPr>
          <w:p>
            <w:pPr>
              <w:spacing w:after="0"/>
              <w:rPr>
                <w:sz w:val="24"/>
                <w:szCs w:val="24"/>
                <w:color w:val="auto"/>
              </w:rPr>
            </w:pPr>
          </w:p>
        </w:tc>
      </w:tr>
    </w:tbl>
    <w:p>
      <w:pPr>
        <w:spacing w:after="0" w:line="274" w:lineRule="exact"/>
        <w:rPr>
          <w:sz w:val="20"/>
          <w:szCs w:val="20"/>
          <w:color w:val="auto"/>
        </w:rPr>
      </w:pPr>
    </w:p>
    <w:p>
      <w:pPr>
        <w:sectPr>
          <w:pgSz w:w="15840" w:h="12240" w:orient="landscape"/>
          <w:cols w:equalWidth="0" w:num="3">
            <w:col w:w="7660" w:space="720"/>
            <w:col w:w="2160" w:space="220"/>
            <w:col w:w="3620"/>
          </w:cols>
          <w:pgMar w:left="740" w:top="1440" w:right="720" w:bottom="897" w:gutter="0" w:footer="0" w:header="0"/>
          <w:type w:val="continuous"/>
        </w:sectPr>
      </w:pPr>
    </w:p>
    <w:tbl>
      <w:tblPr>
        <w:tblLayout w:type="fixed"/>
        <w:tblInd w:w="440" w:type="dxa"/>
        <w:tblCellMar>
          <w:top w:w="0" w:type="dxa"/>
          <w:left w:w="0" w:type="dxa"/>
          <w:bottom w:w="0" w:type="dxa"/>
          <w:right w:w="0" w:type="dxa"/>
        </w:tblCellMar>
      </w:tblPr>
      <w:tr>
        <w:trPr>
          <w:trHeight w:val="139"/>
        </w:trPr>
        <w:tc>
          <w:tcPr>
            <w:tcW w:w="33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Goodwill</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242020"/>
            </w:tcBorders>
          </w:tcPr>
          <w:p>
            <w:pPr>
              <w:spacing w:after="0"/>
              <w:rPr>
                <w:sz w:val="12"/>
                <w:szCs w:val="12"/>
                <w:color w:val="auto"/>
              </w:rPr>
            </w:pPr>
          </w:p>
        </w:tc>
        <w:tc>
          <w:tcPr>
            <w:tcW w:w="780" w:type="dxa"/>
            <w:vAlign w:val="bottom"/>
            <w:tcBorders>
              <w:bottom w:val="single" w:sz="8" w:color="242020"/>
            </w:tcBorders>
          </w:tcPr>
          <w:p>
            <w:pPr>
              <w:jc w:val="right"/>
              <w:spacing w:after="0"/>
              <w:rPr>
                <w:sz w:val="20"/>
                <w:szCs w:val="20"/>
                <w:color w:val="auto"/>
              </w:rPr>
            </w:pPr>
            <w:r>
              <w:rPr>
                <w:rFonts w:ascii="Times New Roman" w:cs="Times New Roman" w:eastAsia="Times New Roman" w:hAnsi="Times New Roman"/>
                <w:sz w:val="12"/>
                <w:szCs w:val="12"/>
                <w:color w:val="auto"/>
              </w:rPr>
              <w:t>7,217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3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goodwill and other intangible assets</w:t>
            </w:r>
          </w:p>
        </w:tc>
        <w:tc>
          <w:tcPr>
            <w:tcW w:w="200" w:type="dxa"/>
            <w:vAlign w:val="bottom"/>
          </w:tcPr>
          <w:p>
            <w:pPr>
              <w:spacing w:after="0"/>
              <w:rPr>
                <w:sz w:val="23"/>
                <w:szCs w:val="23"/>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14, 185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3"/>
        </w:trPr>
        <w:tc>
          <w:tcPr>
            <w:tcW w:w="2600" w:type="dxa"/>
            <w:vAlign w:val="bottom"/>
          </w:tcPr>
          <w:p>
            <w:pPr>
              <w:spacing w:after="0"/>
              <w:rPr>
                <w:sz w:val="24"/>
                <w:szCs w:val="24"/>
                <w:color w:val="auto"/>
              </w:rPr>
            </w:pPr>
          </w:p>
        </w:tc>
        <w:tc>
          <w:tcPr>
            <w:tcW w:w="720" w:type="dxa"/>
            <w:vAlign w:val="bottom"/>
            <w:tcBorders>
              <w:bottom w:val="single" w:sz="8" w:color="201C20"/>
            </w:tcBorders>
          </w:tcPr>
          <w:p>
            <w:pPr>
              <w:spacing w:after="0"/>
              <w:rPr>
                <w:sz w:val="24"/>
                <w:szCs w:val="24"/>
                <w:color w:val="auto"/>
              </w:rPr>
            </w:pPr>
          </w:p>
        </w:tc>
        <w:tc>
          <w:tcPr>
            <w:tcW w:w="200" w:type="dxa"/>
            <w:vAlign w:val="bottom"/>
            <w:tcBorders>
              <w:bottom w:val="single" w:sz="8" w:color="201C20"/>
            </w:tcBorders>
          </w:tcPr>
          <w:p>
            <w:pPr>
              <w:spacing w:after="0"/>
              <w:rPr>
                <w:sz w:val="24"/>
                <w:szCs w:val="24"/>
                <w:color w:val="auto"/>
              </w:rPr>
            </w:pPr>
          </w:p>
        </w:tc>
        <w:tc>
          <w:tcPr>
            <w:tcW w:w="1220" w:type="dxa"/>
            <w:vAlign w:val="bottom"/>
            <w:tcBorders>
              <w:bottom w:val="single" w:sz="8" w:color="201C20"/>
            </w:tcBorders>
            <w:gridSpan w:val="3"/>
          </w:tcPr>
          <w:p>
            <w:pPr>
              <w:jc w:val="center"/>
              <w:ind w:right="140"/>
              <w:spacing w:after="0"/>
              <w:rPr>
                <w:sz w:val="20"/>
                <w:szCs w:val="20"/>
                <w:color w:val="auto"/>
              </w:rPr>
            </w:pPr>
            <w:r>
              <w:rPr>
                <w:rFonts w:ascii="Times New Roman" w:cs="Times New Roman" w:eastAsia="Times New Roman" w:hAnsi="Times New Roman"/>
                <w:sz w:val="12"/>
                <w:szCs w:val="12"/>
                <w:color w:val="auto"/>
              </w:rPr>
              <w:t>November 25, 2023</w:t>
            </w:r>
          </w:p>
        </w:tc>
        <w:tc>
          <w:tcPr>
            <w:tcW w:w="780" w:type="dxa"/>
            <w:vAlign w:val="bottom"/>
            <w:tcBorders>
              <w:bottom w:val="single" w:sz="8" w:color="201C2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600" w:type="dxa"/>
            <w:vAlign w:val="bottom"/>
          </w:tcPr>
          <w:p>
            <w:pPr>
              <w:spacing w:after="0"/>
              <w:rPr>
                <w:sz w:val="11"/>
                <w:szCs w:val="11"/>
                <w:color w:val="auto"/>
              </w:rPr>
            </w:pPr>
          </w:p>
        </w:tc>
        <w:tc>
          <w:tcPr>
            <w:tcW w:w="720" w:type="dxa"/>
            <w:vAlign w:val="bottom"/>
          </w:tcPr>
          <w:p>
            <w:pPr>
              <w:jc w:val="center"/>
              <w:ind w:left="140"/>
              <w:spacing w:after="0" w:line="137" w:lineRule="exact"/>
              <w:rPr>
                <w:sz w:val="20"/>
                <w:szCs w:val="20"/>
                <w:color w:val="auto"/>
              </w:rPr>
            </w:pPr>
            <w:r>
              <w:rPr>
                <w:rFonts w:ascii="Times New Roman" w:cs="Times New Roman" w:eastAsia="Times New Roman" w:hAnsi="Times New Roman"/>
                <w:sz w:val="12"/>
                <w:szCs w:val="12"/>
                <w:color w:val="auto"/>
              </w:rPr>
              <w:t>Gross</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72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rPr>
              <w:t>Carrying</w:t>
            </w:r>
          </w:p>
        </w:tc>
        <w:tc>
          <w:tcPr>
            <w:tcW w:w="200" w:type="dxa"/>
            <w:vAlign w:val="bottom"/>
          </w:tcPr>
          <w:p>
            <w:pPr>
              <w:spacing w:after="0"/>
              <w:rPr>
                <w:sz w:val="12"/>
                <w:szCs w:val="12"/>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color w:val="auto"/>
              </w:rPr>
              <w:t>Accumulated</w:t>
            </w: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Intangible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720" w:type="dxa"/>
            <w:vAlign w:val="bottom"/>
          </w:tcPr>
          <w:p>
            <w:pPr>
              <w:jc w:val="center"/>
              <w:ind w:left="140"/>
              <w:spacing w:after="0"/>
              <w:rPr>
                <w:sz w:val="20"/>
                <w:szCs w:val="20"/>
                <w:color w:val="auto"/>
              </w:rPr>
            </w:pPr>
            <w:r>
              <w:rPr>
                <w:rFonts w:ascii="Times New Roman" w:cs="Times New Roman" w:eastAsia="Times New Roman" w:hAnsi="Times New Roman"/>
                <w:sz w:val="12"/>
                <w:szCs w:val="12"/>
                <w:color w:val="auto"/>
              </w:rPr>
              <w:t>Amount</w:t>
            </w:r>
          </w:p>
        </w:tc>
        <w:tc>
          <w:tcPr>
            <w:tcW w:w="200" w:type="dxa"/>
            <w:vAlign w:val="bottom"/>
          </w:tcPr>
          <w:p>
            <w:pPr>
              <w:spacing w:after="0"/>
              <w:rPr>
                <w:sz w:val="12"/>
                <w:szCs w:val="12"/>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color w:val="auto"/>
              </w:rPr>
              <w:t>Amortization</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Assets, Net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Intangibles subject to amortization:</w:t>
            </w:r>
          </w:p>
        </w:tc>
        <w:tc>
          <w:tcPr>
            <w:tcW w:w="200" w:type="dxa"/>
            <w:vAlign w:val="bottom"/>
          </w:tcPr>
          <w:p>
            <w:pPr>
              <w:spacing w:after="0"/>
              <w:rPr>
                <w:sz w:val="13"/>
                <w:szCs w:val="13"/>
                <w:color w:val="auto"/>
              </w:rPr>
            </w:pP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 xml:space="preserve">,llli) </w:t>
            </w:r>
            <w:r>
              <w:rPr>
                <w:rFonts w:ascii="Times New Roman" w:cs="Times New Roman" w:eastAsia="Times New Roman" w:hAnsi="Times New Roman"/>
                <w:sz w:val="12"/>
                <w:szCs w:val="12"/>
                <w:color w:val="auto"/>
              </w:rPr>
              <w:t>$</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Customer relation ships</w:t>
            </w:r>
          </w:p>
        </w:tc>
        <w:tc>
          <w:tcPr>
            <w:tcW w:w="720" w:type="dxa"/>
            <w:vAlign w:val="bottom"/>
            <w:tcBorders>
              <w:bottom w:val="single" w:sz="8" w:color="242020"/>
            </w:tcBorders>
          </w:tcPr>
          <w:p>
            <w:pPr>
              <w:spacing w:after="0"/>
              <w:rPr>
                <w:sz w:val="13"/>
                <w:szCs w:val="13"/>
                <w:color w:val="auto"/>
              </w:rPr>
            </w:pPr>
          </w:p>
        </w:tc>
        <w:tc>
          <w:tcPr>
            <w:tcW w:w="200" w:type="dxa"/>
            <w:vAlign w:val="bottom"/>
            <w:tcBorders>
              <w:bottom w:val="single" w:sz="8" w:color="242020"/>
            </w:tcBorders>
          </w:tcPr>
          <w:p>
            <w:pPr>
              <w:jc w:val="right"/>
              <w:spacing w:after="0"/>
              <w:rPr>
                <w:sz w:val="20"/>
                <w:szCs w:val="20"/>
                <w:color w:val="auto"/>
              </w:rPr>
            </w:pPr>
            <w:r>
              <w:rPr>
                <w:rFonts w:ascii="Times New Roman" w:cs="Times New Roman" w:eastAsia="Times New Roman" w:hAnsi="Times New Roman"/>
                <w:sz w:val="12"/>
                <w:szCs w:val="12"/>
                <w:color w:val="auto"/>
                <w:w w:val="88"/>
              </w:rPr>
              <w:t>512</w:t>
            </w:r>
          </w:p>
        </w:tc>
        <w:tc>
          <w:tcPr>
            <w:tcW w:w="1220" w:type="dxa"/>
            <w:vAlign w:val="bottom"/>
            <w:gridSpan w:val="3"/>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3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Intangibles not subj ect to amorti zation:</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3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Trade names</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3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Goodwill</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242020"/>
            </w:tcBorders>
          </w:tcPr>
          <w:p>
            <w:pPr>
              <w:spacing w:after="0"/>
              <w:rPr>
                <w:sz w:val="12"/>
                <w:szCs w:val="12"/>
                <w:color w:val="auto"/>
              </w:rPr>
            </w:pPr>
          </w:p>
        </w:tc>
        <w:tc>
          <w:tcPr>
            <w:tcW w:w="780" w:type="dxa"/>
            <w:vAlign w:val="bottom"/>
            <w:tcBorders>
              <w:bottom w:val="single" w:sz="8" w:color="242020"/>
            </w:tcBorders>
          </w:tcPr>
          <w:p>
            <w:pPr>
              <w:jc w:val="right"/>
              <w:spacing w:after="0"/>
              <w:rPr>
                <w:sz w:val="20"/>
                <w:szCs w:val="20"/>
                <w:color w:val="auto"/>
              </w:rPr>
            </w:pPr>
            <w:r>
              <w:rPr>
                <w:rFonts w:ascii="Times New Roman" w:cs="Times New Roman" w:eastAsia="Times New Roman" w:hAnsi="Times New Roman"/>
                <w:sz w:val="12"/>
                <w:szCs w:val="12"/>
                <w:color w:val="auto"/>
              </w:rPr>
              <w:t>7,217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3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goodwill and other intangible assets</w:t>
            </w: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Borders>
              <w:bottom w:val="single" w:sz="8" w:color="242020"/>
            </w:tcBorders>
          </w:tcPr>
          <w:p>
            <w:pPr>
              <w:spacing w:after="0"/>
              <w:rPr>
                <w:sz w:val="23"/>
                <w:szCs w:val="23"/>
                <w:color w:val="auto"/>
              </w:rPr>
            </w:pPr>
          </w:p>
        </w:tc>
        <w:tc>
          <w:tcPr>
            <w:tcW w:w="120" w:type="dxa"/>
            <w:vAlign w:val="bottom"/>
            <w:tcBorders>
              <w:bottom w:val="single" w:sz="8" w:color="242020"/>
            </w:tcBorders>
          </w:tcPr>
          <w:p>
            <w:pPr>
              <w:spacing w:after="0"/>
              <w:rPr>
                <w:sz w:val="23"/>
                <w:szCs w:val="23"/>
                <w:color w:val="auto"/>
              </w:rPr>
            </w:pPr>
          </w:p>
        </w:tc>
        <w:tc>
          <w:tcPr>
            <w:tcW w:w="780" w:type="dxa"/>
            <w:vAlign w:val="bottom"/>
            <w:tcBorders>
              <w:bottom w:val="single" w:sz="8" w:color="242020"/>
            </w:tcBorders>
          </w:tcPr>
          <w:p>
            <w:pPr>
              <w:jc w:val="right"/>
              <w:spacing w:after="0"/>
              <w:rPr>
                <w:sz w:val="20"/>
                <w:szCs w:val="20"/>
                <w:color w:val="auto"/>
              </w:rPr>
            </w:pPr>
            <w:r>
              <w:rPr>
                <w:rFonts w:ascii="Times New Roman" w:cs="Times New Roman" w:eastAsia="Times New Roman" w:hAnsi="Times New Roman"/>
                <w:sz w:val="12"/>
                <w:szCs w:val="12"/>
                <w:color w:val="auto"/>
              </w:rPr>
              <w:t>16,067</w:t>
            </w:r>
          </w:p>
        </w:tc>
        <w:tc>
          <w:tcPr>
            <w:tcW w:w="20" w:type="dxa"/>
            <w:vAlign w:val="bottom"/>
            <w:tcBorders>
              <w:bottom w:val="single" w:sz="8" w:color="24202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right="760" w:firstLine="6"/>
        <w:spacing w:after="0" w:line="257" w:lineRule="auto"/>
        <w:rPr>
          <w:sz w:val="20"/>
          <w:szCs w:val="20"/>
          <w:color w:val="auto"/>
        </w:rPr>
      </w:pPr>
      <w:r>
        <w:rPr>
          <w:rFonts w:ascii="Times New Roman" w:cs="Times New Roman" w:eastAsia="Times New Roman" w:hAnsi="Times New Roman"/>
          <w:sz w:val="12"/>
          <w:szCs w:val="12"/>
          <w:color w:val="auto"/>
        </w:rPr>
        <w:t>We performed th e annual test for impairment of th e carrying value of our goodwill as of the beginnin g of th e fourth quarter offiscal2024. Based on th e initial qualitative analysis performed under ASC Topic 350, we concluded that is was not more likely than not that the carrying va lue of our upholstery reporting unit within our wholesale segment exceeded its fair value. We performed the annual test for impairment of the carrying value of our goodwill as of the beginning of the fourth quarter offiscal2023. Based on the initial qualitative analysis performed under ASC Topic 350, we concluded that it was not more likely than not that the carrying value of our upholstery reporting unit within our wholesale segment exceeded its fair value. However, due to the actual and expected future underperformance of our Noa !-lome reporting unit relative to management's original expectations, we performed a strategic revi ew of the operations as of the beginning of the fourth quarter and concluded that Noa Home should ex it th e Australian mark et and focu s more on th e North American mark et. Coupled with the financial underperformance and th e ex it of Australia, we performed a quantitative test of the carrying value ofthe goodwill recognized as part ofthe 2022 acquisition ofNoa !-lome and concluded that it was necessary to full y impair the carrying value of the Noa !-lome goodwill, resulting in a non-cash impairment charge of$5,409 in fiscal2023.</w:t>
      </w:r>
    </w:p>
    <w:p>
      <w:pPr>
        <w:spacing w:after="0" w:line="147" w:lineRule="exact"/>
        <w:rPr>
          <w:sz w:val="20"/>
          <w:szCs w:val="20"/>
          <w:color w:val="auto"/>
        </w:rPr>
      </w:pPr>
    </w:p>
    <w:p>
      <w:pPr>
        <w:jc w:val="both"/>
        <w:ind w:right="760"/>
        <w:spacing w:after="0" w:line="257" w:lineRule="auto"/>
        <w:rPr>
          <w:sz w:val="20"/>
          <w:szCs w:val="20"/>
          <w:color w:val="auto"/>
        </w:rPr>
      </w:pPr>
      <w:r>
        <w:rPr>
          <w:rFonts w:ascii="Times New Roman" w:cs="Times New Roman" w:eastAsia="Times New Roman" w:hAnsi="Times New Roman"/>
          <w:sz w:val="12"/>
          <w:szCs w:val="12"/>
          <w:color w:val="auto"/>
        </w:rPr>
        <w:t xml:space="preserve">The determination of the fair value of our reporting units is based on a combination of a market approach, that considers benchmark company market multipl es and comparable tran saction s occurring within th e last two years and an incom e approach, that utilizes di scounted cash flows for each reporting unit and other Level 3 inputs as specified in the fair value hierarchy in ASC Topic 820, </w:t>
      </w:r>
      <w:r>
        <w:rPr>
          <w:rFonts w:ascii="Times New Roman" w:cs="Times New Roman" w:eastAsia="Times New Roman" w:hAnsi="Times New Roman"/>
          <w:sz w:val="12"/>
          <w:szCs w:val="12"/>
          <w:i w:val="1"/>
          <w:iCs w:val="1"/>
          <w:color w:val="auto"/>
        </w:rPr>
        <w:t>Fair Value Measurements and Disclosure</w:t>
      </w:r>
      <w:r>
        <w:rPr>
          <w:rFonts w:ascii="Times New Roman" w:cs="Times New Roman" w:eastAsia="Times New Roman" w:hAnsi="Times New Roman"/>
          <w:sz w:val="12"/>
          <w:szCs w:val="12"/>
          <w:color w:val="auto"/>
        </w:rPr>
        <w:t xml:space="preserve"> (see Note 4) The valuation of the Noa !-lome reporting unit was primarily based on th e market approach due to significant uncertainty in th e future cash flows ofNoa !-lom e. Under the income approach, we determine fair value based on th e present value of the most recent cash flow projections for each reporting unit as of the date of th e analysis and calculate a terminal va lu e utili zing a terminal growth rate. The significant assumptions under this approach include, among others: income projections, which are dependent on future sa les, new product introductions, customer behavior, competitor pricing, operating expenses, th e di scount rate, and the terminal growth rate. Th e cash flows used to determine fair value are dependent on a number of significant managem ent assumptions such as our expectations of future performance and the expected future economic environment, which are partly based upon our historical experience. Our estimates are subject to change given the inherent uncertainty in predicting future results . Additionally, the discount rate and the terminal growth rate are based on our judgment of the rates that would be utili zed by</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460" w:type="dxa"/>
        <w:tblCellMar>
          <w:top w:w="0" w:type="dxa"/>
          <w:left w:w="0" w:type="dxa"/>
          <w:bottom w:w="0" w:type="dxa"/>
          <w:right w:w="0" w:type="dxa"/>
        </w:tblCellMar>
      </w:tblPr>
      <w:tr>
        <w:trPr>
          <w:trHeight w:val="145"/>
        </w:trPr>
        <w:tc>
          <w:tcPr>
            <w:tcW w:w="236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November 30, 2024</w:t>
            </w:r>
          </w:p>
        </w:tc>
        <w:tc>
          <w:tcPr>
            <w:tcW w:w="700" w:type="dxa"/>
            <w:vAlign w:val="bottom"/>
            <w:tcBorders>
              <w:bottom w:val="single" w:sz="8" w:color="4C4848"/>
            </w:tcBorders>
          </w:tcPr>
          <w:p>
            <w:pPr>
              <w:jc w:val="right"/>
              <w:spacing w:after="0"/>
              <w:rPr>
                <w:sz w:val="20"/>
                <w:szCs w:val="20"/>
                <w:color w:val="auto"/>
              </w:rPr>
            </w:pPr>
            <w:r>
              <w:rPr>
                <w:rFonts w:ascii="Times New Roman" w:cs="Times New Roman" w:eastAsia="Times New Roman" w:hAnsi="Times New Roman"/>
                <w:sz w:val="12"/>
                <w:szCs w:val="12"/>
                <w:color w:val="auto"/>
              </w:rPr>
              <w:t>7,217</w:t>
            </w:r>
          </w:p>
        </w:tc>
        <w:tc>
          <w:tcPr>
            <w:tcW w:w="100" w:type="dxa"/>
            <w:vAlign w:val="bottom"/>
          </w:tcPr>
          <w:p>
            <w:pPr>
              <w:spacing w:after="0"/>
              <w:rPr>
                <w:sz w:val="12"/>
                <w:szCs w:val="12"/>
                <w:color w:val="auto"/>
              </w:rPr>
            </w:pPr>
          </w:p>
        </w:tc>
        <w:tc>
          <w:tcPr>
            <w:tcW w:w="720" w:type="dxa"/>
            <w:vAlign w:val="bottom"/>
            <w:tcBorders>
              <w:bottom w:val="single" w:sz="8" w:color="484848"/>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484848"/>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4C4848"/>
            </w:tcBorders>
          </w:tcPr>
          <w:p>
            <w:pPr>
              <w:jc w:val="right"/>
              <w:spacing w:after="0"/>
              <w:rPr>
                <w:sz w:val="20"/>
                <w:szCs w:val="20"/>
                <w:color w:val="auto"/>
              </w:rPr>
            </w:pPr>
            <w:r>
              <w:rPr>
                <w:rFonts w:ascii="Times New Roman" w:cs="Times New Roman" w:eastAsia="Times New Roman" w:hAnsi="Times New Roman"/>
                <w:sz w:val="12"/>
                <w:szCs w:val="12"/>
                <w:color w:val="auto"/>
              </w:rPr>
              <w:t>7,217</w:t>
            </w:r>
          </w:p>
        </w:tc>
      </w:tr>
    </w:tbl>
    <w:p>
      <w:pPr>
        <w:spacing w:after="0" w:line="16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2"/>
          <w:szCs w:val="12"/>
          <w:color w:val="auto"/>
        </w:rPr>
        <w:t>Accumulated impairment losses were $9,306, $9,306 and $3 ,897 at November 30, 2024, November 25, 2023 and November 26, 2022, respecti vely.</w:t>
      </w:r>
    </w:p>
    <w:p>
      <w:pPr>
        <w:spacing w:after="0" w:line="157"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2"/>
          <w:szCs w:val="12"/>
          <w:color w:val="auto"/>
        </w:rPr>
        <w:t>The weighted average useful lives of our finite-li ved intangible assets and remaining amortization periods as of November 30, 2024 are as follows:</w:t>
      </w:r>
    </w:p>
    <w:p>
      <w:pPr>
        <w:spacing w:after="0" w:line="155" w:lineRule="exact"/>
        <w:rPr>
          <w:sz w:val="20"/>
          <w:szCs w:val="20"/>
          <w:color w:val="auto"/>
        </w:rPr>
      </w:pPr>
    </w:p>
    <w:tbl>
      <w:tblPr>
        <w:tblLayout w:type="fixed"/>
        <w:tblInd w:w="2780" w:type="dxa"/>
        <w:tblCellMar>
          <w:top w:w="0" w:type="dxa"/>
          <w:left w:w="0" w:type="dxa"/>
          <w:bottom w:w="0" w:type="dxa"/>
          <w:right w:w="0" w:type="dxa"/>
        </w:tblCellMar>
      </w:tblPr>
      <w:tr>
        <w:trPr>
          <w:trHeight w:val="138"/>
        </w:trPr>
        <w:tc>
          <w:tcPr>
            <w:tcW w:w="1100" w:type="dxa"/>
            <w:vAlign w:val="bottom"/>
          </w:tcPr>
          <w:p>
            <w:pPr>
              <w:spacing w:after="0"/>
              <w:rPr>
                <w:sz w:val="12"/>
                <w:szCs w:val="12"/>
                <w:color w:val="auto"/>
              </w:rPr>
            </w:pPr>
          </w:p>
        </w:tc>
        <w:tc>
          <w:tcPr>
            <w:tcW w:w="110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rPr>
              <w:t>Remaining</w:t>
            </w:r>
          </w:p>
        </w:tc>
      </w:tr>
      <w:tr>
        <w:trPr>
          <w:trHeight w:val="149"/>
        </w:trPr>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Useful Life</w:t>
            </w:r>
          </w:p>
        </w:tc>
        <w:tc>
          <w:tcPr>
            <w:tcW w:w="110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rPr>
              <w:t>Amortization</w:t>
            </w:r>
          </w:p>
        </w:tc>
      </w:tr>
      <w:tr>
        <w:trPr>
          <w:trHeight w:val="147"/>
        </w:trPr>
        <w:tc>
          <w:tcPr>
            <w:tcW w:w="1100" w:type="dxa"/>
            <w:vAlign w:val="bottom"/>
            <w:tcBorders>
              <w:bottom w:val="single" w:sz="8" w:color="585454"/>
            </w:tcBorders>
          </w:tcPr>
          <w:p>
            <w:pPr>
              <w:jc w:val="center"/>
              <w:spacing w:after="0"/>
              <w:rPr>
                <w:sz w:val="20"/>
                <w:szCs w:val="20"/>
                <w:color w:val="auto"/>
              </w:rPr>
            </w:pPr>
            <w:r>
              <w:rPr>
                <w:rFonts w:ascii="Times New Roman" w:cs="Times New Roman" w:eastAsia="Times New Roman" w:hAnsi="Times New Roman"/>
                <w:sz w:val="12"/>
                <w:szCs w:val="12"/>
                <w:color w:val="auto"/>
              </w:rPr>
              <w:t>in Years</w:t>
            </w:r>
          </w:p>
        </w:tc>
        <w:tc>
          <w:tcPr>
            <w:tcW w:w="110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rPr>
              <w:t>Period in Years</w:t>
            </w:r>
          </w:p>
        </w:tc>
      </w:tr>
    </w:tbl>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Customer relation ships</w:t>
      </w:r>
    </w:p>
    <w:p>
      <w:pPr>
        <w:spacing w:after="0" w:line="16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Our trade name intangible asset at November 30, 2024 is associated wi th Lane Venture. Because it is our intention to maintain and grow thi s brand, it is considered to be an indefinite-lived intangible asset. At November 25, 2023 our trade name intangible assets also included an asset for the Noa !-lom e trade name which had been considered an indefinite-lived intangible asset upon acquisition in 2022. However, in connection with our deci sion to cease operations at Noa Home and liquidate its assets, th e carrying value of the Noa !-lome trad e nam e was fully impaired durin g the second quarter of fiscal 2024. Th e amortization expense associated with finite-lived intangible assets during fi scal 2024, 2023 and 2022 was $57 each year and is included in se lling, general and administrati ve expense in our consolidated statement of operations. All expense arising from the amortization of intangible assets is associated with our wholesale segment. Estimated future amortization expense for intangible assets that exist at November 30, 2024 is as follows:</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38"/>
        </w:trPr>
        <w:tc>
          <w:tcPr>
            <w:tcW w:w="1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Fiscal 2025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9"/>
        </w:trPr>
        <w:tc>
          <w:tcPr>
            <w:tcW w:w="1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Fiscal 2026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9"/>
        </w:trPr>
        <w:tc>
          <w:tcPr>
            <w:tcW w:w="1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Fiscal 2027</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49"/>
        </w:trPr>
        <w:tc>
          <w:tcPr>
            <w:tcW w:w="1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Fiscal 2028</w:t>
            </w:r>
          </w:p>
        </w:tc>
        <w:tc>
          <w:tcPr>
            <w:tcW w:w="660" w:type="dxa"/>
            <w:vAlign w:val="bottom"/>
          </w:tcPr>
          <w:p>
            <w:pPr>
              <w:spacing w:after="0"/>
              <w:rPr>
                <w:sz w:val="12"/>
                <w:szCs w:val="12"/>
                <w:color w:val="auto"/>
              </w:rPr>
            </w:pPr>
          </w:p>
        </w:tc>
      </w:tr>
      <w:tr>
        <w:trPr>
          <w:trHeight w:val="147"/>
        </w:trPr>
        <w:tc>
          <w:tcPr>
            <w:tcW w:w="1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Fiscal 2029</w:t>
            </w:r>
          </w:p>
        </w:tc>
        <w:tc>
          <w:tcPr>
            <w:tcW w:w="660" w:type="dxa"/>
            <w:vAlign w:val="bottom"/>
            <w:tcBorders>
              <w:bottom w:val="single" w:sz="8" w:color="585454"/>
            </w:tcBorders>
          </w:tcPr>
          <w:p>
            <w:pPr>
              <w:spacing w:after="0"/>
              <w:rPr>
                <w:sz w:val="12"/>
                <w:szCs w:val="12"/>
                <w:color w:val="auto"/>
              </w:rPr>
            </w:pPr>
          </w:p>
        </w:tc>
      </w:tr>
      <w:tr>
        <w:trPr>
          <w:trHeight w:val="287"/>
        </w:trPr>
        <w:tc>
          <w:tcPr>
            <w:tcW w:w="178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20" w:type="dxa"/>
            <w:vAlign w:val="bottom"/>
            <w:tcBorders>
              <w:bottom w:val="single" w:sz="8" w:color="201C20"/>
            </w:tcBorders>
          </w:tcPr>
          <w:p>
            <w:pPr>
              <w:spacing w:after="0"/>
              <w:rPr>
                <w:sz w:val="24"/>
                <w:szCs w:val="24"/>
                <w:color w:val="auto"/>
              </w:rPr>
            </w:pPr>
          </w:p>
        </w:tc>
        <w:tc>
          <w:tcPr>
            <w:tcW w:w="66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12"/>
                <w:szCs w:val="12"/>
                <w:color w:val="auto"/>
              </w:rPr>
              <w:t>120</w:t>
            </w: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 Bank Credit Facility</w:t>
      </w:r>
    </w:p>
    <w:p>
      <w:pPr>
        <w:spacing w:after="0" w:line="1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On May 15 , 2024, we entered into th e Eighth Amended and Restated Credit Agreement with our bank (the "Credit Facility"). This Credit Facility provides for a lin e of credit of up to $25,000. At November 30, 2024, we had $6,013 outstanding under standby letters of credit against our lin e. Th e lin e bears interest at the One-Month Term Secured Overnight Financing Rate ("One-Month Term SOFR") plus 1. 75% and is secured by our accounts rece ivable and inventory. Our bank charges a fee of 0.25% on the daily unused balance of the line, payable quarterly . Under th e terms of th e Credit Facility, Consolidated Minimum Tangible Net Worth (as defined in the Credit Facility) shall at no tim e be less than $120,000. In addition, we mu st maintain th e following financial covenants, measured quarterly on a rolling twelve-month basis and commencing as of th e</w:t>
      </w:r>
    </w:p>
    <w:p>
      <w:pPr>
        <w:spacing w:after="0" w:line="260" w:lineRule="exact"/>
        <w:rPr>
          <w:sz w:val="20"/>
          <w:szCs w:val="20"/>
          <w:color w:val="auto"/>
        </w:rPr>
      </w:pPr>
    </w:p>
    <w:p>
      <w:pPr>
        <w:sectPr>
          <w:pgSz w:w="15840" w:h="12240" w:orient="landscape"/>
          <w:cols w:equalWidth="0" w:num="2">
            <w:col w:w="7200" w:space="720"/>
            <w:col w:w="6460"/>
          </w:cols>
          <w:pgMar w:left="740" w:top="1440" w:right="720" w:bottom="897" w:gutter="0" w:footer="0" w:header="0"/>
          <w:type w:val="continuous"/>
        </w:sectPr>
      </w:pPr>
    </w:p>
    <w:p>
      <w:pPr>
        <w:spacing w:after="0" w:line="24"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33</w:t>
      </w:r>
      <w:r>
        <w:rPr>
          <w:sz w:val="20"/>
          <w:szCs w:val="20"/>
          <w:color w:val="auto"/>
        </w:rPr>
        <w:tab/>
      </w:r>
      <w:r>
        <w:rPr>
          <w:rFonts w:ascii="Times New Roman" w:cs="Times New Roman" w:eastAsia="Times New Roman" w:hAnsi="Times New Roman"/>
          <w:sz w:val="12"/>
          <w:szCs w:val="12"/>
          <w:color w:val="auto"/>
        </w:rPr>
        <w:t>34</w:t>
      </w:r>
    </w:p>
    <w:p>
      <w:pPr>
        <w:sectPr>
          <w:pgSz w:w="15840" w:h="12240" w:orient="landscape"/>
          <w:cols w:equalWidth="0" w:num="1">
            <w:col w:w="14380"/>
          </w:cols>
          <w:pgMar w:left="740" w:top="1440" w:right="720" w:bottom="897" w:gutter="0" w:footer="0" w:header="0"/>
          <w:type w:val="continuous"/>
        </w:sectPr>
      </w:pPr>
    </w:p>
    <w:bookmarkStart w:id="21" w:name="page22"/>
    <w:bookmarkEnd w:id="2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0058400" cy="7772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thousands, except share and per share data)</w:t>
      </w:r>
    </w:p>
    <w:p>
      <w:pPr>
        <w:spacing w:after="0" w:line="162" w:lineRule="exact"/>
        <w:rPr>
          <w:sz w:val="20"/>
          <w:szCs w:val="20"/>
          <w:color w:val="auto"/>
        </w:rPr>
      </w:pPr>
    </w:p>
    <w:p>
      <w:pPr>
        <w:ind w:left="20" w:right="780" w:hanging="4"/>
        <w:spacing w:after="0" w:line="245" w:lineRule="auto"/>
        <w:rPr>
          <w:sz w:val="20"/>
          <w:szCs w:val="20"/>
          <w:color w:val="auto"/>
        </w:rPr>
      </w:pPr>
      <w:r>
        <w:rPr>
          <w:rFonts w:ascii="Times New Roman" w:cs="Times New Roman" w:eastAsia="Times New Roman" w:hAnsi="Times New Roman"/>
          <w:sz w:val="12"/>
          <w:szCs w:val="12"/>
          <w:color w:val="auto"/>
        </w:rPr>
        <w:t>end of th e first fiscal quarter after the first date that th e used commitment (the sum of any outstanding advances plus standby letters of credit) equals or exceeds $8,250:</w:t>
      </w:r>
    </w:p>
    <w:p>
      <w:pPr>
        <w:spacing w:after="0" w:line="162" w:lineRule="exact"/>
        <w:rPr>
          <w:sz w:val="20"/>
          <w:szCs w:val="20"/>
          <w:color w:val="auto"/>
        </w:rPr>
      </w:pPr>
    </w:p>
    <w:p>
      <w:pPr>
        <w:ind w:left="500" w:hanging="244"/>
        <w:spacing w:after="0"/>
        <w:tabs>
          <w:tab w:leader="none" w:pos="50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Conso lidated Fixed Charge Coverage Ratio (as defined in the Credit Facility) of not less than  I </w:t>
      </w:r>
      <w:r>
        <w:rPr>
          <w:rFonts w:ascii="Times New Roman" w:cs="Times New Roman" w:eastAsia="Times New Roman" w:hAnsi="Times New Roman"/>
          <w:sz w:val="10"/>
          <w:szCs w:val="10"/>
          <w:color w:val="auto"/>
        </w:rPr>
        <w:t>,2</w:t>
      </w:r>
      <w:r>
        <w:rPr>
          <w:rFonts w:ascii="Times New Roman" w:cs="Times New Roman" w:eastAsia="Times New Roman" w:hAnsi="Times New Roman"/>
          <w:sz w:val="12"/>
          <w:szCs w:val="12"/>
          <w:color w:val="auto"/>
        </w:rPr>
        <w:t xml:space="preserve"> times and</w:t>
      </w:r>
    </w:p>
    <w:p>
      <w:pPr>
        <w:spacing w:after="0" w:line="191" w:lineRule="exact"/>
        <w:rPr>
          <w:rFonts w:ascii="Times New Roman" w:cs="Times New Roman" w:eastAsia="Times New Roman" w:hAnsi="Times New Roman"/>
          <w:sz w:val="12"/>
          <w:szCs w:val="12"/>
          <w:color w:val="auto"/>
        </w:rPr>
      </w:pPr>
    </w:p>
    <w:p>
      <w:pPr>
        <w:ind w:left="500" w:right="780" w:hanging="244"/>
        <w:spacing w:after="0" w:line="247" w:lineRule="auto"/>
        <w:tabs>
          <w:tab w:leader="none" w:pos="499"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Consolidated Lease Adjusted Leverage to EBITDAR Ratio (as defined in the Credit Facility) not to exceed 3.35 times.</w:t>
      </w:r>
    </w:p>
    <w:p>
      <w:pPr>
        <w:spacing w:after="0" w:line="305" w:lineRule="exact"/>
        <w:rPr>
          <w:sz w:val="20"/>
          <w:szCs w:val="20"/>
          <w:color w:val="auto"/>
        </w:rPr>
      </w:pPr>
    </w:p>
    <w:p>
      <w:pPr>
        <w:jc w:val="both"/>
        <w:ind w:right="760" w:firstLine="4"/>
        <w:spacing w:after="0" w:line="257" w:lineRule="auto"/>
        <w:rPr>
          <w:sz w:val="20"/>
          <w:szCs w:val="20"/>
          <w:color w:val="auto"/>
        </w:rPr>
      </w:pPr>
      <w:r>
        <w:rPr>
          <w:rFonts w:ascii="Times New Roman" w:cs="Times New Roman" w:eastAsia="Times New Roman" w:hAnsi="Times New Roman"/>
          <w:sz w:val="12"/>
          <w:szCs w:val="12"/>
          <w:color w:val="auto"/>
        </w:rPr>
        <w:t>Since our used commitment was less than $8,250 at November 30, 2024, we were not required to test th e Conso lidated Fixed Charge Coverage Ratio or th e Conso lidated Lease Adjusted Leverage to EBITDAR Ratio. Had we been required to test those ratios, we would not have been able to achieve the required levels for either of these ratios. Consequently, our availability under the Credit Facility is currently limited to an additional $2,237 .</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Interest paid durin g fi scal 2024, 2023 and 2022 was not material.</w:t>
      </w:r>
    </w:p>
    <w:p>
      <w:pPr>
        <w:spacing w:after="0" w:line="311" w:lineRule="exact"/>
        <w:rPr>
          <w:sz w:val="20"/>
          <w:szCs w:val="20"/>
          <w:color w:val="auto"/>
        </w:rPr>
      </w:pPr>
    </w:p>
    <w:p>
      <w:pPr>
        <w:ind w:left="20" w:right="4900" w:hanging="11"/>
        <w:spacing w:after="0" w:line="512" w:lineRule="auto"/>
        <w:tabs>
          <w:tab w:leader="none" w:pos="217"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Post-Employment Benefit Obligations Management Savings Plan</w:t>
      </w:r>
    </w:p>
    <w:p>
      <w:pPr>
        <w:spacing w:after="0" w:line="6" w:lineRule="exact"/>
        <w:rPr>
          <w:sz w:val="20"/>
          <w:szCs w:val="20"/>
          <w:color w:val="auto"/>
        </w:rPr>
      </w:pPr>
    </w:p>
    <w:p>
      <w:pPr>
        <w:jc w:val="both"/>
        <w:ind w:right="760"/>
        <w:spacing w:after="0" w:line="257" w:lineRule="auto"/>
        <w:rPr>
          <w:sz w:val="20"/>
          <w:szCs w:val="20"/>
          <w:color w:val="auto"/>
        </w:rPr>
      </w:pPr>
      <w:r>
        <w:rPr>
          <w:rFonts w:ascii="Times New Roman" w:cs="Times New Roman" w:eastAsia="Times New Roman" w:hAnsi="Times New Roman"/>
          <w:sz w:val="12"/>
          <w:szCs w:val="12"/>
          <w:color w:val="auto"/>
        </w:rPr>
        <w:t>On May 1, 2017, our Board of Directors, upon the recomm endation of the Organization, Compensa tion and Nominating Committee (the "Committee"), adopted th e Bassett Furniture Industries, Incorporated Management Savings Plan (the " Plan"). The Plan is an unfunded, nonqualified deferred compensation plan maintained for th e benefit of certain hi ghly compensated or management leve l employees .</w:t>
      </w:r>
    </w:p>
    <w:p>
      <w:pPr>
        <w:spacing w:after="0" w:line="153" w:lineRule="exact"/>
        <w:rPr>
          <w:sz w:val="20"/>
          <w:szCs w:val="20"/>
          <w:color w:val="auto"/>
        </w:rPr>
      </w:pPr>
    </w:p>
    <w:p>
      <w:pPr>
        <w:jc w:val="both"/>
        <w:ind w:right="760"/>
        <w:spacing w:after="0" w:line="258" w:lineRule="auto"/>
        <w:rPr>
          <w:sz w:val="20"/>
          <w:szCs w:val="20"/>
          <w:color w:val="auto"/>
        </w:rPr>
      </w:pPr>
      <w:r>
        <w:rPr>
          <w:rFonts w:ascii="Times New Roman" w:cs="Times New Roman" w:eastAsia="Times New Roman" w:hAnsi="Times New Roman"/>
          <w:sz w:val="12"/>
          <w:szCs w:val="12"/>
          <w:color w:val="auto"/>
        </w:rPr>
        <w:t>The Plan is an account-based plan under which (i) participants may defer voluntarily the payment of current compensation to future years ("participant deferrals") and (ii) th e Company may mak e annual awards to participants payable in future yea rs ("Company contributions"). Th e Plan permits each participant to defer up to 75% of base salary and up to 100% of any incentive compensation or other bonus, which amounts would be credited to a deferral account established for th e participant. Such deferrals will be fully vested at th e tim e of th e deferraL Participant deferrals will be indexed to one or more deemed investm ent alternatives chosen by the participant from a range of alternatives mad e available und er the Plan. Each participant' s account will be adjusted to refl ect ga ins and losses based on th e performance of th e selected investm ent alternatives. A participant may receive di stribution s from th e Plan: ( 1) upon separation from service, in eith er a lump sum or annual installm ent payments over up to a 15 year period , as elected by th e participant, (2) upon death or disability, in a lump sum, or (3) on a date or dates specified by the participant ("scheduled distributions") with such schedul ed payments made in either a lump sum or substantially equal annual installments over a period of up to fiv e years, as elected by th e participant. Participant contributions commenced during th e third quarter of fi scal 2017. Company contributions will vest in full (1) on the third anniversary of th e date such amounts are credited to th e participant's account, (2) th e date that th e participant reaches age 63 or (3) upon death or disability. Company contributions are subject to th e same rules described above regarding th e crediting of ga ins or losses from deemed investm ents and th e timing of di stributions. Expense (credits) associated with deferred compensation under the Plan was $925 , $46 and $(16) for fiscal2024, 2023 and 2022, respectively. Our liability for Company contributions and participant deferrals at November 30, 2024 and November 25, 2023 was $3,486 and $2,661 , respectively, and is included in post-employment benefit obligations in our consolidated balance sheets .</w:t>
      </w:r>
    </w:p>
    <w:p>
      <w:pPr>
        <w:spacing w:after="0" w:line="306" w:lineRule="exact"/>
        <w:rPr>
          <w:sz w:val="20"/>
          <w:szCs w:val="20"/>
          <w:color w:val="auto"/>
        </w:rPr>
      </w:pPr>
    </w:p>
    <w:p>
      <w:pPr>
        <w:jc w:val="both"/>
        <w:ind w:right="760"/>
        <w:spacing w:after="0" w:line="258" w:lineRule="auto"/>
        <w:rPr>
          <w:sz w:val="20"/>
          <w:szCs w:val="20"/>
          <w:color w:val="auto"/>
        </w:rPr>
      </w:pPr>
      <w:r>
        <w:rPr>
          <w:rFonts w:ascii="Times New Roman" w:cs="Times New Roman" w:eastAsia="Times New Roman" w:hAnsi="Times New Roman"/>
          <w:sz w:val="12"/>
          <w:szCs w:val="12"/>
          <w:color w:val="auto"/>
        </w:rPr>
        <w:t>On May 2, 2017, we mad e Long Term Cash A wards ("LTC A wards") totaling $2,000 under the Plan to certain management employees in the amount of$400 each. Th e LTC Award s vest in full on the first anniversary of th e date of the award if th e participant has reached age 63 by that time, or, if later, on th e date the participant reaches age 63 , provided in eith er instance that the participant is still employed by the Company at that time. If not previously vested, the awards will also vest immediately upon the death or di sability of th e participant prior to th e participant's separation from service. The awards will be payable in I 0 equal annual installments follo wing the participant's death, disability or separation from service. We are accounting for the LTC Awards as a defined benefit pension plan. During fi scal 2024, 2023 and 2022, we invested $343, $1 ,019 and $853 in life insurance policies covering all participants in th e Plan. At November 30, 2024, these policies have a net death benefit of$15 ,885 for which th e Company is the so le beneficiary. These policies are intended to provide a potential source of fund s to meet th e obligations arising from th e deferred compensation and LTC Awards und er th e Plan and serve as an economic hedge of the financial impact of changes in the liabilities . They are held in an irrevocable tru st but are subj ect to claims of creditors in the event of the Company's inso lvency.</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 sands, except share and per share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Supplemental Retirement Income Plan</w:t>
      </w:r>
    </w:p>
    <w:p>
      <w:pPr>
        <w:spacing w:after="0" w:line="162" w:lineRule="exact"/>
        <w:rPr>
          <w:sz w:val="20"/>
          <w:szCs w:val="20"/>
          <w:color w:val="auto"/>
        </w:rPr>
      </w:pPr>
    </w:p>
    <w:p>
      <w:pPr>
        <w:jc w:val="both"/>
        <w:ind w:firstLine="6"/>
        <w:spacing w:after="0" w:line="258" w:lineRule="auto"/>
        <w:rPr>
          <w:sz w:val="20"/>
          <w:szCs w:val="20"/>
          <w:color w:val="auto"/>
        </w:rPr>
      </w:pPr>
      <w:r>
        <w:rPr>
          <w:rFonts w:ascii="Times New Roman" w:cs="Times New Roman" w:eastAsia="Times New Roman" w:hAnsi="Times New Roman"/>
          <w:sz w:val="12"/>
          <w:szCs w:val="12"/>
          <w:color w:val="auto"/>
        </w:rPr>
        <w:t>We have an unfund ed Supplemental Retirement Income Plan (the " Supplemental Plan") that covers one current and certain form er executives . Upon retirement, the Supplemental Plan provides for lifetime monthly payments in an amount equal to 65% of the participant' s final average compensation as defined in the Supplemental Plan, which is reduced by certain social sec urity benefits to be recei ved and other benefits provided by us . The Supplemental Plan also provides a death benefit that is calculated as (a) prior to retirem ent death , which pays the beneficiary 50% of final average annual compensation for a period of 120 month s, or (b) post-retirement death, which pays the beneficiary 200% of final average compensation in a s in gle payment. We own life insurance policies on these executives with a current net death benefit of$1 ,5 87 at November 30, 2024 . We ex pect that any death benefit payabl e out of the plan would be substantially offset by the proceeds received from our life insurance policy upon th e death of th e executive. Funding for the remaining cash flo ws is expected to be provided through operations. There are no benefits payable as a result of a termination of employment for any reason other than death or retirement, other than a change of control provision which provides for the immediate vesting and payment of the retirem ent benefit underthe Supplemental Plan in the event of an employment termination resulting from a change of controL</w:t>
      </w:r>
    </w:p>
    <w:p>
      <w:pPr>
        <w:spacing w:after="0" w:line="154" w:lineRule="exact"/>
        <w:rPr>
          <w:sz w:val="20"/>
          <w:szCs w:val="20"/>
          <w:color w:val="auto"/>
        </w:rPr>
      </w:pPr>
    </w:p>
    <w:p>
      <w:pPr>
        <w:jc w:val="both"/>
        <w:ind w:hanging="4"/>
        <w:spacing w:after="0" w:line="254" w:lineRule="auto"/>
        <w:rPr>
          <w:sz w:val="20"/>
          <w:szCs w:val="20"/>
          <w:color w:val="auto"/>
        </w:rPr>
      </w:pPr>
      <w:r>
        <w:rPr>
          <w:rFonts w:ascii="Times New Roman" w:cs="Times New Roman" w:eastAsia="Times New Roman" w:hAnsi="Times New Roman"/>
          <w:sz w:val="12"/>
          <w:szCs w:val="12"/>
          <w:color w:val="auto"/>
        </w:rPr>
        <w:t>Aggregated summarized in formation for the Supplemental Plan and the LTC Awards, measured as of the end of each year presented, is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201C20"/>
            </w:tcBorders>
          </w:tcPr>
          <w:p>
            <w:pPr>
              <w:spacing w:after="0"/>
              <w:rPr>
                <w:sz w:val="12"/>
                <w:szCs w:val="12"/>
                <w:color w:val="auto"/>
              </w:rPr>
            </w:pPr>
          </w:p>
        </w:tc>
        <w:tc>
          <w:tcPr>
            <w:tcW w:w="44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300" w:type="dxa"/>
            <w:vAlign w:val="bottom"/>
            <w:tcBorders>
              <w:bottom w:val="single" w:sz="8" w:color="201C20"/>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Change in Benefit Obligation :</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Projected benefit obligation at beg inning of year</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6,979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jc w:val="right"/>
              <w:ind w:right="108"/>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7,262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Service cost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13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Interest cost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391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370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Actuarial (gains) and losses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2"/>
                <w:szCs w:val="12"/>
                <w:color w:val="auto"/>
              </w:rPr>
              <w:t>(170)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(424)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86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Benefits paid</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(256)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860" w:type="dxa"/>
            <w:vAlign w:val="bottom"/>
            <w:gridSpan w:val="3"/>
          </w:tcPr>
          <w:p>
            <w:pPr>
              <w:ind w:left="20"/>
              <w:spacing w:after="0" w:line="136" w:lineRule="exact"/>
              <w:rPr>
                <w:sz w:val="20"/>
                <w:szCs w:val="20"/>
                <w:color w:val="auto"/>
              </w:rPr>
            </w:pPr>
            <w:r>
              <w:rPr>
                <w:rFonts w:ascii="Times New Roman" w:cs="Times New Roman" w:eastAsia="Times New Roman" w:hAnsi="Times New Roman"/>
                <w:sz w:val="12"/>
                <w:szCs w:val="12"/>
                <w:color w:val="auto"/>
              </w:rPr>
              <w:t>Projected benefit obligation at end of year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242020"/>
              <w:bottom w:val="single" w:sz="8" w:color="242020"/>
            </w:tcBorders>
          </w:tcPr>
          <w:p>
            <w:pPr>
              <w:spacing w:after="0"/>
              <w:rPr>
                <w:sz w:val="12"/>
                <w:szCs w:val="12"/>
                <w:color w:val="auto"/>
              </w:rPr>
            </w:pPr>
          </w:p>
        </w:tc>
        <w:tc>
          <w:tcPr>
            <w:tcW w:w="640" w:type="dxa"/>
            <w:vAlign w:val="bottom"/>
            <w:tcBorders>
              <w:top w:val="single" w:sz="8" w:color="242020"/>
              <w:bottom w:val="single" w:sz="8" w:color="242020"/>
            </w:tcBorders>
          </w:tcPr>
          <w:p>
            <w:pPr>
              <w:spacing w:after="0"/>
              <w:rPr>
                <w:sz w:val="12"/>
                <w:szCs w:val="12"/>
                <w:color w:val="auto"/>
              </w:rPr>
            </w:pPr>
          </w:p>
        </w:tc>
        <w:tc>
          <w:tcPr>
            <w:tcW w:w="300" w:type="dxa"/>
            <w:vAlign w:val="bottom"/>
            <w:tcBorders>
              <w:top w:val="single" w:sz="8" w:color="242020"/>
              <w:bottom w:val="single" w:sz="8" w:color="242020"/>
            </w:tcBorders>
            <w:gridSpan w:val="3"/>
            <w:vMerge w:val="restart"/>
          </w:tcPr>
          <w:p>
            <w:pPr>
              <w:jc w:val="right"/>
              <w:spacing w:after="0"/>
              <w:rPr>
                <w:sz w:val="20"/>
                <w:szCs w:val="20"/>
                <w:color w:val="auto"/>
              </w:rPr>
            </w:pPr>
            <w:r>
              <w:rPr>
                <w:rFonts w:ascii="Arial" w:cs="Arial" w:eastAsia="Arial" w:hAnsi="Arial"/>
                <w:sz w:val="14"/>
                <w:szCs w:val="14"/>
                <w:i w:val="1"/>
                <w:iCs w:val="1"/>
                <w:color w:val="auto"/>
                <w:w w:val="71"/>
              </w:rPr>
              <w:t>£:2..!2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201C20"/>
            </w:tcBorders>
          </w:tcPr>
          <w:p>
            <w:pPr>
              <w:jc w:val="right"/>
              <w:ind w:right="108"/>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201C20"/>
            </w:tcBorders>
            <w:gridSpan w:val="2"/>
          </w:tcPr>
          <w:p>
            <w:pPr>
              <w:jc w:val="right"/>
              <w:ind w:right="20"/>
              <w:spacing w:after="0" w:line="136" w:lineRule="exact"/>
              <w:rPr>
                <w:sz w:val="20"/>
                <w:szCs w:val="20"/>
                <w:color w:val="auto"/>
              </w:rPr>
            </w:pPr>
            <w:r>
              <w:rPr>
                <w:rFonts w:ascii="Times New Roman" w:cs="Times New Roman" w:eastAsia="Times New Roman" w:hAnsi="Times New Roman"/>
                <w:sz w:val="12"/>
                <w:szCs w:val="12"/>
                <w:color w:val="auto"/>
              </w:rPr>
              <w:t>6,979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386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Accumulated Benefit Obligation</w:t>
            </w: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386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gridSpan w:val="4"/>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86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6,917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jc w:val="right"/>
              <w:ind w:right="108"/>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6,979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3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color w:val="auto"/>
              </w:rPr>
              <w:t>Discount rate used to value the ending benefit obligations:</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top w:val="single" w:sz="8" w:color="242020"/>
            </w:tcBorders>
          </w:tcPr>
          <w:p>
            <w:pPr>
              <w:spacing w:after="0"/>
              <w:rPr>
                <w:sz w:val="8"/>
                <w:szCs w:val="8"/>
                <w:color w:val="auto"/>
              </w:rPr>
            </w:pPr>
          </w:p>
        </w:tc>
        <w:tc>
          <w:tcPr>
            <w:tcW w:w="700" w:type="dxa"/>
            <w:vAlign w:val="bottom"/>
            <w:tcBorders>
              <w:top w:val="single" w:sz="8" w:color="242020"/>
            </w:tcBorders>
            <w:gridSpan w:val="2"/>
          </w:tcPr>
          <w:p>
            <w:pPr>
              <w:spacing w:after="0"/>
              <w:rPr>
                <w:sz w:val="8"/>
                <w:szCs w:val="8"/>
                <w:color w:val="auto"/>
              </w:rPr>
            </w:pPr>
          </w:p>
        </w:tc>
        <w:tc>
          <w:tcPr>
            <w:tcW w:w="360" w:type="dxa"/>
            <w:vAlign w:val="bottom"/>
            <w:gridSpan w:val="4"/>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86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6"/>
          </w:tcPr>
          <w:p>
            <w:pPr>
              <w:jc w:val="right"/>
              <w:ind w:right="20"/>
              <w:spacing w:after="0"/>
              <w:rPr>
                <w:sz w:val="20"/>
                <w:szCs w:val="20"/>
                <w:color w:val="auto"/>
              </w:rPr>
            </w:pPr>
            <w:r>
              <w:rPr>
                <w:rFonts w:ascii="Times New Roman" w:cs="Times New Roman" w:eastAsia="Times New Roman" w:hAnsi="Times New Roman"/>
                <w:sz w:val="12"/>
                <w:szCs w:val="12"/>
                <w:color w:val="auto"/>
              </w:rPr>
              <w:t>5.00%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5.92%</w:t>
            </w:r>
          </w:p>
        </w:tc>
        <w:tc>
          <w:tcPr>
            <w:tcW w:w="0" w:type="dxa"/>
            <w:vAlign w:val="bottom"/>
          </w:tcPr>
          <w:p>
            <w:pPr>
              <w:spacing w:after="0"/>
              <w:rPr>
                <w:sz w:val="1"/>
                <w:szCs w:val="1"/>
                <w:color w:val="auto"/>
              </w:rPr>
            </w:pPr>
          </w:p>
        </w:tc>
      </w:tr>
      <w:tr>
        <w:trPr>
          <w:trHeight w:val="298"/>
        </w:trPr>
        <w:tc>
          <w:tcPr>
            <w:tcW w:w="3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Amounts recognized in the consolidated balance sheet:</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Current liabilities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792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jc w:val="right"/>
              <w:ind w:right="108"/>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719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86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Noncurrent liabilities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242020"/>
            </w:tcBorders>
          </w:tcPr>
          <w:p>
            <w:pPr>
              <w:spacing w:after="0"/>
              <w:rPr>
                <w:sz w:val="12"/>
                <w:szCs w:val="12"/>
                <w:color w:val="auto"/>
              </w:rPr>
            </w:pPr>
          </w:p>
        </w:tc>
        <w:tc>
          <w:tcPr>
            <w:tcW w:w="940" w:type="dxa"/>
            <w:vAlign w:val="bottom"/>
            <w:tcBorders>
              <w:bottom w:val="single" w:sz="8" w:color="242020"/>
            </w:tcBorders>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6,085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201C20"/>
            </w:tcBorders>
          </w:tcPr>
          <w:p>
            <w:pPr>
              <w:spacing w:after="0"/>
              <w:rPr>
                <w:sz w:val="12"/>
                <w:szCs w:val="12"/>
                <w:color w:val="auto"/>
              </w:rPr>
            </w:pPr>
          </w:p>
        </w:tc>
        <w:tc>
          <w:tcPr>
            <w:tcW w:w="740" w:type="dxa"/>
            <w:vAlign w:val="bottom"/>
            <w:tcBorders>
              <w:bottom w:val="single" w:sz="8" w:color="201C20"/>
            </w:tcBorders>
            <w:gridSpan w:val="2"/>
          </w:tcPr>
          <w:p>
            <w:pPr>
              <w:jc w:val="right"/>
              <w:spacing w:after="0"/>
              <w:rPr>
                <w:sz w:val="20"/>
                <w:szCs w:val="20"/>
                <w:color w:val="auto"/>
              </w:rPr>
            </w:pPr>
            <w:r>
              <w:rPr>
                <w:rFonts w:ascii="Times New Roman" w:cs="Times New Roman" w:eastAsia="Times New Roman" w:hAnsi="Times New Roman"/>
                <w:sz w:val="12"/>
                <w:szCs w:val="12"/>
                <w:color w:val="auto"/>
              </w:rPr>
              <w:t>6,260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860" w:type="dxa"/>
            <w:vAlign w:val="bottom"/>
            <w:gridSpan w:val="3"/>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amounts recognized</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4C4848"/>
            </w:tcBorders>
          </w:tcPr>
          <w:p>
            <w:pPr>
              <w:spacing w:after="0"/>
              <w:rPr>
                <w:sz w:val="13"/>
                <w:szCs w:val="13"/>
                <w:color w:val="auto"/>
              </w:rPr>
            </w:pPr>
          </w:p>
        </w:tc>
        <w:tc>
          <w:tcPr>
            <w:tcW w:w="940" w:type="dxa"/>
            <w:vAlign w:val="bottom"/>
            <w:tcBorders>
              <w:bottom w:val="single" w:sz="8" w:color="4C4848"/>
            </w:tcBorders>
            <w:gridSpan w:val="4"/>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6,877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444040"/>
            </w:tcBorders>
          </w:tcPr>
          <w:p>
            <w:pPr>
              <w:spacing w:after="0"/>
              <w:rPr>
                <w:sz w:val="13"/>
                <w:szCs w:val="13"/>
                <w:color w:val="auto"/>
              </w:rPr>
            </w:pPr>
          </w:p>
        </w:tc>
        <w:tc>
          <w:tcPr>
            <w:tcW w:w="180" w:type="dxa"/>
            <w:vAlign w:val="bottom"/>
            <w:tcBorders>
              <w:bottom w:val="single" w:sz="8" w:color="444040"/>
            </w:tcBorders>
          </w:tcPr>
          <w:p>
            <w:pPr>
              <w:jc w:val="right"/>
              <w:ind w:right="108"/>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444040"/>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6,979</w:t>
            </w:r>
          </w:p>
        </w:tc>
        <w:tc>
          <w:tcPr>
            <w:tcW w:w="60" w:type="dxa"/>
            <w:vAlign w:val="bottom"/>
            <w:tcBorders>
              <w:bottom w:val="single" w:sz="8" w:color="444040"/>
            </w:tcBorders>
          </w:tcPr>
          <w:p>
            <w:pPr>
              <w:spacing w:after="0"/>
              <w:rPr>
                <w:sz w:val="13"/>
                <w:szCs w:val="13"/>
                <w:color w:val="auto"/>
              </w:rPr>
            </w:pPr>
          </w:p>
        </w:tc>
        <w:tc>
          <w:tcPr>
            <w:tcW w:w="20" w:type="dxa"/>
            <w:vAlign w:val="bottom"/>
            <w:tcBorders>
              <w:bottom w:val="single" w:sz="8" w:color="444040"/>
            </w:tcBorders>
          </w:tcPr>
          <w:p>
            <w:pPr>
              <w:spacing w:after="0"/>
              <w:rPr>
                <w:sz w:val="13"/>
                <w:szCs w:val="13"/>
                <w:color w:val="auto"/>
              </w:rPr>
            </w:pPr>
          </w:p>
        </w:tc>
        <w:tc>
          <w:tcPr>
            <w:tcW w:w="20" w:type="dxa"/>
            <w:vAlign w:val="bottom"/>
            <w:tcBorders>
              <w:bottom w:val="single" w:sz="8" w:color="444040"/>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28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Amounts recognized in accumulated other comprehensive income: before</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86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income tax effects: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Prior service cost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Actuarial (gain) loss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2"/>
                <w:szCs w:val="12"/>
                <w:color w:val="auto"/>
              </w:rPr>
              <w:t>(1 ,066)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(96 5)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Net amount recognized</w:t>
            </w: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585454"/>
            </w:tcBorders>
          </w:tcPr>
          <w:p>
            <w:pPr>
              <w:spacing w:after="0" w:line="20" w:lineRule="exact"/>
              <w:rPr>
                <w:sz w:val="1"/>
                <w:szCs w:val="1"/>
                <w:color w:val="auto"/>
              </w:rPr>
            </w:pPr>
          </w:p>
        </w:tc>
        <w:tc>
          <w:tcPr>
            <w:tcW w:w="180" w:type="dxa"/>
            <w:vAlign w:val="bottom"/>
            <w:shd w:val="clear" w:color="auto" w:fill="585454"/>
          </w:tcPr>
          <w:p>
            <w:pPr>
              <w:spacing w:after="0" w:line="20" w:lineRule="exact"/>
              <w:rPr>
                <w:sz w:val="1"/>
                <w:szCs w:val="1"/>
                <w:color w:val="auto"/>
              </w:rPr>
            </w:pPr>
          </w:p>
        </w:tc>
        <w:tc>
          <w:tcPr>
            <w:tcW w:w="440" w:type="dxa"/>
            <w:vAlign w:val="bottom"/>
            <w:shd w:val="clear" w:color="auto" w:fill="585454"/>
          </w:tcPr>
          <w:p>
            <w:pPr>
              <w:spacing w:after="0" w:line="20" w:lineRule="exact"/>
              <w:rPr>
                <w:sz w:val="1"/>
                <w:szCs w:val="1"/>
                <w:color w:val="auto"/>
              </w:rPr>
            </w:pPr>
          </w:p>
        </w:tc>
        <w:tc>
          <w:tcPr>
            <w:tcW w:w="300" w:type="dxa"/>
            <w:vAlign w:val="bottom"/>
            <w:shd w:val="clear" w:color="auto" w:fill="58545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86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5"/>
          </w:tcPr>
          <w:p>
            <w:pPr>
              <w:jc w:val="right"/>
              <w:ind w:right="20"/>
              <w:spacing w:after="0" w:line="132" w:lineRule="exact"/>
              <w:rPr>
                <w:sz w:val="20"/>
                <w:szCs w:val="20"/>
                <w:color w:val="auto"/>
              </w:rPr>
            </w:pPr>
            <w:r>
              <w:rPr>
                <w:rFonts w:ascii="Times New Roman" w:cs="Times New Roman" w:eastAsia="Times New Roman" w:hAnsi="Times New Roman"/>
                <w:sz w:val="12"/>
                <w:szCs w:val="12"/>
                <w:color w:val="auto"/>
              </w:rPr>
              <w:t>(1 ,066)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jc w:val="right"/>
              <w:ind w:right="108"/>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gridSpan w:val="3"/>
          </w:tcPr>
          <w:p>
            <w:pPr>
              <w:jc w:val="right"/>
              <w:ind w:right="20"/>
              <w:spacing w:after="0" w:line="132" w:lineRule="exact"/>
              <w:rPr>
                <w:sz w:val="20"/>
                <w:szCs w:val="20"/>
                <w:color w:val="auto"/>
              </w:rPr>
            </w:pPr>
            <w:r>
              <w:rPr>
                <w:rFonts w:ascii="Times New Roman" w:cs="Times New Roman" w:eastAsia="Times New Roman" w:hAnsi="Times New Roman"/>
                <w:sz w:val="12"/>
                <w:szCs w:val="12"/>
                <w:color w:val="auto"/>
              </w:rPr>
              <w:t>(862)</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38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Total recognized in net periodic benefit cost and accumulated other</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585458"/>
            </w:tcBorders>
          </w:tcPr>
          <w:p>
            <w:pPr>
              <w:spacing w:after="0"/>
              <w:rPr>
                <w:sz w:val="24"/>
                <w:szCs w:val="24"/>
                <w:color w:val="auto"/>
              </w:rPr>
            </w:pPr>
          </w:p>
        </w:tc>
        <w:tc>
          <w:tcPr>
            <w:tcW w:w="640" w:type="dxa"/>
            <w:vAlign w:val="bottom"/>
            <w:tcBorders>
              <w:top w:val="single" w:sz="8" w:color="585458"/>
            </w:tcBorders>
          </w:tcPr>
          <w:p>
            <w:pPr>
              <w:spacing w:after="0"/>
              <w:rPr>
                <w:sz w:val="24"/>
                <w:szCs w:val="24"/>
                <w:color w:val="auto"/>
              </w:rPr>
            </w:pPr>
          </w:p>
        </w:tc>
        <w:tc>
          <w:tcPr>
            <w:tcW w:w="60" w:type="dxa"/>
            <w:vAlign w:val="bottom"/>
            <w:tcBorders>
              <w:top w:val="single" w:sz="8" w:color="585458"/>
            </w:tcBorders>
          </w:tcPr>
          <w:p>
            <w:pPr>
              <w:spacing w:after="0"/>
              <w:rPr>
                <w:sz w:val="24"/>
                <w:szCs w:val="24"/>
                <w:color w:val="auto"/>
              </w:rPr>
            </w:pPr>
          </w:p>
        </w:tc>
        <w:tc>
          <w:tcPr>
            <w:tcW w:w="40" w:type="dxa"/>
            <w:vAlign w:val="bottom"/>
            <w:tcBorders>
              <w:top w:val="single" w:sz="8" w:color="585458"/>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Borders>
              <w:top w:val="single" w:sz="8" w:color="585454"/>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86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comprehensive income:</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234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jc w:val="right"/>
              <w:ind w:right="108"/>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(27)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3160" w:type="dxa"/>
            <w:vAlign w:val="bottom"/>
            <w:gridSpan w:val="2"/>
          </w:tcPr>
          <w:p>
            <w:pPr>
              <w:spacing w:after="0"/>
              <w:rPr>
                <w:sz w:val="24"/>
                <w:szCs w:val="24"/>
                <w:color w:val="auto"/>
              </w:rPr>
            </w:pPr>
          </w:p>
        </w:tc>
        <w:tc>
          <w:tcPr>
            <w:tcW w:w="700" w:type="dxa"/>
            <w:vAlign w:val="bottom"/>
            <w:tcBorders>
              <w:bottom w:val="single" w:sz="8" w:color="585454"/>
            </w:tcBorders>
          </w:tcPr>
          <w:p>
            <w:pPr>
              <w:jc w:val="right"/>
              <w:ind w:right="18"/>
              <w:spacing w:after="0"/>
              <w:rPr>
                <w:sz w:val="20"/>
                <w:szCs w:val="20"/>
                <w:color w:val="auto"/>
              </w:rPr>
            </w:pPr>
            <w:r>
              <w:rPr>
                <w:rFonts w:ascii="Times New Roman" w:cs="Times New Roman" w:eastAsia="Times New Roman" w:hAnsi="Times New Roman"/>
                <w:sz w:val="12"/>
                <w:szCs w:val="12"/>
                <w:color w:val="auto"/>
              </w:rPr>
              <w:t>2024</w:t>
            </w:r>
          </w:p>
        </w:tc>
        <w:tc>
          <w:tcPr>
            <w:tcW w:w="300" w:type="dxa"/>
            <w:vAlign w:val="bottom"/>
            <w:tcBorders>
              <w:bottom w:val="single" w:sz="8" w:color="585454"/>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585454"/>
            </w:tcBorders>
          </w:tcPr>
          <w:p>
            <w:pPr>
              <w:spacing w:after="0"/>
              <w:rPr>
                <w:sz w:val="24"/>
                <w:szCs w:val="24"/>
                <w:color w:val="auto"/>
              </w:rPr>
            </w:pPr>
          </w:p>
        </w:tc>
        <w:tc>
          <w:tcPr>
            <w:tcW w:w="20" w:type="dxa"/>
            <w:vAlign w:val="bottom"/>
            <w:tcBorders>
              <w:top w:val="single" w:sz="8" w:color="585454"/>
            </w:tcBorders>
          </w:tcPr>
          <w:p>
            <w:pPr>
              <w:spacing w:after="0"/>
              <w:rPr>
                <w:sz w:val="24"/>
                <w:szCs w:val="24"/>
                <w:color w:val="auto"/>
              </w:rPr>
            </w:pPr>
          </w:p>
        </w:tc>
        <w:tc>
          <w:tcPr>
            <w:tcW w:w="640" w:type="dxa"/>
            <w:vAlign w:val="bottom"/>
            <w:tcBorders>
              <w:top w:val="single" w:sz="8" w:color="585454"/>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60" w:type="dxa"/>
            <w:vAlign w:val="bottom"/>
            <w:tcBorders>
              <w:top w:val="single" w:sz="8" w:color="585454"/>
              <w:bottom w:val="single" w:sz="8" w:color="585454"/>
            </w:tcBorders>
          </w:tcPr>
          <w:p>
            <w:pPr>
              <w:spacing w:after="0"/>
              <w:rPr>
                <w:sz w:val="24"/>
                <w:szCs w:val="24"/>
                <w:color w:val="auto"/>
              </w:rPr>
            </w:pPr>
          </w:p>
        </w:tc>
        <w:tc>
          <w:tcPr>
            <w:tcW w:w="40" w:type="dxa"/>
            <w:vAlign w:val="bottom"/>
            <w:tcBorders>
              <w:top w:val="single" w:sz="8" w:color="585454"/>
              <w:bottom w:val="single" w:sz="8" w:color="585454"/>
            </w:tcBorders>
          </w:tcPr>
          <w:p>
            <w:pPr>
              <w:spacing w:after="0"/>
              <w:rPr>
                <w:sz w:val="24"/>
                <w:szCs w:val="24"/>
                <w:color w:val="auto"/>
              </w:rPr>
            </w:pPr>
          </w:p>
        </w:tc>
        <w:tc>
          <w:tcPr>
            <w:tcW w:w="200" w:type="dxa"/>
            <w:vAlign w:val="bottom"/>
            <w:tcBorders>
              <w:bottom w:val="single" w:sz="8" w:color="585454"/>
            </w:tcBorders>
          </w:tcPr>
          <w:p>
            <w:pPr>
              <w:spacing w:after="0"/>
              <w:rPr>
                <w:sz w:val="24"/>
                <w:szCs w:val="24"/>
                <w:color w:val="auto"/>
              </w:rPr>
            </w:pPr>
          </w:p>
        </w:tc>
        <w:tc>
          <w:tcPr>
            <w:tcW w:w="60" w:type="dxa"/>
            <w:vAlign w:val="bottom"/>
            <w:tcBorders>
              <w:bottom w:val="single" w:sz="8" w:color="585454"/>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585454"/>
            </w:tcBorders>
          </w:tcPr>
          <w:p>
            <w:pPr>
              <w:spacing w:after="0"/>
              <w:rPr>
                <w:sz w:val="24"/>
                <w:szCs w:val="24"/>
                <w:color w:val="auto"/>
              </w:rPr>
            </w:pPr>
          </w:p>
        </w:tc>
        <w:tc>
          <w:tcPr>
            <w:tcW w:w="180" w:type="dxa"/>
            <w:vAlign w:val="bottom"/>
            <w:tcBorders>
              <w:top w:val="single" w:sz="8" w:color="585454"/>
              <w:bottom w:val="single" w:sz="8" w:color="585454"/>
            </w:tcBorders>
          </w:tcPr>
          <w:p>
            <w:pPr>
              <w:spacing w:after="0"/>
              <w:rPr>
                <w:sz w:val="24"/>
                <w:szCs w:val="24"/>
                <w:color w:val="auto"/>
              </w:rPr>
            </w:pPr>
          </w:p>
        </w:tc>
        <w:tc>
          <w:tcPr>
            <w:tcW w:w="440" w:type="dxa"/>
            <w:vAlign w:val="bottom"/>
            <w:tcBorders>
              <w:top w:val="single" w:sz="8" w:color="585454"/>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300" w:type="dxa"/>
            <w:vAlign w:val="bottom"/>
            <w:tcBorders>
              <w:top w:val="single" w:sz="8" w:color="585454"/>
              <w:bottom w:val="single" w:sz="8" w:color="585454"/>
            </w:tcBorders>
          </w:tcPr>
          <w:p>
            <w:pPr>
              <w:spacing w:after="0"/>
              <w:rPr>
                <w:sz w:val="24"/>
                <w:szCs w:val="24"/>
                <w:color w:val="auto"/>
              </w:rPr>
            </w:pPr>
          </w:p>
        </w:tc>
        <w:tc>
          <w:tcPr>
            <w:tcW w:w="60" w:type="dxa"/>
            <w:vAlign w:val="bottom"/>
            <w:tcBorders>
              <w:top w:val="single" w:sz="8" w:color="585454"/>
              <w:bottom w:val="single" w:sz="8" w:color="585454"/>
            </w:tcBorders>
          </w:tcPr>
          <w:p>
            <w:pPr>
              <w:spacing w:after="0"/>
              <w:rPr>
                <w:sz w:val="24"/>
                <w:szCs w:val="24"/>
                <w:color w:val="auto"/>
              </w:rPr>
            </w:pPr>
          </w:p>
        </w:tc>
        <w:tc>
          <w:tcPr>
            <w:tcW w:w="20" w:type="dxa"/>
            <w:vAlign w:val="bottom"/>
            <w:tcBorders>
              <w:top w:val="single" w:sz="8" w:color="585454"/>
            </w:tcBorders>
          </w:tcPr>
          <w:p>
            <w:pPr>
              <w:spacing w:after="0"/>
              <w:rPr>
                <w:sz w:val="24"/>
                <w:szCs w:val="24"/>
                <w:color w:val="auto"/>
              </w:rPr>
            </w:pPr>
          </w:p>
        </w:tc>
        <w:tc>
          <w:tcPr>
            <w:tcW w:w="20" w:type="dxa"/>
            <w:vAlign w:val="bottom"/>
            <w:tcBorders>
              <w:top w:val="single" w:sz="8" w:color="585454"/>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Components of Net Periodic Pension Cost:</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Service cost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2"/>
                <w:szCs w:val="12"/>
                <w:color w:val="auto"/>
              </w:rPr>
              <w:t>27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36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Interest cost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2"/>
                <w:szCs w:val="12"/>
                <w:color w:val="auto"/>
              </w:rPr>
              <w:t>370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231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Amortization of prior service cost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2"/>
                <w:szCs w:val="12"/>
                <w:color w:val="auto"/>
              </w:rPr>
              <w:t>125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126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Amortization of other loss</w:t>
            </w:r>
          </w:p>
        </w:tc>
        <w:tc>
          <w:tcPr>
            <w:tcW w:w="700" w:type="dxa"/>
            <w:vAlign w:val="bottom"/>
          </w:tcPr>
          <w:p>
            <w:pPr>
              <w:spacing w:after="0"/>
              <w:rPr>
                <w:sz w:val="15"/>
                <w:szCs w:val="15"/>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133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3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periodic pension cost</w:t>
            </w:r>
          </w:p>
        </w:tc>
        <w:tc>
          <w:tcPr>
            <w:tcW w:w="20" w:type="dxa"/>
            <w:vAlign w:val="bottom"/>
            <w:tcBorders>
              <w:bottom w:val="single" w:sz="8" w:color="201C20"/>
            </w:tcBorders>
          </w:tcPr>
          <w:p>
            <w:pPr>
              <w:spacing w:after="0"/>
              <w:rPr>
                <w:sz w:val="24"/>
                <w:szCs w:val="24"/>
                <w:color w:val="auto"/>
              </w:rPr>
            </w:pPr>
          </w:p>
        </w:tc>
        <w:tc>
          <w:tcPr>
            <w:tcW w:w="700" w:type="dxa"/>
            <w:vAlign w:val="bottom"/>
            <w:tcBorders>
              <w:top w:val="single" w:sz="8" w:color="201C20"/>
              <w:bottom w:val="single" w:sz="8" w:color="201C20"/>
            </w:tcBorders>
          </w:tcPr>
          <w:p>
            <w:pPr>
              <w:spacing w:after="0"/>
              <w:rPr>
                <w:sz w:val="24"/>
                <w:szCs w:val="24"/>
                <w:color w:val="auto"/>
              </w:rPr>
            </w:pPr>
          </w:p>
        </w:tc>
        <w:tc>
          <w:tcPr>
            <w:tcW w:w="300" w:type="dxa"/>
            <w:vAlign w:val="bottom"/>
            <w:tcBorders>
              <w:top w:val="single" w:sz="8" w:color="201C20"/>
              <w:bottom w:val="single" w:sz="8" w:color="201C20"/>
            </w:tcBorders>
          </w:tcPr>
          <w:p>
            <w:pPr>
              <w:jc w:val="right"/>
              <w:spacing w:after="0"/>
              <w:rPr>
                <w:sz w:val="20"/>
                <w:szCs w:val="20"/>
                <w:color w:val="auto"/>
              </w:rPr>
            </w:pPr>
            <w:r>
              <w:rPr>
                <w:rFonts w:ascii="Times New Roman" w:cs="Times New Roman" w:eastAsia="Times New Roman" w:hAnsi="Times New Roman"/>
                <w:sz w:val="12"/>
                <w:szCs w:val="12"/>
                <w:color w:val="auto"/>
              </w:rPr>
              <w:t>443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201C20"/>
            </w:tcBorders>
          </w:tcPr>
          <w:p>
            <w:pPr>
              <w:spacing w:after="0"/>
              <w:rPr>
                <w:sz w:val="24"/>
                <w:szCs w:val="24"/>
                <w:color w:val="auto"/>
              </w:rPr>
            </w:pPr>
          </w:p>
        </w:tc>
        <w:tc>
          <w:tcPr>
            <w:tcW w:w="1000" w:type="dxa"/>
            <w:vAlign w:val="bottom"/>
            <w:tcBorders>
              <w:top w:val="single" w:sz="8" w:color="201C20"/>
              <w:bottom w:val="single" w:sz="8" w:color="201C20"/>
            </w:tcBorders>
            <w:gridSpan w:val="5"/>
          </w:tcPr>
          <w:p>
            <w:pPr>
              <w:jc w:val="right"/>
              <w:ind w:right="20"/>
              <w:spacing w:after="0"/>
              <w:rPr>
                <w:sz w:val="20"/>
                <w:szCs w:val="20"/>
                <w:color w:val="auto"/>
              </w:rPr>
            </w:pPr>
            <w:r>
              <w:rPr>
                <w:rFonts w:ascii="Times New Roman" w:cs="Times New Roman" w:eastAsia="Times New Roman" w:hAnsi="Times New Roman"/>
                <w:sz w:val="12"/>
                <w:szCs w:val="12"/>
                <w:color w:val="auto"/>
              </w:rPr>
              <w:t>522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201C20"/>
              <w:bottom w:val="single" w:sz="8" w:color="201C20"/>
            </w:tcBorders>
          </w:tcPr>
          <w:p>
            <w:pPr>
              <w:jc w:val="right"/>
              <w:ind w:right="88"/>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201C20"/>
              <w:bottom w:val="single" w:sz="8" w:color="201C20"/>
            </w:tcBorders>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526</w:t>
            </w:r>
          </w:p>
        </w:tc>
        <w:tc>
          <w:tcPr>
            <w:tcW w:w="20" w:type="dxa"/>
            <w:vAlign w:val="bottom"/>
            <w:tcBorders>
              <w:bottom w:val="single" w:sz="8" w:color="201C2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8" w:lineRule="exact"/>
        <w:rPr>
          <w:sz w:val="20"/>
          <w:szCs w:val="20"/>
          <w:color w:val="auto"/>
        </w:rPr>
      </w:pPr>
    </w:p>
    <w:p>
      <w:pPr>
        <w:sectPr>
          <w:pgSz w:w="15840" w:h="12240" w:orient="landscape"/>
          <w:cols w:equalWidth="0" w:num="2">
            <w:col w:w="7200" w:space="720"/>
            <w:col w:w="6440"/>
          </w:cols>
          <w:pgMar w:left="740" w:top="1440" w:right="740" w:bottom="898" w:gutter="0" w:footer="0" w:header="0"/>
        </w:sectPr>
      </w:pPr>
    </w:p>
    <w:p>
      <w:pPr>
        <w:spacing w:after="0" w:line="163"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35</w:t>
      </w:r>
      <w:r>
        <w:rPr>
          <w:sz w:val="20"/>
          <w:szCs w:val="20"/>
          <w:color w:val="auto"/>
        </w:rPr>
        <w:tab/>
      </w:r>
      <w:r>
        <w:rPr>
          <w:rFonts w:ascii="Times New Roman" w:cs="Times New Roman" w:eastAsia="Times New Roman" w:hAnsi="Times New Roman"/>
          <w:sz w:val="12"/>
          <w:szCs w:val="12"/>
          <w:color w:val="auto"/>
        </w:rPr>
        <w:t>36</w:t>
      </w:r>
    </w:p>
    <w:p>
      <w:pPr>
        <w:sectPr>
          <w:pgSz w:w="15840" w:h="12240" w:orient="landscape"/>
          <w:cols w:equalWidth="0" w:num="1">
            <w:col w:w="14360"/>
          </w:cols>
          <w:pgMar w:left="740" w:top="1440" w:right="740" w:bottom="898" w:gutter="0" w:footer="0" w:header="0"/>
          <w:type w:val="continuous"/>
        </w:sectPr>
      </w:pPr>
    </w:p>
    <w:bookmarkStart w:id="22" w:name="page23"/>
    <w:bookmarkEnd w:id="22"/>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0058400" cy="7772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thousands, except share and per share data)</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Assumptions used to determine net periodic pension cost:</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320" w:type="dxa"/>
            <w:vAlign w:val="bottom"/>
          </w:tcPr>
          <w:p>
            <w:pPr>
              <w:spacing w:after="0"/>
              <w:rPr>
                <w:sz w:val="20"/>
                <w:szCs w:val="20"/>
                <w:color w:val="auto"/>
              </w:rPr>
            </w:pPr>
            <w:r>
              <w:rPr>
                <w:rFonts w:ascii="Times New Roman" w:cs="Times New Roman" w:eastAsia="Times New Roman" w:hAnsi="Times New Roman"/>
                <w:sz w:val="12"/>
                <w:szCs w:val="12"/>
                <w:color w:val="auto"/>
              </w:rPr>
              <w:t>Discount rate</w:t>
            </w:r>
          </w:p>
        </w:tc>
        <w:tc>
          <w:tcPr>
            <w:tcW w:w="11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5.92%</w:t>
            </w:r>
          </w:p>
        </w:tc>
        <w:tc>
          <w:tcPr>
            <w:tcW w:w="11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5.38%</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w:t>
            </w:r>
          </w:p>
        </w:tc>
      </w:tr>
      <w:tr>
        <w:trPr>
          <w:trHeight w:val="168"/>
        </w:trPr>
        <w:tc>
          <w:tcPr>
            <w:tcW w:w="3320" w:type="dxa"/>
            <w:vAlign w:val="bottom"/>
          </w:tcPr>
          <w:p>
            <w:pPr>
              <w:spacing w:after="0"/>
              <w:rPr>
                <w:sz w:val="20"/>
                <w:szCs w:val="20"/>
                <w:color w:val="auto"/>
              </w:rPr>
            </w:pPr>
            <w:r>
              <w:rPr>
                <w:rFonts w:ascii="Times New Roman" w:cs="Times New Roman" w:eastAsia="Times New Roman" w:hAnsi="Times New Roman"/>
                <w:sz w:val="12"/>
                <w:szCs w:val="12"/>
                <w:color w:val="auto"/>
              </w:rPr>
              <w:t>Increase in future compensation leve ls</w:t>
            </w:r>
          </w:p>
        </w:tc>
        <w:tc>
          <w:tcPr>
            <w:tcW w:w="11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3.00%</w:t>
            </w:r>
          </w:p>
        </w:tc>
        <w:tc>
          <w:tcPr>
            <w:tcW w:w="11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3.00%</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r>
      <w:tr>
        <w:trPr>
          <w:trHeight w:val="307"/>
        </w:trPr>
        <w:tc>
          <w:tcPr>
            <w:tcW w:w="3320" w:type="dxa"/>
            <w:vAlign w:val="bottom"/>
          </w:tcPr>
          <w:p>
            <w:pPr>
              <w:spacing w:after="0"/>
              <w:rPr>
                <w:sz w:val="20"/>
                <w:szCs w:val="20"/>
                <w:color w:val="auto"/>
              </w:rPr>
            </w:pPr>
            <w:r>
              <w:rPr>
                <w:rFonts w:ascii="Times New Roman" w:cs="Times New Roman" w:eastAsia="Times New Roman" w:hAnsi="Times New Roman"/>
                <w:sz w:val="12"/>
                <w:szCs w:val="12"/>
                <w:color w:val="auto"/>
              </w:rPr>
              <w:t>Estimated Future Benefit Payments (with mortality):</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9"/>
        </w:trPr>
        <w:tc>
          <w:tcPr>
            <w:tcW w:w="3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Fiscal 2025</w:t>
            </w: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w:t>
            </w:r>
          </w:p>
        </w:tc>
      </w:tr>
      <w:tr>
        <w:trPr>
          <w:trHeight w:val="149"/>
        </w:trPr>
        <w:tc>
          <w:tcPr>
            <w:tcW w:w="3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Fiscal 2026</w:t>
            </w: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794</w:t>
            </w:r>
          </w:p>
        </w:tc>
      </w:tr>
      <w:tr>
        <w:trPr>
          <w:trHeight w:val="149"/>
        </w:trPr>
        <w:tc>
          <w:tcPr>
            <w:tcW w:w="3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Fiscal 2027</w:t>
            </w: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791</w:t>
            </w:r>
          </w:p>
        </w:tc>
      </w:tr>
      <w:tr>
        <w:trPr>
          <w:trHeight w:val="149"/>
        </w:trPr>
        <w:tc>
          <w:tcPr>
            <w:tcW w:w="3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Fiscal 2028</w:t>
            </w: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749</w:t>
            </w:r>
          </w:p>
        </w:tc>
      </w:tr>
      <w:tr>
        <w:trPr>
          <w:trHeight w:val="149"/>
        </w:trPr>
        <w:tc>
          <w:tcPr>
            <w:tcW w:w="3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Fiscal 2029</w:t>
            </w: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709</w:t>
            </w:r>
          </w:p>
        </w:tc>
      </w:tr>
      <w:tr>
        <w:trPr>
          <w:trHeight w:val="149"/>
        </w:trPr>
        <w:tc>
          <w:tcPr>
            <w:tcW w:w="3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Fiscal 2030 through 2034</w:t>
            </w: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2,864</w:t>
            </w:r>
          </w:p>
        </w:tc>
      </w:tr>
    </w:tbl>
    <w:p>
      <w:pPr>
        <w:spacing w:after="0" w:line="166" w:lineRule="exact"/>
        <w:rPr>
          <w:sz w:val="20"/>
          <w:szCs w:val="20"/>
          <w:color w:val="auto"/>
        </w:rPr>
      </w:pPr>
    </w:p>
    <w:p>
      <w:pPr>
        <w:jc w:val="both"/>
        <w:ind w:left="20" w:right="780" w:hanging="4"/>
        <w:spacing w:after="0" w:line="248" w:lineRule="auto"/>
        <w:rPr>
          <w:sz w:val="20"/>
          <w:szCs w:val="20"/>
          <w:color w:val="auto"/>
        </w:rPr>
      </w:pPr>
      <w:r>
        <w:rPr>
          <w:rFonts w:ascii="Times New Roman" w:cs="Times New Roman" w:eastAsia="Times New Roman" w:hAnsi="Times New Roman"/>
          <w:sz w:val="12"/>
          <w:szCs w:val="12"/>
          <w:color w:val="auto"/>
        </w:rPr>
        <w:t>Of the $1 ,066 net gain recognized in accumulated other comprehensive income at November 30, 2024,$65 of amortization is expected to be recognized as a component of net periodic pension cost during fisca12025.</w:t>
      </w:r>
    </w:p>
    <w:p>
      <w:pPr>
        <w:spacing w:after="0" w:line="161" w:lineRule="exact"/>
        <w:rPr>
          <w:sz w:val="20"/>
          <w:szCs w:val="20"/>
          <w:color w:val="auto"/>
        </w:rPr>
      </w:pPr>
    </w:p>
    <w:p>
      <w:pPr>
        <w:ind w:right="980"/>
        <w:spacing w:after="0" w:line="247" w:lineRule="auto"/>
        <w:rPr>
          <w:sz w:val="20"/>
          <w:szCs w:val="20"/>
          <w:color w:val="auto"/>
        </w:rPr>
      </w:pPr>
      <w:r>
        <w:rPr>
          <w:rFonts w:ascii="Times New Roman" w:cs="Times New Roman" w:eastAsia="Times New Roman" w:hAnsi="Times New Roman"/>
          <w:sz w:val="12"/>
          <w:szCs w:val="12"/>
          <w:color w:val="auto"/>
        </w:rPr>
        <w:t>The components of net periodic pension cost other than the serv ice cost component are included in other loss, net in our consolidated statements of operations.</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Deferred Compensation Plan</w:t>
      </w:r>
    </w:p>
    <w:p>
      <w:pPr>
        <w:spacing w:after="0" w:line="166" w:lineRule="exact"/>
        <w:rPr>
          <w:sz w:val="20"/>
          <w:szCs w:val="20"/>
          <w:color w:val="auto"/>
        </w:rPr>
      </w:pPr>
    </w:p>
    <w:p>
      <w:pPr>
        <w:jc w:val="both"/>
        <w:ind w:right="760" w:firstLine="6"/>
        <w:spacing w:after="0" w:line="256" w:lineRule="auto"/>
        <w:rPr>
          <w:sz w:val="20"/>
          <w:szCs w:val="20"/>
          <w:color w:val="auto"/>
        </w:rPr>
      </w:pPr>
      <w:r>
        <w:rPr>
          <w:rFonts w:ascii="Times New Roman" w:cs="Times New Roman" w:eastAsia="Times New Roman" w:hAnsi="Times New Roman"/>
          <w:sz w:val="12"/>
          <w:szCs w:val="12"/>
          <w:color w:val="auto"/>
        </w:rPr>
        <w:t>We have an unfunded Deferred Compensation Plan that covers one current and certain former executives and provides for voluntary deferral of compensation. This plan has been fro zen with no additional participants or benefits permitted. We recognized expense of$79, $204, and $154 in fi scal2024, 2023 , and 2022, respectively, associated with th e plan. Our liability und er this plan was $1 ,568 and $1 ,655 as of November 30, 2024 and November 25, 2023 , respectively . Th e non-current portion of this obligation is included in post-employ ment benefit obligations in our consolidated balance sheets, with the current portion included in accrued compensation and benefits.</w:t>
      </w:r>
    </w:p>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Defined Contribution Plan</w:t>
      </w:r>
    </w:p>
    <w:p>
      <w:pPr>
        <w:spacing w:after="0" w:line="166" w:lineRule="exact"/>
        <w:rPr>
          <w:sz w:val="20"/>
          <w:szCs w:val="20"/>
          <w:color w:val="auto"/>
        </w:rPr>
      </w:pPr>
    </w:p>
    <w:p>
      <w:pPr>
        <w:jc w:val="both"/>
        <w:ind w:right="760" w:firstLine="6"/>
        <w:spacing w:after="0" w:line="255" w:lineRule="auto"/>
        <w:rPr>
          <w:sz w:val="20"/>
          <w:szCs w:val="20"/>
          <w:color w:val="auto"/>
        </w:rPr>
      </w:pPr>
      <w:r>
        <w:rPr>
          <w:rFonts w:ascii="Times New Roman" w:cs="Times New Roman" w:eastAsia="Times New Roman" w:hAnsi="Times New Roman"/>
          <w:sz w:val="12"/>
          <w:szCs w:val="12"/>
          <w:color w:val="auto"/>
        </w:rPr>
        <w:t>We have a qualified defined contribution plan (Employee Savings/Retirement Plan) that covers substantially all employees who elect to participate and have fulfilled th e necessary service requirem ents. Employee contributions to the Plan are matched at the rate of25% of up to 8% of gross pay, regardless of years of service. Expense for employer matchin g contributions was $943, $998 and $1 , 108 during fi scal2024, 2023 and 2022, respectively .</w:t>
      </w:r>
    </w:p>
    <w:p>
      <w:pPr>
        <w:spacing w:after="0" w:line="300" w:lineRule="exact"/>
        <w:rPr>
          <w:sz w:val="20"/>
          <w:szCs w:val="20"/>
          <w:color w:val="auto"/>
        </w:rPr>
      </w:pPr>
    </w:p>
    <w:p>
      <w:pPr>
        <w:ind w:left="200" w:hanging="183"/>
        <w:spacing w:after="0"/>
        <w:tabs>
          <w:tab w:leader="none" w:pos="20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Accumulated Other Comprehensive Income (Loss)</w:t>
      </w:r>
    </w:p>
    <w:p>
      <w:pPr>
        <w:spacing w:after="0" w:line="166" w:lineRule="exact"/>
        <w:rPr>
          <w:sz w:val="20"/>
          <w:szCs w:val="20"/>
          <w:color w:val="auto"/>
        </w:rPr>
      </w:pPr>
    </w:p>
    <w:p>
      <w:pPr>
        <w:jc w:val="both"/>
        <w:ind w:right="760"/>
        <w:spacing w:after="0" w:line="253" w:lineRule="auto"/>
        <w:rPr>
          <w:sz w:val="20"/>
          <w:szCs w:val="20"/>
          <w:color w:val="auto"/>
        </w:rPr>
      </w:pPr>
      <w:r>
        <w:rPr>
          <w:rFonts w:ascii="Times New Roman" w:cs="Times New Roman" w:eastAsia="Times New Roman" w:hAnsi="Times New Roman"/>
          <w:sz w:val="12"/>
          <w:szCs w:val="12"/>
          <w:color w:val="auto"/>
        </w:rPr>
        <w:t>The activity in accumulated other comprehensive incom e (loss) for the fi scal years ended November 30, 2024 and November 25, 2023, which is comprised of post-retirem ent benefit costs related to our SERP and LTC Awards as well as cumulative translation adjustments arising from our investment in Noa !-lome, is as follows: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43"/>
        </w:trPr>
        <w:tc>
          <w:tcPr>
            <w:tcW w:w="5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Balance at November 26, 2022</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40" w:type="dxa"/>
            <w:vAlign w:val="bottom"/>
          </w:tcPr>
          <w:p>
            <w:pPr>
              <w:spacing w:after="0"/>
              <w:rPr>
                <w:sz w:val="12"/>
                <w:szCs w:val="12"/>
                <w:color w:val="auto"/>
              </w:rPr>
            </w:pPr>
          </w:p>
        </w:tc>
      </w:tr>
      <w:tr>
        <w:trPr>
          <w:trHeight w:val="163"/>
        </w:trPr>
        <w:tc>
          <w:tcPr>
            <w:tcW w:w="5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Actuarial ga ins</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w:t>
            </w:r>
          </w:p>
        </w:tc>
        <w:tc>
          <w:tcPr>
            <w:tcW w:w="40" w:type="dxa"/>
            <w:vAlign w:val="bottom"/>
          </w:tcPr>
          <w:p>
            <w:pPr>
              <w:spacing w:after="0"/>
              <w:rPr>
                <w:sz w:val="14"/>
                <w:szCs w:val="14"/>
                <w:color w:val="auto"/>
              </w:rPr>
            </w:pPr>
          </w:p>
        </w:tc>
      </w:tr>
      <w:tr>
        <w:trPr>
          <w:trHeight w:val="168"/>
        </w:trPr>
        <w:tc>
          <w:tcPr>
            <w:tcW w:w="5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pension amortization reclass ifi ed from accumulated other comprehensive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40" w:type="dxa"/>
            <w:vAlign w:val="bottom"/>
          </w:tcPr>
          <w:p>
            <w:pPr>
              <w:spacing w:after="0"/>
              <w:rPr>
                <w:sz w:val="14"/>
                <w:szCs w:val="14"/>
                <w:color w:val="auto"/>
              </w:rPr>
            </w:pPr>
          </w:p>
        </w:tc>
      </w:tr>
      <w:tr>
        <w:trPr>
          <w:trHeight w:val="168"/>
        </w:trPr>
        <w:tc>
          <w:tcPr>
            <w:tcW w:w="5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(378)</w:t>
            </w:r>
          </w:p>
        </w:tc>
      </w:tr>
      <w:tr>
        <w:trPr>
          <w:trHeight w:val="174"/>
        </w:trPr>
        <w:tc>
          <w:tcPr>
            <w:tcW w:w="5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 effects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42"/>
        </w:trPr>
        <w:tc>
          <w:tcPr>
            <w:tcW w:w="5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Balance at November 25 , 2023</w:t>
            </w:r>
          </w:p>
        </w:tc>
        <w:tc>
          <w:tcPr>
            <w:tcW w:w="980" w:type="dxa"/>
            <w:vAlign w:val="bottom"/>
            <w:tcBorders>
              <w:top w:val="single" w:sz="8" w:color="201C20"/>
            </w:tcBorders>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40" w:type="dxa"/>
            <w:vAlign w:val="bottom"/>
          </w:tcPr>
          <w:p>
            <w:pPr>
              <w:spacing w:after="0"/>
              <w:rPr>
                <w:sz w:val="12"/>
                <w:szCs w:val="12"/>
                <w:color w:val="auto"/>
              </w:rPr>
            </w:pPr>
          </w:p>
        </w:tc>
      </w:tr>
      <w:tr>
        <w:trPr>
          <w:trHeight w:val="168"/>
        </w:trPr>
        <w:tc>
          <w:tcPr>
            <w:tcW w:w="5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Actuarial gains</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40" w:type="dxa"/>
            <w:vAlign w:val="bottom"/>
          </w:tcPr>
          <w:p>
            <w:pPr>
              <w:spacing w:after="0"/>
              <w:rPr>
                <w:sz w:val="14"/>
                <w:szCs w:val="14"/>
                <w:color w:val="auto"/>
              </w:rPr>
            </w:pPr>
          </w:p>
        </w:tc>
      </w:tr>
      <w:tr>
        <w:trPr>
          <w:trHeight w:val="168"/>
        </w:trPr>
        <w:tc>
          <w:tcPr>
            <w:tcW w:w="5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pension amortization reclass ifi ed from accumulated other comprehensive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40" w:type="dxa"/>
            <w:vAlign w:val="bottom"/>
          </w:tcPr>
          <w:p>
            <w:pPr>
              <w:spacing w:after="0"/>
              <w:rPr>
                <w:sz w:val="14"/>
                <w:szCs w:val="14"/>
                <w:color w:val="auto"/>
              </w:rPr>
            </w:pPr>
          </w:p>
        </w:tc>
      </w:tr>
      <w:tr>
        <w:trPr>
          <w:trHeight w:val="168"/>
        </w:trPr>
        <w:tc>
          <w:tcPr>
            <w:tcW w:w="5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Foreign currency translation adjustment </w:t>
            </w:r>
            <w:r>
              <w:rPr>
                <w:rFonts w:ascii="Arial" w:cs="Arial" w:eastAsia="Arial" w:hAnsi="Arial"/>
                <w:sz w:val="7"/>
                <w:szCs w:val="7"/>
                <w:color w:val="auto"/>
              </w:rPr>
              <w:t>( I)</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652</w:t>
            </w:r>
          </w:p>
        </w:tc>
        <w:tc>
          <w:tcPr>
            <w:tcW w:w="40" w:type="dxa"/>
            <w:vAlign w:val="bottom"/>
          </w:tcPr>
          <w:p>
            <w:pPr>
              <w:spacing w:after="0"/>
              <w:rPr>
                <w:sz w:val="14"/>
                <w:szCs w:val="14"/>
                <w:color w:val="auto"/>
              </w:rPr>
            </w:pPr>
          </w:p>
        </w:tc>
      </w:tr>
      <w:tr>
        <w:trPr>
          <w:trHeight w:val="173"/>
        </w:trPr>
        <w:tc>
          <w:tcPr>
            <w:tcW w:w="5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 effects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(220)</w:t>
            </w:r>
          </w:p>
        </w:tc>
      </w:tr>
      <w:tr>
        <w:trPr>
          <w:trHeight w:val="152"/>
        </w:trPr>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Balance at November 30, 2024</w:t>
            </w:r>
          </w:p>
        </w:tc>
        <w:tc>
          <w:tcPr>
            <w:tcW w:w="20" w:type="dxa"/>
            <w:vAlign w:val="bottom"/>
            <w:tcBorders>
              <w:bottom w:val="single" w:sz="8" w:color="4C4848"/>
            </w:tcBorders>
          </w:tcPr>
          <w:p>
            <w:pPr>
              <w:spacing w:after="0"/>
              <w:rPr>
                <w:sz w:val="13"/>
                <w:szCs w:val="13"/>
                <w:color w:val="auto"/>
              </w:rPr>
            </w:pPr>
          </w:p>
        </w:tc>
        <w:tc>
          <w:tcPr>
            <w:tcW w:w="980" w:type="dxa"/>
            <w:vAlign w:val="bottom"/>
            <w:tcBorders>
              <w:top w:val="single" w:sz="8" w:color="201C20"/>
              <w:bottom w:val="single" w:sz="8" w:color="4C4848"/>
            </w:tcBorders>
          </w:tcPr>
          <w:p>
            <w:pPr>
              <w:jc w:val="right"/>
              <w:spacing w:after="0"/>
              <w:rPr>
                <w:sz w:val="20"/>
                <w:szCs w:val="20"/>
                <w:color w:val="auto"/>
              </w:rPr>
            </w:pPr>
            <w:r>
              <w:rPr>
                <w:rFonts w:ascii="Times New Roman" w:cs="Times New Roman" w:eastAsia="Times New Roman" w:hAnsi="Times New Roman"/>
                <w:sz w:val="12"/>
                <w:szCs w:val="12"/>
                <w:color w:val="auto"/>
              </w:rPr>
              <w:t>793</w:t>
            </w:r>
          </w:p>
        </w:tc>
        <w:tc>
          <w:tcPr>
            <w:tcW w:w="40" w:type="dxa"/>
            <w:vAlign w:val="bottom"/>
          </w:tcPr>
          <w:p>
            <w:pPr>
              <w:spacing w:after="0"/>
              <w:rPr>
                <w:sz w:val="13"/>
                <w:szCs w:val="13"/>
                <w:color w:val="auto"/>
              </w:rPr>
            </w:pPr>
          </w:p>
        </w:tc>
      </w:tr>
    </w:tbl>
    <w:p>
      <w:pPr>
        <w:spacing w:after="0" w:line="175" w:lineRule="exact"/>
        <w:rPr>
          <w:sz w:val="20"/>
          <w:szCs w:val="20"/>
          <w:color w:val="auto"/>
        </w:rPr>
      </w:pPr>
    </w:p>
    <w:p>
      <w:pPr>
        <w:ind w:left="500" w:right="760" w:hanging="248"/>
        <w:spacing w:after="0" w:line="248" w:lineRule="auto"/>
        <w:tabs>
          <w:tab w:leader="none" w:pos="50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the tran sfer of $962 of cumulative tran slation loss out of accumulated other comprehensive loss into the fi scal 2024 loss from operations upon the substantial completion of the liquidation ofNoa Home (See Note 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 sands, except share and per share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 Capital Stock and Stock Compensation</w:t>
      </w:r>
    </w:p>
    <w:p>
      <w:pPr>
        <w:spacing w:after="0" w:line="160" w:lineRule="exact"/>
        <w:rPr>
          <w:sz w:val="20"/>
          <w:szCs w:val="20"/>
          <w:color w:val="auto"/>
        </w:rPr>
      </w:pPr>
    </w:p>
    <w:p>
      <w:pPr>
        <w:jc w:val="both"/>
        <w:ind w:firstLine="9"/>
        <w:spacing w:after="0" w:line="258" w:lineRule="auto"/>
        <w:rPr>
          <w:sz w:val="20"/>
          <w:szCs w:val="20"/>
          <w:color w:val="auto"/>
        </w:rPr>
      </w:pPr>
      <w:r>
        <w:rPr>
          <w:rFonts w:ascii="Times New Roman" w:cs="Times New Roman" w:eastAsia="Times New Roman" w:hAnsi="Times New Roman"/>
          <w:sz w:val="12"/>
          <w:szCs w:val="12"/>
          <w:color w:val="auto"/>
        </w:rPr>
        <w:t xml:space="preserve">We account for our stock-based employee and director compensation plans in accordance with ASC 718, </w:t>
      </w:r>
      <w:r>
        <w:rPr>
          <w:rFonts w:ascii="Times New Roman" w:cs="Times New Roman" w:eastAsia="Times New Roman" w:hAnsi="Times New Roman"/>
          <w:sz w:val="12"/>
          <w:szCs w:val="12"/>
          <w:i w:val="1"/>
          <w:iCs w:val="1"/>
          <w:color w:val="auto"/>
        </w:rPr>
        <w:t>Compensation -</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Stock Compensation. </w:t>
      </w:r>
      <w:r>
        <w:rPr>
          <w:rFonts w:ascii="Times New Roman" w:cs="Times New Roman" w:eastAsia="Times New Roman" w:hAnsi="Times New Roman"/>
          <w:sz w:val="12"/>
          <w:szCs w:val="12"/>
          <w:color w:val="auto"/>
        </w:rPr>
        <w:t>ASC 718 requires recognition of the cost of employee services received in exchange for an award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equity instruments in the financial statements over the period the employee is required to perform the services in exchange for the award (presumpti vely the vesting period) which we recognize on a straight-line basis . Compensation expense related to restricted stock and stock options included in se lling, general and administrative expenses in our consolidated statements of operations for fiscal 2024, 2023 and 2022 was as follows:</w:t>
      </w:r>
    </w:p>
    <w:p>
      <w:pPr>
        <w:spacing w:after="0" w:line="161" w:lineRule="exact"/>
        <w:rPr>
          <w:sz w:val="20"/>
          <w:szCs w:val="20"/>
          <w:color w:val="auto"/>
        </w:rPr>
      </w:pPr>
    </w:p>
    <w:p>
      <w:pPr>
        <w:ind w:left="3280"/>
        <w:spacing w:after="0"/>
        <w:tabs>
          <w:tab w:leader="none" w:pos="4120" w:val="left"/>
          <w:tab w:leader="none" w:pos="4980" w:val="left"/>
        </w:tabs>
        <w:rPr>
          <w:sz w:val="20"/>
          <w:szCs w:val="20"/>
          <w:color w:val="auto"/>
        </w:rPr>
      </w:pPr>
      <w:r>
        <w:rPr>
          <w:rFonts w:ascii="Times New Roman" w:cs="Times New Roman" w:eastAsia="Times New Roman" w:hAnsi="Times New Roman"/>
          <w:sz w:val="12"/>
          <w:szCs w:val="12"/>
          <w:color w:val="auto"/>
        </w:rPr>
        <w:t>2024</w:t>
      </w:r>
      <w:r>
        <w:rPr>
          <w:sz w:val="20"/>
          <w:szCs w:val="20"/>
          <w:color w:val="auto"/>
        </w:rPr>
        <w:tab/>
      </w:r>
      <w:r>
        <w:rPr>
          <w:rFonts w:ascii="Times New Roman" w:cs="Times New Roman" w:eastAsia="Times New Roman" w:hAnsi="Times New Roman"/>
          <w:sz w:val="12"/>
          <w:szCs w:val="12"/>
          <w:color w:val="auto"/>
        </w:rPr>
        <w:t>2023</w:t>
      </w:r>
      <w:r>
        <w:rPr>
          <w:sz w:val="20"/>
          <w:szCs w:val="20"/>
          <w:color w:val="auto"/>
        </w:rPr>
        <w:tab/>
      </w:r>
      <w:r>
        <w:rPr>
          <w:rFonts w:ascii="Times New Roman" w:cs="Times New Roman" w:eastAsia="Times New Roman" w:hAnsi="Times New Roman"/>
          <w:sz w:val="12"/>
          <w:szCs w:val="12"/>
          <w:color w:val="auto"/>
        </w:rPr>
        <w:t>2022</w:t>
      </w:r>
    </w:p>
    <w:p>
      <w:pPr>
        <w:spacing w:after="0" w:line="198"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2260" w:type="dxa"/>
            <w:vAlign w:val="bottom"/>
          </w:tcPr>
          <w:p>
            <w:pPr>
              <w:spacing w:after="0"/>
              <w:rPr>
                <w:sz w:val="20"/>
                <w:szCs w:val="20"/>
                <w:color w:val="auto"/>
              </w:rPr>
            </w:pPr>
            <w:r>
              <w:rPr>
                <w:rFonts w:ascii="Times New Roman" w:cs="Times New Roman" w:eastAsia="Times New Roman" w:hAnsi="Times New Roman"/>
                <w:sz w:val="12"/>
                <w:szCs w:val="12"/>
                <w:color w:val="auto"/>
              </w:rPr>
              <w:t>Stock based compensation expense</w:t>
            </w:r>
          </w:p>
        </w:tc>
        <w:tc>
          <w:tcPr>
            <w:tcW w:w="9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804</w:t>
            </w:r>
          </w:p>
        </w:tc>
        <w:tc>
          <w:tcPr>
            <w:tcW w:w="8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849</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w:t>
            </w:r>
          </w:p>
        </w:tc>
      </w:tr>
    </w:tbl>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Incentive Stock Compensation Plans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2021 Phm</w:t>
      </w:r>
    </w:p>
    <w:p>
      <w:pPr>
        <w:spacing w:after="0" w:line="165" w:lineRule="exact"/>
        <w:rPr>
          <w:sz w:val="20"/>
          <w:szCs w:val="20"/>
          <w:color w:val="auto"/>
        </w:rPr>
      </w:pPr>
    </w:p>
    <w:p>
      <w:pPr>
        <w:jc w:val="both"/>
        <w:ind w:right="20" w:firstLine="1"/>
        <w:spacing w:after="0" w:line="257" w:lineRule="auto"/>
        <w:rPr>
          <w:sz w:val="20"/>
          <w:szCs w:val="20"/>
          <w:color w:val="auto"/>
        </w:rPr>
      </w:pPr>
      <w:r>
        <w:rPr>
          <w:rFonts w:ascii="Times New Roman" w:cs="Times New Roman" w:eastAsia="Times New Roman" w:hAnsi="Times New Roman"/>
          <w:sz w:val="12"/>
          <w:szCs w:val="12"/>
          <w:color w:val="auto"/>
        </w:rPr>
        <w:t>On March I 0, 2021 , our shareholders approved the Bassett Furniture Indu stri es, Incorporated 2021 Stock Incentive Plan (the "202 1 Plan"). All present and future non-employee directors, key employees and outside consultants for the Company are eligible to receive incenti ve awards under the 2021 Plan. Our Organization, Compensation and Nominating Committee (the "OCN Committee") se lects eligible key employees and outside consultants to receive awards under th e 2021 Plan in its discretion. Our Board of Directors or any committee designated by the Board of Directors se lects eligible non-employee directors to receive awards und er the 2021 Plan in its di scretion. Five hundred thousand (500,000) shares of common stock are reserved for issuance und er th e 2021 Plan. Participants may rece ive the following types of incentive awards under th e 2021 Plan: stock options, stock appreciation rights, pay ment shares, restricted stock , restricted stock units and perfonnance shares . Stock options may be incentive stock options or non-qualified stock options. Stock appreciation rights may be granted in tandem with stock options or as a freestanding award. Non-employee direc tors and outside consultants are elig ible to rece ive restricted stock and restricted stock units only. Th e full terms of the 2021 Plan have been filed as an exhibit to our Schedule 14A filed with the United States Securities and Exchange Commission on February 8, 2021.</w:t>
      </w:r>
    </w:p>
    <w:p>
      <w:pPr>
        <w:spacing w:after="0" w:line="161" w:lineRule="exact"/>
        <w:rPr>
          <w:sz w:val="20"/>
          <w:szCs w:val="20"/>
          <w:color w:val="auto"/>
        </w:rPr>
      </w:pPr>
    </w:p>
    <w:p>
      <w:pPr>
        <w:jc w:val="both"/>
        <w:ind w:right="20" w:firstLine="6"/>
        <w:spacing w:after="0" w:line="248" w:lineRule="auto"/>
        <w:rPr>
          <w:sz w:val="20"/>
          <w:szCs w:val="20"/>
          <w:color w:val="auto"/>
        </w:rPr>
      </w:pPr>
      <w:r>
        <w:rPr>
          <w:rFonts w:ascii="Times New Roman" w:cs="Times New Roman" w:eastAsia="Times New Roman" w:hAnsi="Times New Roman"/>
          <w:sz w:val="12"/>
          <w:szCs w:val="12"/>
          <w:color w:val="auto"/>
        </w:rPr>
        <w:t>We have elected to account for forfeitures as th ey occur. Compensation cost for awards with graded vesting schedules are accounted for on a straight-line basis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Restricted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Changes in the outstanding non-vested restri cted shares during the year ended November 30, 2024 were as follows: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Weighted</w:t>
            </w:r>
          </w:p>
        </w:tc>
      </w:tr>
      <w:tr>
        <w:trPr>
          <w:trHeight w:val="149"/>
        </w:trPr>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Average</w:t>
            </w:r>
          </w:p>
        </w:tc>
      </w:tr>
      <w:tr>
        <w:trPr>
          <w:trHeight w:val="149"/>
        </w:trPr>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Grant Date</w:t>
            </w:r>
          </w:p>
        </w:tc>
      </w:tr>
      <w:tr>
        <w:trPr>
          <w:trHeight w:val="149"/>
        </w:trPr>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Number of</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Fair Value Per</w:t>
            </w:r>
          </w:p>
        </w:tc>
      </w:tr>
      <w:tr>
        <w:trPr>
          <w:trHeight w:val="147"/>
        </w:trPr>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3"/>
                <w:szCs w:val="13"/>
                <w:color w:val="auto"/>
              </w:rPr>
              <w:t>Shares</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Share</w:t>
            </w:r>
          </w:p>
        </w:tc>
      </w:tr>
      <w:tr>
        <w:trPr>
          <w:trHeight w:val="289"/>
        </w:trPr>
        <w:tc>
          <w:tcPr>
            <w:tcW w:w="4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Non-vested restricted shares outstanding at November 25, 2023</w:t>
            </w:r>
          </w:p>
        </w:tc>
        <w:tc>
          <w:tcPr>
            <w:tcW w:w="960" w:type="dxa"/>
            <w:vAlign w:val="bottom"/>
            <w:tcBorders>
              <w:top w:val="single" w:sz="8" w:color="585454"/>
            </w:tcBorders>
          </w:tcPr>
          <w:p>
            <w:pPr>
              <w:jc w:val="center"/>
              <w:ind w:left="519"/>
              <w:spacing w:after="0"/>
              <w:rPr>
                <w:sz w:val="20"/>
                <w:szCs w:val="20"/>
                <w:color w:val="auto"/>
              </w:rPr>
            </w:pPr>
            <w:r>
              <w:rPr>
                <w:rFonts w:ascii="Times New Roman" w:cs="Times New Roman" w:eastAsia="Times New Roman" w:hAnsi="Times New Roman"/>
                <w:sz w:val="12"/>
                <w:szCs w:val="12"/>
                <w:color w:val="auto"/>
              </w:rPr>
              <w:t>92,313</w:t>
            </w:r>
          </w:p>
        </w:tc>
        <w:tc>
          <w:tcPr>
            <w:tcW w:w="120" w:type="dxa"/>
            <w:vAlign w:val="bottom"/>
          </w:tcPr>
          <w:p>
            <w:pPr>
              <w:spacing w:after="0"/>
              <w:rPr>
                <w:sz w:val="24"/>
                <w:szCs w:val="24"/>
                <w:color w:val="auto"/>
              </w:rPr>
            </w:pPr>
          </w:p>
        </w:tc>
        <w:tc>
          <w:tcPr>
            <w:tcW w:w="980" w:type="dxa"/>
            <w:vAlign w:val="bottom"/>
            <w:tcBorders>
              <w:top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17.13</w:t>
            </w:r>
          </w:p>
        </w:tc>
      </w:tr>
      <w:tr>
        <w:trPr>
          <w:trHeight w:val="149"/>
        </w:trPr>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Granted</w:t>
            </w:r>
          </w:p>
        </w:tc>
        <w:tc>
          <w:tcPr>
            <w:tcW w:w="960" w:type="dxa"/>
            <w:vAlign w:val="bottom"/>
          </w:tcPr>
          <w:p>
            <w:pPr>
              <w:jc w:val="center"/>
              <w:ind w:left="539"/>
              <w:spacing w:after="0"/>
              <w:rPr>
                <w:sz w:val="20"/>
                <w:szCs w:val="20"/>
                <w:color w:val="auto"/>
              </w:rPr>
            </w:pPr>
            <w:r>
              <w:rPr>
                <w:rFonts w:ascii="Times New Roman" w:cs="Times New Roman" w:eastAsia="Times New Roman" w:hAnsi="Times New Roman"/>
                <w:sz w:val="12"/>
                <w:szCs w:val="12"/>
                <w:color w:val="auto"/>
              </w:rPr>
              <w:t>48,109</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16.62</w:t>
            </w:r>
          </w:p>
        </w:tc>
      </w:tr>
      <w:tr>
        <w:trPr>
          <w:trHeight w:val="147"/>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Vested</w:t>
            </w:r>
          </w:p>
        </w:tc>
        <w:tc>
          <w:tcPr>
            <w:tcW w:w="1080" w:type="dxa"/>
            <w:vAlign w:val="bottom"/>
            <w:gridSpan w:val="2"/>
          </w:tcPr>
          <w:p>
            <w:pPr>
              <w:jc w:val="center"/>
              <w:ind w:left="419"/>
              <w:spacing w:after="0"/>
              <w:rPr>
                <w:sz w:val="20"/>
                <w:szCs w:val="20"/>
                <w:color w:val="auto"/>
              </w:rPr>
            </w:pPr>
            <w:r>
              <w:rPr>
                <w:rFonts w:ascii="Times New Roman" w:cs="Times New Roman" w:eastAsia="Times New Roman" w:hAnsi="Times New Roman"/>
                <w:sz w:val="12"/>
                <w:szCs w:val="12"/>
                <w:color w:val="auto"/>
              </w:rPr>
              <w:t>(46,013)</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17.29</w:t>
            </w:r>
          </w:p>
        </w:tc>
      </w:tr>
      <w:tr>
        <w:trPr>
          <w:trHeight w:val="130"/>
        </w:trPr>
        <w:tc>
          <w:tcPr>
            <w:tcW w:w="42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Non-vested restricted shares outstanding at November 30, 2024</w:t>
            </w:r>
          </w:p>
        </w:tc>
        <w:tc>
          <w:tcPr>
            <w:tcW w:w="20" w:type="dxa"/>
            <w:vAlign w:val="bottom"/>
            <w:tcBorders>
              <w:bottom w:val="single" w:sz="8" w:color="242020"/>
            </w:tcBorders>
          </w:tcPr>
          <w:p>
            <w:pPr>
              <w:spacing w:after="0"/>
              <w:rPr>
                <w:sz w:val="11"/>
                <w:szCs w:val="11"/>
                <w:color w:val="auto"/>
              </w:rPr>
            </w:pPr>
          </w:p>
        </w:tc>
        <w:tc>
          <w:tcPr>
            <w:tcW w:w="960" w:type="dxa"/>
            <w:vAlign w:val="bottom"/>
            <w:tcBorders>
              <w:top w:val="single" w:sz="8" w:color="585454"/>
              <w:bottom w:val="single" w:sz="8" w:color="242020"/>
            </w:tcBorders>
          </w:tcPr>
          <w:p>
            <w:pPr>
              <w:jc w:val="center"/>
              <w:ind w:left="539"/>
              <w:spacing w:after="0" w:line="126" w:lineRule="exact"/>
              <w:rPr>
                <w:sz w:val="20"/>
                <w:szCs w:val="20"/>
                <w:color w:val="auto"/>
              </w:rPr>
            </w:pPr>
            <w:r>
              <w:rPr>
                <w:rFonts w:ascii="Times New Roman" w:cs="Times New Roman" w:eastAsia="Times New Roman" w:hAnsi="Times New Roman"/>
                <w:sz w:val="12"/>
                <w:szCs w:val="12"/>
                <w:color w:val="auto"/>
              </w:rPr>
              <w:t>94,409</w:t>
            </w:r>
          </w:p>
        </w:tc>
        <w:tc>
          <w:tcPr>
            <w:tcW w:w="120" w:type="dxa"/>
            <w:vAlign w:val="bottom"/>
          </w:tcPr>
          <w:p>
            <w:pPr>
              <w:spacing w:after="0"/>
              <w:rPr>
                <w:sz w:val="11"/>
                <w:szCs w:val="11"/>
                <w:color w:val="auto"/>
              </w:rPr>
            </w:pPr>
          </w:p>
        </w:tc>
        <w:tc>
          <w:tcPr>
            <w:tcW w:w="9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15.77</w:t>
            </w:r>
          </w:p>
        </w:tc>
      </w:tr>
    </w:tbl>
    <w:p>
      <w:pPr>
        <w:spacing w:after="0" w:line="184" w:lineRule="exact"/>
        <w:rPr>
          <w:sz w:val="20"/>
          <w:szCs w:val="20"/>
          <w:color w:val="auto"/>
        </w:rPr>
      </w:pPr>
    </w:p>
    <w:p>
      <w:pPr>
        <w:jc w:val="both"/>
        <w:ind w:right="20" w:firstLine="6"/>
        <w:spacing w:after="0" w:line="256" w:lineRule="auto"/>
        <w:rPr>
          <w:sz w:val="20"/>
          <w:szCs w:val="20"/>
          <w:color w:val="auto"/>
        </w:rPr>
      </w:pPr>
      <w:r>
        <w:rPr>
          <w:rFonts w:ascii="Times New Roman" w:cs="Times New Roman" w:eastAsia="Times New Roman" w:hAnsi="Times New Roman"/>
          <w:sz w:val="12"/>
          <w:szCs w:val="12"/>
          <w:color w:val="auto"/>
        </w:rPr>
        <w:t>During fiscal 2024, 46,013 restricted shares were vested and released, of which 30,900 shares had been granted to employees and 15 ,113 shares had been granted to directors. During fiscal2024, 2023 and 2022, 10,360 shares, 5,985 shares and 1,225 shares, respective ly, were withheld to cover withholding taxes of$161 , $109 and $19, respectively, arising from th e vesting of restricted shares . During fi scal2024, 2023 and 2022, excess tax benefits of$9, $10 and $1 , respectively, were recogni zed within incom e tax expense upon the release of vested shares .</w:t>
      </w:r>
    </w:p>
    <w:p>
      <w:pPr>
        <w:spacing w:after="0" w:line="685" w:lineRule="exact"/>
        <w:rPr>
          <w:sz w:val="20"/>
          <w:szCs w:val="20"/>
          <w:color w:val="auto"/>
        </w:rPr>
      </w:pPr>
    </w:p>
    <w:p>
      <w:pPr>
        <w:sectPr>
          <w:pgSz w:w="15840" w:h="12240" w:orient="landscape"/>
          <w:cols w:equalWidth="0" w:num="2">
            <w:col w:w="7200" w:space="720"/>
            <w:col w:w="6460"/>
          </w:cols>
          <w:pgMar w:left="740" w:top="1440" w:right="720" w:bottom="897" w:gutter="0" w:footer="0" w:header="0"/>
        </w:sectPr>
      </w:pPr>
    </w:p>
    <w:p>
      <w:pPr>
        <w:spacing w:after="0" w:line="46"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37</w:t>
      </w:r>
      <w:r>
        <w:rPr>
          <w:sz w:val="20"/>
          <w:szCs w:val="20"/>
          <w:color w:val="auto"/>
        </w:rPr>
        <w:tab/>
      </w:r>
      <w:r>
        <w:rPr>
          <w:rFonts w:ascii="Times New Roman" w:cs="Times New Roman" w:eastAsia="Times New Roman" w:hAnsi="Times New Roman"/>
          <w:sz w:val="12"/>
          <w:szCs w:val="12"/>
          <w:color w:val="auto"/>
        </w:rPr>
        <w:t>38</w:t>
      </w:r>
    </w:p>
    <w:p>
      <w:pPr>
        <w:sectPr>
          <w:pgSz w:w="15840" w:h="12240" w:orient="landscape"/>
          <w:cols w:equalWidth="0" w:num="1">
            <w:col w:w="14380"/>
          </w:cols>
          <w:pgMar w:left="740" w:top="1440" w:right="720" w:bottom="897" w:gutter="0" w:footer="0" w:header="0"/>
          <w:type w:val="continuous"/>
        </w:sectPr>
      </w:pPr>
    </w:p>
    <w:bookmarkStart w:id="23" w:name="page24"/>
    <w:bookmarkEnd w:id="23"/>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0058400" cy="7772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thousands, except share and per share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Additional information regarding our outstanding non-vested restricted shares, which are all </w:t>
      </w:r>
      <w:r>
        <w:rPr>
          <w:rFonts w:ascii="Arial" w:cs="Arial" w:eastAsia="Arial" w:hAnsi="Arial"/>
          <w:sz w:val="9"/>
          <w:szCs w:val="9"/>
          <w:color w:val="auto"/>
        </w:rPr>
        <w:t>su~ject</w:t>
      </w:r>
      <w:r>
        <w:rPr>
          <w:rFonts w:ascii="Times New Roman" w:cs="Times New Roman" w:eastAsia="Times New Roman" w:hAnsi="Times New Roman"/>
          <w:sz w:val="12"/>
          <w:szCs w:val="12"/>
          <w:color w:val="auto"/>
        </w:rPr>
        <w:t xml:space="preserve"> to service conditions, at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November 30, 2024 is as follows:</w:t>
      </w:r>
    </w:p>
    <w:p>
      <w:pPr>
        <w:spacing w:after="0" w:line="153" w:lineRule="exact"/>
        <w:rPr>
          <w:sz w:val="20"/>
          <w:szCs w:val="20"/>
          <w:color w:val="auto"/>
        </w:rPr>
      </w:pPr>
    </w:p>
    <w:tbl>
      <w:tblPr>
        <w:tblLayout w:type="fixed"/>
        <w:tblInd w:w="780" w:type="dxa"/>
        <w:tblCellMar>
          <w:top w:w="0" w:type="dxa"/>
          <w:left w:w="0" w:type="dxa"/>
          <w:bottom w:w="0" w:type="dxa"/>
          <w:right w:w="0" w:type="dxa"/>
        </w:tblCellMar>
      </w:tblPr>
      <w:tr>
        <w:trPr>
          <w:trHeight w:val="149"/>
        </w:trPr>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rPr>
              <w:t>Original</w:t>
            </w:r>
          </w:p>
        </w:tc>
        <w:tc>
          <w:tcPr>
            <w:tcW w:w="24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Remaining</w:t>
            </w:r>
          </w:p>
        </w:tc>
      </w:tr>
      <w:tr>
        <w:trPr>
          <w:trHeight w:val="149"/>
        </w:trPr>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Restricted</w:t>
            </w:r>
          </w:p>
        </w:tc>
        <w:tc>
          <w:tcPr>
            <w:tcW w:w="200" w:type="dxa"/>
            <w:vAlign w:val="bottom"/>
          </w:tcPr>
          <w:p>
            <w:pPr>
              <w:spacing w:after="0"/>
              <w:rPr>
                <w:sz w:val="12"/>
                <w:szCs w:val="12"/>
                <w:color w:val="auto"/>
              </w:rPr>
            </w:pPr>
          </w:p>
        </w:tc>
        <w:tc>
          <w:tcPr>
            <w:tcW w:w="920" w:type="dxa"/>
            <w:vAlign w:val="bottom"/>
          </w:tcPr>
          <w:p>
            <w:pPr>
              <w:jc w:val="center"/>
              <w:ind w:right="179"/>
              <w:spacing w:after="0"/>
              <w:rPr>
                <w:sz w:val="20"/>
                <w:szCs w:val="20"/>
                <w:color w:val="auto"/>
              </w:rPr>
            </w:pPr>
            <w:r>
              <w:rPr>
                <w:rFonts w:ascii="Times New Roman" w:cs="Times New Roman" w:eastAsia="Times New Roman" w:hAnsi="Times New Roman"/>
                <w:sz w:val="12"/>
                <w:szCs w:val="12"/>
                <w:color w:val="auto"/>
              </w:rPr>
              <w:t>Share Value</w:t>
            </w:r>
          </w:p>
        </w:tc>
        <w:tc>
          <w:tcPr>
            <w:tcW w:w="68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auto"/>
              </w:rPr>
              <w:t>Vesting</w:t>
            </w:r>
          </w:p>
        </w:tc>
        <w:tc>
          <w:tcPr>
            <w:tcW w:w="24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Restriction</w:t>
            </w:r>
          </w:p>
        </w:tc>
      </w:tr>
      <w:tr>
        <w:trPr>
          <w:trHeight w:val="149"/>
        </w:trPr>
        <w:tc>
          <w:tcPr>
            <w:tcW w:w="10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Grant</w:t>
            </w:r>
          </w:p>
        </w:tc>
        <w:tc>
          <w:tcPr>
            <w:tcW w:w="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Shares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at Grant Date</w:t>
            </w:r>
          </w:p>
        </w:tc>
        <w:tc>
          <w:tcPr>
            <w:tcW w:w="680" w:type="dxa"/>
            <w:vAlign w:val="bottom"/>
          </w:tcPr>
          <w:p>
            <w:pPr>
              <w:jc w:val="center"/>
              <w:ind w:left="38"/>
              <w:spacing w:after="0"/>
              <w:rPr>
                <w:sz w:val="20"/>
                <w:szCs w:val="20"/>
                <w:color w:val="auto"/>
              </w:rPr>
            </w:pPr>
            <w:r>
              <w:rPr>
                <w:rFonts w:ascii="Times New Roman" w:cs="Times New Roman" w:eastAsia="Times New Roman" w:hAnsi="Times New Roman"/>
                <w:sz w:val="13"/>
                <w:szCs w:val="13"/>
                <w:color w:val="auto"/>
              </w:rPr>
              <w:t>Period</w:t>
            </w:r>
          </w:p>
        </w:tc>
        <w:tc>
          <w:tcPr>
            <w:tcW w:w="24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Period</w:t>
            </w:r>
          </w:p>
        </w:tc>
      </w:tr>
      <w:tr>
        <w:trPr>
          <w:trHeight w:val="149"/>
        </w:trPr>
        <w:tc>
          <w:tcPr>
            <w:tcW w:w="106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Date</w:t>
            </w:r>
          </w:p>
        </w:tc>
        <w:tc>
          <w:tcPr>
            <w:tcW w:w="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Outstanding</w:t>
            </w:r>
          </w:p>
        </w:tc>
        <w:tc>
          <w:tcPr>
            <w:tcW w:w="200" w:type="dxa"/>
            <w:vAlign w:val="bottom"/>
          </w:tcPr>
          <w:p>
            <w:pPr>
              <w:spacing w:after="0"/>
              <w:rPr>
                <w:sz w:val="12"/>
                <w:szCs w:val="12"/>
                <w:color w:val="auto"/>
              </w:rPr>
            </w:pPr>
          </w:p>
        </w:tc>
        <w:tc>
          <w:tcPr>
            <w:tcW w:w="920" w:type="dxa"/>
            <w:vAlign w:val="bottom"/>
          </w:tcPr>
          <w:p>
            <w:pPr>
              <w:jc w:val="center"/>
              <w:ind w:right="159"/>
              <w:spacing w:after="0"/>
              <w:rPr>
                <w:sz w:val="20"/>
                <w:szCs w:val="20"/>
                <w:color w:val="auto"/>
              </w:rPr>
            </w:pPr>
            <w:r>
              <w:rPr>
                <w:rFonts w:ascii="Times New Roman" w:cs="Times New Roman" w:eastAsia="Times New Roman" w:hAnsi="Times New Roman"/>
                <w:sz w:val="12"/>
                <w:szCs w:val="12"/>
                <w:color w:val="auto"/>
              </w:rPr>
              <w:t>Per Share</w:t>
            </w:r>
          </w:p>
        </w:tc>
        <w:tc>
          <w:tcPr>
            <w:tcW w:w="68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rPr>
              <w:t>(Years)</w:t>
            </w:r>
          </w:p>
        </w:tc>
        <w:tc>
          <w:tcPr>
            <w:tcW w:w="24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(Years)</w:t>
            </w:r>
          </w:p>
        </w:tc>
      </w:tr>
      <w:tr>
        <w:trPr>
          <w:trHeight w:val="97"/>
        </w:trPr>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r>
      <w:tr>
        <w:trPr>
          <w:trHeight w:val="191"/>
        </w:trPr>
        <w:tc>
          <w:tcPr>
            <w:tcW w:w="1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January 12, 2022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15,500</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15.82</w:t>
            </w:r>
          </w:p>
        </w:tc>
        <w:tc>
          <w:tcPr>
            <w:tcW w:w="68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3</w:t>
            </w:r>
          </w:p>
        </w:tc>
        <w:tc>
          <w:tcPr>
            <w:tcW w:w="840" w:type="dxa"/>
            <w:vAlign w:val="bottom"/>
          </w:tcPr>
          <w:p>
            <w:pPr>
              <w:ind w:left="700"/>
              <w:spacing w:after="0"/>
              <w:rPr>
                <w:sz w:val="20"/>
                <w:szCs w:val="20"/>
                <w:color w:val="auto"/>
              </w:rPr>
            </w:pPr>
            <w:r>
              <w:rPr>
                <w:rFonts w:ascii="Times New Roman" w:cs="Times New Roman" w:eastAsia="Times New Roman" w:hAnsi="Times New Roman"/>
                <w:sz w:val="12"/>
                <w:szCs w:val="12"/>
                <w:color w:val="auto"/>
                <w:w w:val="79"/>
              </w:rPr>
              <w:t>0.1</w:t>
            </w:r>
          </w:p>
        </w:tc>
      </w:tr>
      <w:tr>
        <w:trPr>
          <w:trHeight w:val="149"/>
        </w:trPr>
        <w:tc>
          <w:tcPr>
            <w:tcW w:w="1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January II , 2023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30,800</w:t>
            </w:r>
          </w:p>
        </w:tc>
        <w:tc>
          <w:tcPr>
            <w:tcW w:w="200" w:type="dxa"/>
            <w:vAlign w:val="bottom"/>
          </w:tcPr>
          <w:p>
            <w:pPr>
              <w:spacing w:after="0"/>
              <w:rPr>
                <w:sz w:val="12"/>
                <w:szCs w:val="12"/>
                <w:color w:val="auto"/>
              </w:rPr>
            </w:pPr>
          </w:p>
        </w:tc>
        <w:tc>
          <w:tcPr>
            <w:tcW w:w="92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17.55</w:t>
            </w:r>
          </w:p>
        </w:tc>
        <w:tc>
          <w:tcPr>
            <w:tcW w:w="680" w:type="dxa"/>
            <w:vAlign w:val="bottom"/>
          </w:tcPr>
          <w:p>
            <w:pPr>
              <w:spacing w:after="0"/>
              <w:rPr>
                <w:sz w:val="12"/>
                <w:szCs w:val="12"/>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49"/>
        </w:trPr>
        <w:tc>
          <w:tcPr>
            <w:tcW w:w="1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March 6, 2024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18, 109</w:t>
            </w:r>
          </w:p>
        </w:tc>
        <w:tc>
          <w:tcPr>
            <w:tcW w:w="200" w:type="dxa"/>
            <w:vAlign w:val="bottom"/>
          </w:tcPr>
          <w:p>
            <w:pPr>
              <w:spacing w:after="0"/>
              <w:rPr>
                <w:sz w:val="12"/>
                <w:szCs w:val="12"/>
                <w:color w:val="auto"/>
              </w:rPr>
            </w:pPr>
          </w:p>
        </w:tc>
        <w:tc>
          <w:tcPr>
            <w:tcW w:w="92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15.46</w:t>
            </w:r>
          </w:p>
        </w:tc>
        <w:tc>
          <w:tcPr>
            <w:tcW w:w="680" w:type="dxa"/>
            <w:vAlign w:val="bottom"/>
          </w:tcPr>
          <w:p>
            <w:pPr>
              <w:spacing w:after="0"/>
              <w:rPr>
                <w:sz w:val="12"/>
                <w:szCs w:val="12"/>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I</w:t>
            </w:r>
          </w:p>
        </w:tc>
        <w:tc>
          <w:tcPr>
            <w:tcW w:w="840" w:type="dxa"/>
            <w:vAlign w:val="bottom"/>
          </w:tcPr>
          <w:p>
            <w:pPr>
              <w:ind w:left="700"/>
              <w:spacing w:after="0"/>
              <w:rPr>
                <w:sz w:val="20"/>
                <w:szCs w:val="20"/>
                <w:color w:val="auto"/>
              </w:rPr>
            </w:pPr>
            <w:r>
              <w:rPr>
                <w:rFonts w:ascii="Times New Roman" w:cs="Times New Roman" w:eastAsia="Times New Roman" w:hAnsi="Times New Roman"/>
                <w:sz w:val="12"/>
                <w:szCs w:val="12"/>
                <w:color w:val="auto"/>
                <w:w w:val="79"/>
              </w:rPr>
              <w:t>0.3</w:t>
            </w:r>
          </w:p>
        </w:tc>
      </w:tr>
      <w:tr>
        <w:trPr>
          <w:trHeight w:val="170"/>
        </w:trPr>
        <w:tc>
          <w:tcPr>
            <w:tcW w:w="1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October 29, 2024</w:t>
            </w:r>
          </w:p>
        </w:tc>
        <w:tc>
          <w:tcPr>
            <w:tcW w:w="20" w:type="dxa"/>
            <w:vAlign w:val="bottom"/>
          </w:tcPr>
          <w:p>
            <w:pPr>
              <w:spacing w:after="0"/>
              <w:rPr>
                <w:sz w:val="14"/>
                <w:szCs w:val="14"/>
                <w:color w:val="auto"/>
              </w:rPr>
            </w:pPr>
          </w:p>
        </w:tc>
        <w:tc>
          <w:tcPr>
            <w:tcW w:w="84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30,000</w:t>
            </w:r>
          </w:p>
        </w:tc>
        <w:tc>
          <w:tcPr>
            <w:tcW w:w="200" w:type="dxa"/>
            <w:vAlign w:val="bottom"/>
          </w:tcPr>
          <w:p>
            <w:pPr>
              <w:spacing w:after="0"/>
              <w:rPr>
                <w:sz w:val="14"/>
                <w:szCs w:val="14"/>
                <w:color w:val="auto"/>
              </w:rPr>
            </w:pPr>
          </w:p>
        </w:tc>
        <w:tc>
          <w:tcPr>
            <w:tcW w:w="92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14.11</w:t>
            </w:r>
          </w:p>
        </w:tc>
        <w:tc>
          <w:tcPr>
            <w:tcW w:w="680" w:type="dxa"/>
            <w:vAlign w:val="bottom"/>
          </w:tcPr>
          <w:p>
            <w:pPr>
              <w:spacing w:after="0"/>
              <w:rPr>
                <w:sz w:val="14"/>
                <w:szCs w:val="1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3</w:t>
            </w:r>
          </w:p>
        </w:tc>
        <w:tc>
          <w:tcPr>
            <w:tcW w:w="840" w:type="dxa"/>
            <w:vAlign w:val="bottom"/>
          </w:tcPr>
          <w:p>
            <w:pPr>
              <w:ind w:left="700"/>
              <w:spacing w:after="0"/>
              <w:rPr>
                <w:sz w:val="20"/>
                <w:szCs w:val="20"/>
                <w:color w:val="auto"/>
              </w:rPr>
            </w:pPr>
            <w:r>
              <w:rPr>
                <w:rFonts w:ascii="Times New Roman" w:cs="Times New Roman" w:eastAsia="Times New Roman" w:hAnsi="Times New Roman"/>
                <w:sz w:val="12"/>
                <w:szCs w:val="12"/>
                <w:color w:val="auto"/>
                <w:w w:val="79"/>
              </w:rPr>
              <w:t>2.9</w:t>
            </w:r>
          </w:p>
        </w:tc>
      </w:tr>
      <w:tr>
        <w:trPr>
          <w:trHeight w:val="148"/>
        </w:trPr>
        <w:tc>
          <w:tcPr>
            <w:tcW w:w="1060" w:type="dxa"/>
            <w:vAlign w:val="bottom"/>
          </w:tcPr>
          <w:p>
            <w:pPr>
              <w:spacing w:after="0"/>
              <w:rPr>
                <w:sz w:val="12"/>
                <w:szCs w:val="12"/>
                <w:color w:val="auto"/>
              </w:rPr>
            </w:pPr>
          </w:p>
        </w:tc>
        <w:tc>
          <w:tcPr>
            <w:tcW w:w="860" w:type="dxa"/>
            <w:vAlign w:val="bottom"/>
            <w:tcBorders>
              <w:bottom w:val="single" w:sz="8" w:color="585454"/>
            </w:tcBorders>
            <w:gridSpan w:val="2"/>
          </w:tcPr>
          <w:p>
            <w:pPr>
              <w:jc w:val="right"/>
              <w:spacing w:after="0"/>
              <w:rPr>
                <w:sz w:val="20"/>
                <w:szCs w:val="20"/>
                <w:color w:val="auto"/>
              </w:rPr>
            </w:pPr>
            <w:r>
              <w:rPr>
                <w:rFonts w:ascii="Times New Roman" w:cs="Times New Roman" w:eastAsia="Times New Roman" w:hAnsi="Times New Roman"/>
                <w:sz w:val="12"/>
                <w:szCs w:val="12"/>
                <w:color w:val="auto"/>
              </w:rPr>
              <w:t>94,409</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r>
    </w:tbl>
    <w:p>
      <w:pPr>
        <w:spacing w:after="0" w:line="169" w:lineRule="exact"/>
        <w:rPr>
          <w:sz w:val="20"/>
          <w:szCs w:val="20"/>
          <w:color w:val="auto"/>
        </w:rPr>
      </w:pPr>
    </w:p>
    <w:p>
      <w:pPr>
        <w:jc w:val="both"/>
        <w:ind w:right="760" w:firstLine="6"/>
        <w:spacing w:after="0" w:line="254" w:lineRule="auto"/>
        <w:rPr>
          <w:sz w:val="20"/>
          <w:szCs w:val="20"/>
          <w:color w:val="auto"/>
        </w:rPr>
      </w:pPr>
      <w:r>
        <w:rPr>
          <w:rFonts w:ascii="Times New Roman" w:cs="Times New Roman" w:eastAsia="Times New Roman" w:hAnsi="Times New Roman"/>
          <w:sz w:val="12"/>
          <w:szCs w:val="12"/>
          <w:color w:val="auto"/>
        </w:rPr>
        <w:t>Unrecognized compensation cost related to these non-vested restricted shares at November 30, 2024 is $752, all of which is expected to be recogni zed in fi scal 2025 through fiscal 2027 .</w:t>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Employee Stock Purchase Plan</w:t>
      </w:r>
    </w:p>
    <w:p>
      <w:pPr>
        <w:spacing w:after="0" w:line="162" w:lineRule="exact"/>
        <w:rPr>
          <w:sz w:val="20"/>
          <w:szCs w:val="20"/>
          <w:color w:val="auto"/>
        </w:rPr>
      </w:pPr>
    </w:p>
    <w:p>
      <w:pPr>
        <w:jc w:val="both"/>
        <w:ind w:right="760" w:firstLine="5"/>
        <w:spacing w:after="0" w:line="258" w:lineRule="auto"/>
        <w:rPr>
          <w:sz w:val="20"/>
          <w:szCs w:val="20"/>
          <w:color w:val="auto"/>
        </w:rPr>
      </w:pPr>
      <w:r>
        <w:rPr>
          <w:rFonts w:ascii="Times New Roman" w:cs="Times New Roman" w:eastAsia="Times New Roman" w:hAnsi="Times New Roman"/>
          <w:sz w:val="12"/>
          <w:szCs w:val="12"/>
          <w:color w:val="auto"/>
        </w:rPr>
        <w:t>In March of 20 17 we adopted and implemented the 20 17 Employee Stock Purchase Plan ("20 17 ESPP") that allows eligible employees to purchase a limited number of shares of our stock at 85% of market va lue. Underthe 2017 ESPP we sold 30,436, 28,063 and 30,074 shares to employees during fiscal 2024, 2023 and 2022, respectively, which resulted in an immaterial amount of compensation expense. There are 43 ,961 shares remaining available for sale under the 2017 ESPP at November 30, 2024.</w:t>
      </w: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13. Income Taxes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components of the income tax provision from continuing operations are as follows: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1400" w:type="dxa"/>
            <w:vAlign w:val="bottom"/>
          </w:tcPr>
          <w:p>
            <w:pPr>
              <w:spacing w:after="0"/>
              <w:rPr>
                <w:sz w:val="12"/>
                <w:szCs w:val="12"/>
                <w:color w:val="auto"/>
              </w:rPr>
            </w:pPr>
          </w:p>
        </w:tc>
        <w:tc>
          <w:tcPr>
            <w:tcW w:w="180" w:type="dxa"/>
            <w:vAlign w:val="bottom"/>
            <w:tcBorders>
              <w:bottom w:val="single" w:sz="8" w:color="585458"/>
            </w:tcBorders>
          </w:tcPr>
          <w:p>
            <w:pPr>
              <w:spacing w:after="0"/>
              <w:rPr>
                <w:sz w:val="12"/>
                <w:szCs w:val="12"/>
                <w:color w:val="auto"/>
              </w:rPr>
            </w:pPr>
          </w:p>
        </w:tc>
        <w:tc>
          <w:tcPr>
            <w:tcW w:w="660" w:type="dxa"/>
            <w:vAlign w:val="bottom"/>
            <w:tcBorders>
              <w:bottom w:val="single" w:sz="8" w:color="585458"/>
            </w:tcBorders>
          </w:tcPr>
          <w:p>
            <w:pPr>
              <w:jc w:val="right"/>
              <w:ind w:right="239"/>
              <w:spacing w:after="0"/>
              <w:rPr>
                <w:sz w:val="20"/>
                <w:szCs w:val="20"/>
                <w:color w:val="auto"/>
              </w:rPr>
            </w:pPr>
            <w:r>
              <w:rPr>
                <w:rFonts w:ascii="Times New Roman" w:cs="Times New Roman" w:eastAsia="Times New Roman" w:hAnsi="Times New Roman"/>
                <w:sz w:val="12"/>
                <w:szCs w:val="12"/>
                <w:color w:val="auto"/>
              </w:rPr>
              <w:t>2024</w:t>
            </w:r>
          </w:p>
        </w:tc>
        <w:tc>
          <w:tcPr>
            <w:tcW w:w="100" w:type="dxa"/>
            <w:vAlign w:val="bottom"/>
          </w:tcPr>
          <w:p>
            <w:pPr>
              <w:spacing w:after="0"/>
              <w:rPr>
                <w:sz w:val="12"/>
                <w:szCs w:val="12"/>
                <w:color w:val="auto"/>
              </w:rPr>
            </w:pPr>
          </w:p>
        </w:tc>
        <w:tc>
          <w:tcPr>
            <w:tcW w:w="180" w:type="dxa"/>
            <w:vAlign w:val="bottom"/>
            <w:tcBorders>
              <w:bottom w:val="single" w:sz="8" w:color="585458"/>
            </w:tcBorders>
          </w:tcPr>
          <w:p>
            <w:pPr>
              <w:spacing w:after="0"/>
              <w:rPr>
                <w:sz w:val="12"/>
                <w:szCs w:val="12"/>
                <w:color w:val="auto"/>
              </w:rPr>
            </w:pPr>
          </w:p>
        </w:tc>
        <w:tc>
          <w:tcPr>
            <w:tcW w:w="680" w:type="dxa"/>
            <w:vAlign w:val="bottom"/>
            <w:tcBorders>
              <w:bottom w:val="single" w:sz="8" w:color="585458"/>
            </w:tcBorders>
          </w:tcPr>
          <w:p>
            <w:pPr>
              <w:jc w:val="right"/>
              <w:ind w:right="259"/>
              <w:spacing w:after="0"/>
              <w:rPr>
                <w:sz w:val="20"/>
                <w:szCs w:val="20"/>
                <w:color w:val="auto"/>
              </w:rPr>
            </w:pPr>
            <w:r>
              <w:rPr>
                <w:rFonts w:ascii="Times New Roman" w:cs="Times New Roman" w:eastAsia="Times New Roman" w:hAnsi="Times New Roman"/>
                <w:sz w:val="12"/>
                <w:szCs w:val="12"/>
                <w:color w:val="auto"/>
              </w:rPr>
              <w:t>2023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39"/>
              <w:spacing w:after="0"/>
              <w:rPr>
                <w:sz w:val="20"/>
                <w:szCs w:val="20"/>
                <w:color w:val="auto"/>
              </w:rPr>
            </w:pPr>
            <w:r>
              <w:rPr>
                <w:rFonts w:ascii="Times New Roman" w:cs="Times New Roman" w:eastAsia="Times New Roman" w:hAnsi="Times New Roman"/>
                <w:sz w:val="12"/>
                <w:szCs w:val="12"/>
                <w:color w:val="auto"/>
              </w:rPr>
              <w:t>2022</w:t>
            </w:r>
          </w:p>
        </w:tc>
      </w:tr>
      <w:tr>
        <w:trPr>
          <w:trHeight w:val="140"/>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Current:</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1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Federal</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(1 ,962)</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(121)</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5,659</w:t>
            </w:r>
          </w:p>
        </w:tc>
      </w:tr>
      <w:tr>
        <w:trPr>
          <w:trHeight w:val="149"/>
        </w:trPr>
        <w:tc>
          <w:tcPr>
            <w:tcW w:w="14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State</w:t>
            </w:r>
          </w:p>
        </w:tc>
        <w:tc>
          <w:tcPr>
            <w:tcW w:w="18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(273)</w:t>
            </w:r>
          </w:p>
        </w:tc>
        <w:tc>
          <w:tcPr>
            <w:tcW w:w="1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(72)</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2, 154</w:t>
            </w:r>
          </w:p>
        </w:tc>
      </w:tr>
      <w:tr>
        <w:trPr>
          <w:trHeight w:val="298"/>
        </w:trPr>
        <w:tc>
          <w:tcPr>
            <w:tcW w:w="1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Deferred:</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49"/>
        </w:trPr>
        <w:tc>
          <w:tcPr>
            <w:tcW w:w="14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Federal</w:t>
            </w:r>
          </w:p>
        </w:tc>
        <w:tc>
          <w:tcPr>
            <w:tcW w:w="18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(1 ,781)</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w:t>
            </w:r>
          </w:p>
        </w:tc>
      </w:tr>
      <w:tr>
        <w:trPr>
          <w:trHeight w:val="147"/>
        </w:trPr>
        <w:tc>
          <w:tcPr>
            <w:tcW w:w="14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State</w:t>
            </w:r>
          </w:p>
        </w:tc>
        <w:tc>
          <w:tcPr>
            <w:tcW w:w="18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(659)</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w:t>
            </w:r>
          </w:p>
        </w:tc>
      </w:tr>
      <w:tr>
        <w:trPr>
          <w:trHeight w:val="20"/>
        </w:trPr>
        <w:tc>
          <w:tcPr>
            <w:tcW w:w="1400" w:type="dxa"/>
            <w:vAlign w:val="bottom"/>
          </w:tcPr>
          <w:p>
            <w:pPr>
              <w:spacing w:after="0" w:line="20" w:lineRule="exact"/>
              <w:rPr>
                <w:sz w:val="1"/>
                <w:szCs w:val="1"/>
                <w:color w:val="auto"/>
              </w:rPr>
            </w:pPr>
          </w:p>
        </w:tc>
        <w:tc>
          <w:tcPr>
            <w:tcW w:w="180" w:type="dxa"/>
            <w:vAlign w:val="bottom"/>
            <w:shd w:val="clear" w:color="auto" w:fill="585458"/>
          </w:tcPr>
          <w:p>
            <w:pPr>
              <w:spacing w:after="0" w:line="20" w:lineRule="exact"/>
              <w:rPr>
                <w:sz w:val="1"/>
                <w:szCs w:val="1"/>
                <w:color w:val="auto"/>
              </w:rPr>
            </w:pPr>
          </w:p>
        </w:tc>
        <w:tc>
          <w:tcPr>
            <w:tcW w:w="660" w:type="dxa"/>
            <w:vAlign w:val="bottom"/>
            <w:shd w:val="clear" w:color="auto" w:fill="58545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585458"/>
          </w:tcPr>
          <w:p>
            <w:pPr>
              <w:spacing w:after="0" w:line="20" w:lineRule="exact"/>
              <w:rPr>
                <w:sz w:val="1"/>
                <w:szCs w:val="1"/>
                <w:color w:val="auto"/>
              </w:rPr>
            </w:pPr>
          </w:p>
        </w:tc>
        <w:tc>
          <w:tcPr>
            <w:tcW w:w="680" w:type="dxa"/>
            <w:vAlign w:val="bottom"/>
            <w:shd w:val="clear" w:color="auto" w:fill="58545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585454"/>
          </w:tcPr>
          <w:p>
            <w:pPr>
              <w:spacing w:after="0" w:line="20" w:lineRule="exact"/>
              <w:rPr>
                <w:sz w:val="1"/>
                <w:szCs w:val="1"/>
                <w:color w:val="auto"/>
              </w:rPr>
            </w:pPr>
          </w:p>
        </w:tc>
        <w:tc>
          <w:tcPr>
            <w:tcW w:w="660" w:type="dxa"/>
            <w:vAlign w:val="bottom"/>
            <w:shd w:val="clear" w:color="auto" w:fill="585454"/>
          </w:tcPr>
          <w:p>
            <w:pPr>
              <w:spacing w:after="0" w:line="20" w:lineRule="exact"/>
              <w:rPr>
                <w:sz w:val="1"/>
                <w:szCs w:val="1"/>
                <w:color w:val="auto"/>
              </w:rPr>
            </w:pPr>
          </w:p>
        </w:tc>
      </w:tr>
      <w:tr>
        <w:trPr>
          <w:trHeight w:val="138"/>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2"/>
                <w:szCs w:val="12"/>
                <w:color w:val="auto"/>
              </w:rPr>
              <w:t>(4,675)</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w:t>
            </w:r>
          </w:p>
        </w:tc>
        <w:tc>
          <w:tcPr>
            <w:tcW w:w="100" w:type="dxa"/>
            <w:vAlign w:val="bottom"/>
          </w:tcPr>
          <w:p>
            <w:pPr>
              <w:spacing w:after="0"/>
              <w:rPr>
                <w:sz w:val="12"/>
                <w:szCs w:val="12"/>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8,702</w:t>
            </w:r>
          </w:p>
        </w:tc>
      </w:tr>
      <w:tr>
        <w:trPr>
          <w:trHeight w:val="24"/>
        </w:trPr>
        <w:tc>
          <w:tcPr>
            <w:tcW w:w="1400" w:type="dxa"/>
            <w:vAlign w:val="bottom"/>
            <w:tcBorders>
              <w:right w:val="single" w:sz="8" w:color="242020"/>
            </w:tcBorders>
          </w:tcPr>
          <w:p>
            <w:pPr>
              <w:spacing w:after="0"/>
              <w:rPr>
                <w:sz w:val="2"/>
                <w:szCs w:val="2"/>
                <w:color w:val="auto"/>
              </w:rPr>
            </w:pPr>
          </w:p>
        </w:tc>
        <w:tc>
          <w:tcPr>
            <w:tcW w:w="180" w:type="dxa"/>
            <w:vAlign w:val="bottom"/>
            <w:shd w:val="clear" w:color="auto" w:fill="242020"/>
          </w:tcPr>
          <w:p>
            <w:pPr>
              <w:spacing w:after="0"/>
              <w:rPr>
                <w:sz w:val="2"/>
                <w:szCs w:val="2"/>
                <w:color w:val="auto"/>
              </w:rPr>
            </w:pPr>
          </w:p>
        </w:tc>
        <w:tc>
          <w:tcPr>
            <w:tcW w:w="660" w:type="dxa"/>
            <w:vAlign w:val="bottom"/>
            <w:shd w:val="clear" w:color="auto" w:fill="242020"/>
          </w:tcPr>
          <w:p>
            <w:pPr>
              <w:spacing w:after="0"/>
              <w:rPr>
                <w:sz w:val="2"/>
                <w:szCs w:val="2"/>
                <w:color w:val="auto"/>
              </w:rPr>
            </w:pPr>
          </w:p>
        </w:tc>
        <w:tc>
          <w:tcPr>
            <w:tcW w:w="100" w:type="dxa"/>
            <w:vAlign w:val="bottom"/>
            <w:tcBorders>
              <w:left w:val="single" w:sz="8" w:color="242020"/>
              <w:right w:val="single" w:sz="8" w:color="242020"/>
            </w:tcBorders>
          </w:tcPr>
          <w:p>
            <w:pPr>
              <w:spacing w:after="0"/>
              <w:rPr>
                <w:sz w:val="2"/>
                <w:szCs w:val="2"/>
                <w:color w:val="auto"/>
              </w:rPr>
            </w:pPr>
          </w:p>
        </w:tc>
        <w:tc>
          <w:tcPr>
            <w:tcW w:w="180" w:type="dxa"/>
            <w:vAlign w:val="bottom"/>
            <w:shd w:val="clear" w:color="auto" w:fill="242020"/>
          </w:tcPr>
          <w:p>
            <w:pPr>
              <w:spacing w:after="0"/>
              <w:rPr>
                <w:sz w:val="2"/>
                <w:szCs w:val="2"/>
                <w:color w:val="auto"/>
              </w:rPr>
            </w:pPr>
          </w:p>
        </w:tc>
        <w:tc>
          <w:tcPr>
            <w:tcW w:w="680" w:type="dxa"/>
            <w:vAlign w:val="bottom"/>
            <w:shd w:val="clear" w:color="auto" w:fill="242020"/>
          </w:tcPr>
          <w:p>
            <w:pPr>
              <w:spacing w:after="0"/>
              <w:rPr>
                <w:sz w:val="2"/>
                <w:szCs w:val="2"/>
                <w:color w:val="auto"/>
              </w:rPr>
            </w:pPr>
          </w:p>
        </w:tc>
        <w:tc>
          <w:tcPr>
            <w:tcW w:w="100" w:type="dxa"/>
            <w:vAlign w:val="bottom"/>
            <w:tcBorders>
              <w:right w:val="single" w:sz="8" w:color="242020"/>
            </w:tcBorders>
          </w:tcPr>
          <w:p>
            <w:pPr>
              <w:spacing w:after="0"/>
              <w:rPr>
                <w:sz w:val="2"/>
                <w:szCs w:val="2"/>
                <w:color w:val="auto"/>
              </w:rPr>
            </w:pPr>
          </w:p>
        </w:tc>
        <w:tc>
          <w:tcPr>
            <w:tcW w:w="180" w:type="dxa"/>
            <w:vAlign w:val="bottom"/>
            <w:shd w:val="clear" w:color="auto" w:fill="242020"/>
          </w:tcPr>
          <w:p>
            <w:pPr>
              <w:spacing w:after="0"/>
              <w:rPr>
                <w:sz w:val="2"/>
                <w:szCs w:val="2"/>
                <w:color w:val="auto"/>
              </w:rPr>
            </w:pPr>
          </w:p>
        </w:tc>
        <w:tc>
          <w:tcPr>
            <w:tcW w:w="660" w:type="dxa"/>
            <w:vAlign w:val="bottom"/>
            <w:shd w:val="clear" w:color="auto" w:fill="242020"/>
          </w:tcPr>
          <w:p>
            <w:pPr>
              <w:spacing w:after="0"/>
              <w:rPr>
                <w:sz w:val="2"/>
                <w:szCs w:val="2"/>
                <w:color w:val="auto"/>
              </w:rPr>
            </w:pPr>
          </w:p>
        </w:tc>
      </w:tr>
    </w:tbl>
    <w:p>
      <w:pPr>
        <w:spacing w:after="0" w:line="169" w:lineRule="exact"/>
        <w:rPr>
          <w:sz w:val="20"/>
          <w:szCs w:val="20"/>
          <w:color w:val="auto"/>
        </w:rPr>
      </w:pPr>
    </w:p>
    <w:p>
      <w:pPr>
        <w:ind w:left="20" w:right="760" w:hanging="3"/>
        <w:spacing w:after="0" w:line="254" w:lineRule="auto"/>
        <w:rPr>
          <w:sz w:val="20"/>
          <w:szCs w:val="20"/>
          <w:color w:val="auto"/>
        </w:rPr>
      </w:pPr>
      <w:r>
        <w:rPr>
          <w:rFonts w:ascii="Times New Roman" w:cs="Times New Roman" w:eastAsia="Times New Roman" w:hAnsi="Times New Roman"/>
          <w:sz w:val="12"/>
          <w:szCs w:val="12"/>
          <w:color w:val="auto"/>
        </w:rPr>
        <w:t>A reconciliation of th e statutory federal income tax rate and th e effective income tax rate, as a percentage of income be fore income taxes,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20" w:type="dxa"/>
            <w:vAlign w:val="bottom"/>
            <w:gridSpan w:val="2"/>
          </w:tcPr>
          <w:p>
            <w:pPr>
              <w:ind w:left="3740"/>
              <w:spacing w:after="0"/>
              <w:rPr>
                <w:sz w:val="20"/>
                <w:szCs w:val="20"/>
                <w:color w:val="auto"/>
              </w:rPr>
            </w:pPr>
            <w:r>
              <w:rPr>
                <w:rFonts w:ascii="Times New Roman" w:cs="Times New Roman" w:eastAsia="Times New Roman" w:hAnsi="Times New Roman"/>
                <w:sz w:val="12"/>
                <w:szCs w:val="12"/>
                <w:color w:val="auto"/>
              </w:rPr>
              <w:t>2024</w:t>
            </w:r>
          </w:p>
        </w:tc>
        <w:tc>
          <w:tcPr>
            <w:tcW w:w="420" w:type="dxa"/>
            <w:vAlign w:val="bottom"/>
            <w:gridSpan w:val="2"/>
          </w:tcPr>
          <w:p>
            <w:pPr>
              <w:spacing w:after="0"/>
              <w:rPr>
                <w:sz w:val="12"/>
                <w:szCs w:val="12"/>
                <w:color w:val="auto"/>
              </w:rPr>
            </w:pPr>
          </w:p>
        </w:tc>
        <w:tc>
          <w:tcPr>
            <w:tcW w:w="54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280" w:type="dxa"/>
            <w:vAlign w:val="bottom"/>
            <w:tcBorders>
              <w:bottom w:val="single" w:sz="8" w:color="201C20"/>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bottom w:val="single" w:sz="8" w:color="242020"/>
            </w:tcBorders>
          </w:tcPr>
          <w:p>
            <w:pPr>
              <w:jc w:val="right"/>
              <w:ind w:right="219"/>
              <w:spacing w:after="0"/>
              <w:rPr>
                <w:sz w:val="20"/>
                <w:szCs w:val="20"/>
                <w:color w:val="auto"/>
              </w:rPr>
            </w:pPr>
            <w:r>
              <w:rPr>
                <w:rFonts w:ascii="Times New Roman" w:cs="Times New Roman" w:eastAsia="Times New Roman" w:hAnsi="Times New Roman"/>
                <w:sz w:val="12"/>
                <w:szCs w:val="12"/>
                <w:color w:val="auto"/>
              </w:rPr>
              <w:t>2022</w:t>
            </w:r>
          </w:p>
        </w:tc>
        <w:tc>
          <w:tcPr>
            <w:tcW w:w="120" w:type="dxa"/>
            <w:vAlign w:val="bottom"/>
          </w:tcPr>
          <w:p>
            <w:pPr>
              <w:spacing w:after="0"/>
              <w:rPr>
                <w:sz w:val="12"/>
                <w:szCs w:val="12"/>
                <w:color w:val="auto"/>
              </w:rPr>
            </w:pPr>
          </w:p>
        </w:tc>
      </w:tr>
      <w:tr>
        <w:trPr>
          <w:trHeight w:val="138"/>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Statutory federal income tax rate</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21.0%</w:t>
            </w:r>
          </w:p>
        </w:tc>
        <w:tc>
          <w:tcPr>
            <w:tcW w:w="54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21.0%</w:t>
            </w:r>
          </w:p>
        </w:tc>
      </w:tr>
      <w:tr>
        <w:trPr>
          <w:trHeight w:val="14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State income tax, net of federal benefit</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20" w:type="dxa"/>
            <w:vAlign w:val="bottom"/>
          </w:tcPr>
          <w:p>
            <w:pPr>
              <w:spacing w:after="0"/>
              <w:rPr>
                <w:sz w:val="12"/>
                <w:szCs w:val="12"/>
                <w:color w:val="auto"/>
              </w:rPr>
            </w:pPr>
          </w:p>
        </w:tc>
      </w:tr>
      <w:tr>
        <w:trPr>
          <w:trHeight w:val="149"/>
        </w:trPr>
        <w:tc>
          <w:tcPr>
            <w:tcW w:w="4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Nondeductible goodwill , restructuring and other charges</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(6.9)</w:t>
            </w:r>
          </w:p>
        </w:tc>
        <w:tc>
          <w:tcPr>
            <w:tcW w:w="54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(45.7)</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Nontaxable ga in on revaluation of contingent consideration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Capital loss carryback</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4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(0.3)</w:t>
            </w:r>
          </w:p>
        </w:tc>
      </w:tr>
      <w:tr>
        <w:trPr>
          <w:trHeight w:val="150"/>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Change in valuation allowance</w:t>
            </w:r>
          </w:p>
        </w:tc>
        <w:tc>
          <w:tcPr>
            <w:tcW w:w="560" w:type="dxa"/>
            <w:vAlign w:val="bottom"/>
          </w:tcPr>
          <w:p>
            <w:pPr>
              <w:spacing w:after="0"/>
              <w:rPr>
                <w:sz w:val="13"/>
                <w:szCs w:val="13"/>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(3.3)</w:t>
            </w:r>
          </w:p>
        </w:tc>
        <w:tc>
          <w:tcPr>
            <w:tcW w:w="54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(18.2)</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20" w:type="dxa"/>
            <w:vAlign w:val="bottom"/>
          </w:tcPr>
          <w:p>
            <w:pPr>
              <w:spacing w:after="0"/>
              <w:rPr>
                <w:sz w:val="13"/>
                <w:szCs w:val="13"/>
                <w:color w:val="auto"/>
              </w:rPr>
            </w:pPr>
          </w:p>
        </w:tc>
      </w:tr>
      <w:tr>
        <w:trPr>
          <w:trHeight w:val="20"/>
        </w:trPr>
        <w:tc>
          <w:tcPr>
            <w:tcW w:w="3460" w:type="dxa"/>
            <w:vAlign w:val="bottom"/>
          </w:tcPr>
          <w:p>
            <w:pPr>
              <w:spacing w:after="0" w:line="20" w:lineRule="exact"/>
              <w:rPr>
                <w:sz w:val="1"/>
                <w:szCs w:val="1"/>
                <w:color w:val="auto"/>
              </w:rPr>
            </w:pPr>
          </w:p>
        </w:tc>
        <w:tc>
          <w:tcPr>
            <w:tcW w:w="560" w:type="dxa"/>
            <w:vAlign w:val="bottom"/>
            <w:shd w:val="clear" w:color="auto" w:fill="201C20"/>
          </w:tcPr>
          <w:p>
            <w:pPr>
              <w:spacing w:after="0" w:line="20" w:lineRule="exact"/>
              <w:rPr>
                <w:sz w:val="1"/>
                <w:szCs w:val="1"/>
                <w:color w:val="auto"/>
              </w:rPr>
            </w:pPr>
          </w:p>
        </w:tc>
        <w:tc>
          <w:tcPr>
            <w:tcW w:w="240" w:type="dxa"/>
            <w:vAlign w:val="bottom"/>
            <w:shd w:val="clear" w:color="auto" w:fill="201C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201C20"/>
          </w:tcPr>
          <w:p>
            <w:pPr>
              <w:spacing w:after="0" w:line="20" w:lineRule="exact"/>
              <w:rPr>
                <w:sz w:val="1"/>
                <w:szCs w:val="1"/>
                <w:color w:val="auto"/>
              </w:rPr>
            </w:pPr>
          </w:p>
        </w:tc>
        <w:tc>
          <w:tcPr>
            <w:tcW w:w="280" w:type="dxa"/>
            <w:vAlign w:val="bottom"/>
            <w:shd w:val="clear" w:color="auto" w:fill="201C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2420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346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Effective income tax rate</w:t>
            </w:r>
          </w:p>
        </w:tc>
        <w:tc>
          <w:tcPr>
            <w:tcW w:w="56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32.5%</w:t>
            </w:r>
          </w:p>
        </w:tc>
        <w:tc>
          <w:tcPr>
            <w:tcW w:w="54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2"/>
                <w:szCs w:val="12"/>
                <w:color w:val="auto"/>
              </w:rPr>
              <w:t>(27.5)%</w:t>
            </w:r>
          </w:p>
        </w:tc>
        <w:tc>
          <w:tcPr>
            <w:tcW w:w="9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25.5%</w:t>
            </w:r>
          </w:p>
        </w:tc>
      </w:tr>
      <w:tr>
        <w:trPr>
          <w:trHeight w:val="20"/>
        </w:trPr>
        <w:tc>
          <w:tcPr>
            <w:tcW w:w="3460" w:type="dxa"/>
            <w:vAlign w:val="bottom"/>
            <w:tcBorders>
              <w:right w:val="single" w:sz="8" w:color="201C20"/>
            </w:tcBorders>
          </w:tcPr>
          <w:p>
            <w:pPr>
              <w:spacing w:after="0" w:line="20" w:lineRule="exact"/>
              <w:rPr>
                <w:sz w:val="1"/>
                <w:szCs w:val="1"/>
                <w:color w:val="auto"/>
              </w:rPr>
            </w:pPr>
          </w:p>
        </w:tc>
        <w:tc>
          <w:tcPr>
            <w:tcW w:w="560" w:type="dxa"/>
            <w:vAlign w:val="bottom"/>
            <w:shd w:val="clear" w:color="auto" w:fill="201C20"/>
          </w:tcPr>
          <w:p>
            <w:pPr>
              <w:spacing w:after="0" w:line="20" w:lineRule="exact"/>
              <w:rPr>
                <w:sz w:val="1"/>
                <w:szCs w:val="1"/>
                <w:color w:val="auto"/>
              </w:rPr>
            </w:pPr>
          </w:p>
        </w:tc>
        <w:tc>
          <w:tcPr>
            <w:tcW w:w="240" w:type="dxa"/>
            <w:vAlign w:val="bottom"/>
            <w:shd w:val="clear" w:color="auto" w:fill="201C20"/>
          </w:tcPr>
          <w:p>
            <w:pPr>
              <w:spacing w:after="0" w:line="20" w:lineRule="exact"/>
              <w:rPr>
                <w:sz w:val="1"/>
                <w:szCs w:val="1"/>
                <w:color w:val="auto"/>
              </w:rPr>
            </w:pPr>
          </w:p>
        </w:tc>
        <w:tc>
          <w:tcPr>
            <w:tcW w:w="180" w:type="dxa"/>
            <w:vAlign w:val="bottom"/>
            <w:tcBorders>
              <w:left w:val="single" w:sz="8" w:color="201C20"/>
              <w:right w:val="single" w:sz="8" w:color="242020"/>
            </w:tcBorders>
          </w:tcPr>
          <w:p>
            <w:pPr>
              <w:spacing w:after="0" w:line="20" w:lineRule="exact"/>
              <w:rPr>
                <w:sz w:val="1"/>
                <w:szCs w:val="1"/>
                <w:color w:val="auto"/>
              </w:rPr>
            </w:pPr>
          </w:p>
        </w:tc>
        <w:tc>
          <w:tcPr>
            <w:tcW w:w="540" w:type="dxa"/>
            <w:vAlign w:val="bottom"/>
            <w:shd w:val="clear" w:color="auto" w:fill="242020"/>
          </w:tcPr>
          <w:p>
            <w:pPr>
              <w:spacing w:after="0" w:line="20" w:lineRule="exact"/>
              <w:rPr>
                <w:sz w:val="1"/>
                <w:szCs w:val="1"/>
                <w:color w:val="auto"/>
              </w:rPr>
            </w:pPr>
          </w:p>
        </w:tc>
        <w:tc>
          <w:tcPr>
            <w:tcW w:w="280" w:type="dxa"/>
            <w:vAlign w:val="bottom"/>
            <w:shd w:val="clear" w:color="auto" w:fill="242020"/>
          </w:tcPr>
          <w:p>
            <w:pPr>
              <w:spacing w:after="0" w:line="20" w:lineRule="exact"/>
              <w:rPr>
                <w:sz w:val="1"/>
                <w:szCs w:val="1"/>
                <w:color w:val="auto"/>
              </w:rPr>
            </w:pPr>
          </w:p>
        </w:tc>
        <w:tc>
          <w:tcPr>
            <w:tcW w:w="240" w:type="dxa"/>
            <w:vAlign w:val="bottom"/>
            <w:tcBorders>
              <w:left w:val="single" w:sz="8" w:color="242020"/>
              <w:right w:val="single" w:sz="8" w:color="242020"/>
            </w:tcBorders>
          </w:tcPr>
          <w:p>
            <w:pPr>
              <w:spacing w:after="0" w:line="20" w:lineRule="exact"/>
              <w:rPr>
                <w:sz w:val="1"/>
                <w:szCs w:val="1"/>
                <w:color w:val="auto"/>
              </w:rPr>
            </w:pPr>
          </w:p>
        </w:tc>
        <w:tc>
          <w:tcPr>
            <w:tcW w:w="800" w:type="dxa"/>
            <w:vAlign w:val="bottom"/>
            <w:shd w:val="clear" w:color="auto" w:fill="2420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 sands, except share and per share data)</w:t>
      </w:r>
    </w:p>
    <w:p>
      <w:pPr>
        <w:spacing w:after="0" w:line="162" w:lineRule="exact"/>
        <w:rPr>
          <w:sz w:val="20"/>
          <w:szCs w:val="20"/>
          <w:color w:val="auto"/>
        </w:rPr>
      </w:pPr>
    </w:p>
    <w:p>
      <w:pPr>
        <w:jc w:val="both"/>
        <w:ind w:firstLine="5"/>
        <w:spacing w:after="0" w:line="259" w:lineRule="auto"/>
        <w:rPr>
          <w:sz w:val="20"/>
          <w:szCs w:val="20"/>
          <w:color w:val="auto"/>
        </w:rPr>
      </w:pPr>
      <w:r>
        <w:rPr>
          <w:rFonts w:ascii="Times New Roman" w:cs="Times New Roman" w:eastAsia="Times New Roman" w:hAnsi="Times New Roman"/>
          <w:sz w:val="12"/>
          <w:szCs w:val="12"/>
          <w:color w:val="auto"/>
        </w:rPr>
        <w:t xml:space="preserve">Excess tax benefits in the amount of $9, $10 and $1 were recognized as a component of income tax expense during fi scal 2024, 2023 and 2022, respecti ve ly, resulting </w:t>
      </w:r>
      <w:r>
        <w:rPr>
          <w:rFonts w:ascii="Arial" w:cs="Arial" w:eastAsia="Arial" w:hAnsi="Arial"/>
          <w:sz w:val="11"/>
          <w:szCs w:val="11"/>
          <w:i w:val="1"/>
          <w:iCs w:val="1"/>
          <w:color w:val="auto"/>
        </w:rPr>
        <w:t>from</w:t>
      </w:r>
      <w:r>
        <w:rPr>
          <w:rFonts w:ascii="Times New Roman" w:cs="Times New Roman" w:eastAsia="Times New Roman" w:hAnsi="Times New Roman"/>
          <w:sz w:val="12"/>
          <w:szCs w:val="12"/>
          <w:color w:val="auto"/>
        </w:rPr>
        <w:t xml:space="preserve"> the exercise of stock options and the release of restricted shares. The fi scal 2023 adjustment for impairment of non-deductible goodwill reflect the fact that there was no tax basis related to the impaired goodwill.</w:t>
      </w:r>
    </w:p>
    <w:p>
      <w:pPr>
        <w:spacing w:after="0" w:line="297" w:lineRule="exact"/>
        <w:rPr>
          <w:sz w:val="20"/>
          <w:szCs w:val="20"/>
          <w:color w:val="auto"/>
        </w:rPr>
      </w:pPr>
    </w:p>
    <w:p>
      <w:pPr>
        <w:jc w:val="both"/>
        <w:ind w:left="20" w:hanging="4"/>
        <w:spacing w:after="0" w:line="254" w:lineRule="auto"/>
        <w:rPr>
          <w:sz w:val="20"/>
          <w:szCs w:val="20"/>
          <w:color w:val="auto"/>
        </w:rPr>
      </w:pPr>
      <w:r>
        <w:rPr>
          <w:rFonts w:ascii="Times New Roman" w:cs="Times New Roman" w:eastAsia="Times New Roman" w:hAnsi="Times New Roman"/>
          <w:sz w:val="12"/>
          <w:szCs w:val="12"/>
          <w:color w:val="auto"/>
        </w:rPr>
        <w:t>The income tax effects of temporary differences and carryforwards, which give rise to significant portions of the deferred income tax assets and deferred income tax liabilities, are as follo ws:</w:t>
      </w:r>
    </w:p>
    <w:p>
      <w:pPr>
        <w:spacing w:after="0" w:line="140"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2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November 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November 25,</w:t>
            </w:r>
          </w:p>
        </w:tc>
        <w:tc>
          <w:tcPr>
            <w:tcW w:w="0" w:type="dxa"/>
            <w:vAlign w:val="bottom"/>
          </w:tcPr>
          <w:p>
            <w:pPr>
              <w:spacing w:after="0"/>
              <w:rPr>
                <w:sz w:val="1"/>
                <w:szCs w:val="1"/>
                <w:color w:val="auto"/>
              </w:rPr>
            </w:pPr>
          </w:p>
        </w:tc>
      </w:tr>
      <w:tr>
        <w:trPr>
          <w:trHeight w:val="147"/>
        </w:trPr>
        <w:tc>
          <w:tcPr>
            <w:tcW w:w="2940" w:type="dxa"/>
            <w:vAlign w:val="bottom"/>
          </w:tcPr>
          <w:p>
            <w:pPr>
              <w:spacing w:after="0"/>
              <w:rPr>
                <w:sz w:val="12"/>
                <w:szCs w:val="12"/>
                <w:color w:val="auto"/>
              </w:rPr>
            </w:pPr>
          </w:p>
        </w:tc>
        <w:tc>
          <w:tcPr>
            <w:tcW w:w="1000" w:type="dxa"/>
            <w:vAlign w:val="bottom"/>
            <w:gridSpan w:val="2"/>
          </w:tcPr>
          <w:p>
            <w:pPr>
              <w:jc w:val="right"/>
              <w:ind w:right="316"/>
              <w:spacing w:after="0"/>
              <w:rPr>
                <w:sz w:val="20"/>
                <w:szCs w:val="20"/>
                <w:color w:val="auto"/>
              </w:rPr>
            </w:pPr>
            <w:r>
              <w:rPr>
                <w:rFonts w:ascii="Times New Roman" w:cs="Times New Roman" w:eastAsia="Times New Roman" w:hAnsi="Times New Roman"/>
                <w:sz w:val="12"/>
                <w:szCs w:val="12"/>
                <w:color w:val="auto"/>
              </w:rPr>
              <w:t>2024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2"/>
                <w:szCs w:val="12"/>
                <w:color w:val="auto"/>
              </w:rPr>
              <w:t>2023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 assets:</w:t>
            </w:r>
          </w:p>
        </w:tc>
        <w:tc>
          <w:tcPr>
            <w:tcW w:w="20" w:type="dxa"/>
            <w:vAlign w:val="bottom"/>
          </w:tcPr>
          <w:p>
            <w:pPr>
              <w:spacing w:after="0"/>
              <w:rPr>
                <w:sz w:val="12"/>
                <w:szCs w:val="12"/>
                <w:color w:val="auto"/>
              </w:rPr>
            </w:pPr>
          </w:p>
        </w:tc>
        <w:tc>
          <w:tcPr>
            <w:tcW w:w="980" w:type="dxa"/>
            <w:vAlign w:val="bottom"/>
            <w:tcBorders>
              <w:top w:val="single" w:sz="8" w:color="585454"/>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585454"/>
            </w:tcBorders>
          </w:tcPr>
          <w:p>
            <w:pPr>
              <w:spacing w:after="0"/>
              <w:rPr>
                <w:sz w:val="12"/>
                <w:szCs w:val="12"/>
                <w:color w:val="auto"/>
              </w:rPr>
            </w:pPr>
          </w:p>
        </w:tc>
        <w:tc>
          <w:tcPr>
            <w:tcW w:w="880" w:type="dxa"/>
            <w:vAlign w:val="bottom"/>
            <w:tcBorders>
              <w:top w:val="single" w:sz="8" w:color="585454"/>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Trade accounts recei vable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 ventories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3,867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Post employment benefit obligations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2,498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Federal net operating loss and credit carry forwards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1, 107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State net operating loss carryforwards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Foreign net operating loss carryforwards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2,264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1,79 1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27,138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29,185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10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6C6868"/>
            </w:tcBorders>
          </w:tcPr>
          <w:p>
            <w:pPr>
              <w:spacing w:after="0"/>
              <w:rPr>
                <w:sz w:val="12"/>
                <w:szCs w:val="12"/>
                <w:color w:val="auto"/>
              </w:rPr>
            </w:pPr>
          </w:p>
        </w:tc>
        <w:tc>
          <w:tcPr>
            <w:tcW w:w="880" w:type="dxa"/>
            <w:vAlign w:val="bottom"/>
            <w:tcBorders>
              <w:bottom w:val="single" w:sz="8" w:color="6C6868"/>
            </w:tcBorders>
          </w:tcPr>
          <w:p>
            <w:pPr>
              <w:jc w:val="right"/>
              <w:spacing w:after="0" w:line="127" w:lineRule="exact"/>
              <w:rPr>
                <w:sz w:val="20"/>
                <w:szCs w:val="20"/>
                <w:color w:val="auto"/>
              </w:rPr>
            </w:pPr>
            <w:r>
              <w:rPr>
                <w:rFonts w:ascii="Times New Roman" w:cs="Times New Roman" w:eastAsia="Times New Roman" w:hAnsi="Times New Roman"/>
                <w:sz w:val="12"/>
                <w:szCs w:val="12"/>
                <w:color w:val="auto"/>
              </w:rPr>
              <w:t>1,5 15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Gross deferred income tax assets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38,955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39,052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Valuation allowance</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(2,264)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(1 ,791)</w:t>
            </w:r>
          </w:p>
        </w:tc>
        <w:tc>
          <w:tcPr>
            <w:tcW w:w="0" w:type="dxa"/>
            <w:vAlign w:val="bottom"/>
          </w:tcPr>
          <w:p>
            <w:pPr>
              <w:spacing w:after="0"/>
              <w:rPr>
                <w:sz w:val="1"/>
                <w:szCs w:val="1"/>
                <w:color w:val="auto"/>
              </w:rPr>
            </w:pPr>
          </w:p>
        </w:tc>
      </w:tr>
      <w:tr>
        <w:trPr>
          <w:trHeight w:val="140"/>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deferred income tax assets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36,691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585454"/>
            </w:tcBorders>
          </w:tcPr>
          <w:p>
            <w:pPr>
              <w:spacing w:after="0"/>
              <w:rPr>
                <w:sz w:val="12"/>
                <w:szCs w:val="12"/>
                <w:color w:val="auto"/>
              </w:rPr>
            </w:pPr>
          </w:p>
        </w:tc>
        <w:tc>
          <w:tcPr>
            <w:tcW w:w="880" w:type="dxa"/>
            <w:vAlign w:val="bottom"/>
            <w:tcBorders>
              <w:top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37,261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 liabilities:</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Property and equipment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4,200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5,894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Intangible assets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1,235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Operating lease assets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23 ,771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25,239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Prepaid expenses and other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618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585454"/>
            </w:tcBorders>
          </w:tcPr>
          <w:p>
            <w:pPr>
              <w:spacing w:after="0"/>
              <w:rPr>
                <w:sz w:val="12"/>
                <w:szCs w:val="12"/>
                <w:color w:val="auto"/>
              </w:rPr>
            </w:pPr>
          </w:p>
        </w:tc>
        <w:tc>
          <w:tcPr>
            <w:tcW w:w="88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499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deferred income tax liabilities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29,824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32,616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940" w:type="dxa"/>
            <w:vAlign w:val="bottom"/>
          </w:tcPr>
          <w:p>
            <w:pPr>
              <w:spacing w:after="0"/>
              <w:rPr>
                <w:sz w:val="8"/>
                <w:szCs w:val="8"/>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6,867</w:t>
            </w:r>
          </w:p>
        </w:tc>
        <w:tc>
          <w:tcPr>
            <w:tcW w:w="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deferred income tax assets</w:t>
            </w:r>
          </w:p>
        </w:tc>
        <w:tc>
          <w:tcPr>
            <w:tcW w:w="1000" w:type="dxa"/>
            <w:vAlign w:val="bottom"/>
            <w:tcBorders>
              <w:bottom w:val="single" w:sz="8" w:color="242020"/>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242020"/>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242020"/>
            </w:tcBorders>
          </w:tcPr>
          <w:p>
            <w:pPr>
              <w:jc w:val="right"/>
              <w:spacing w:after="0"/>
              <w:rPr>
                <w:sz w:val="20"/>
                <w:szCs w:val="20"/>
                <w:color w:val="auto"/>
              </w:rPr>
            </w:pPr>
            <w:r>
              <w:rPr>
                <w:rFonts w:ascii="Times New Roman" w:cs="Times New Roman" w:eastAsia="Times New Roman" w:hAnsi="Times New Roman"/>
                <w:sz w:val="12"/>
                <w:szCs w:val="12"/>
                <w:color w:val="auto"/>
              </w:rPr>
              <w:t>4,645</w:t>
            </w:r>
          </w:p>
        </w:tc>
        <w:tc>
          <w:tcPr>
            <w:tcW w:w="20" w:type="dxa"/>
            <w:vAlign w:val="bottom"/>
            <w:tcBorders>
              <w:bottom w:val="single" w:sz="8" w:color="242020"/>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6"/>
        <w:spacing w:after="0" w:line="256" w:lineRule="auto"/>
        <w:rPr>
          <w:sz w:val="20"/>
          <w:szCs w:val="20"/>
          <w:color w:val="auto"/>
        </w:rPr>
      </w:pPr>
      <w:r>
        <w:rPr>
          <w:rFonts w:ascii="Times New Roman" w:cs="Times New Roman" w:eastAsia="Times New Roman" w:hAnsi="Times New Roman"/>
          <w:sz w:val="12"/>
          <w:szCs w:val="12"/>
          <w:color w:val="auto"/>
        </w:rPr>
        <w:t>We have foreign net operating loss carryforwards attributable to Noa Home (see Note 3) of$10,780 resulting in a deferred tax asset of $2,264 upon which we have placed a full valuation allowance. During fiscal 2024, we generated federal net operating Joss carry forwards of$5, 152 and state net operating Joss carry forwards of$530 .</w:t>
      </w:r>
    </w:p>
    <w:p>
      <w:pPr>
        <w:spacing w:after="0" w:line="154" w:lineRule="exact"/>
        <w:rPr>
          <w:sz w:val="20"/>
          <w:szCs w:val="20"/>
          <w:color w:val="auto"/>
        </w:rPr>
      </w:pPr>
    </w:p>
    <w:p>
      <w:pPr>
        <w:jc w:val="both"/>
        <w:ind w:firstLine="4"/>
        <w:spacing w:after="0" w:line="254" w:lineRule="auto"/>
        <w:rPr>
          <w:sz w:val="20"/>
          <w:szCs w:val="20"/>
          <w:color w:val="auto"/>
        </w:rPr>
      </w:pPr>
      <w:r>
        <w:rPr>
          <w:rFonts w:ascii="Times New Roman" w:cs="Times New Roman" w:eastAsia="Times New Roman" w:hAnsi="Times New Roman"/>
          <w:sz w:val="12"/>
          <w:szCs w:val="12"/>
          <w:color w:val="auto"/>
        </w:rPr>
        <w:t>Income tax refunds received, net of taxes paid, during fi scal2024 and 2023 were $658 and $263 , respectively. Income taxes paid, net of refunds received, during fi scal 2022 was $20,176 .</w:t>
      </w:r>
    </w:p>
    <w:p>
      <w:pPr>
        <w:spacing w:after="0" w:line="155" w:lineRule="exact"/>
        <w:rPr>
          <w:sz w:val="20"/>
          <w:szCs w:val="20"/>
          <w:color w:val="auto"/>
        </w:rPr>
      </w:pPr>
    </w:p>
    <w:p>
      <w:pPr>
        <w:jc w:val="both"/>
        <w:ind w:firstLine="6"/>
        <w:spacing w:after="0" w:line="256" w:lineRule="auto"/>
        <w:rPr>
          <w:sz w:val="20"/>
          <w:szCs w:val="20"/>
          <w:color w:val="auto"/>
        </w:rPr>
      </w:pPr>
      <w:r>
        <w:rPr>
          <w:rFonts w:ascii="Times New Roman" w:cs="Times New Roman" w:eastAsia="Times New Roman" w:hAnsi="Times New Roman"/>
          <w:sz w:val="12"/>
          <w:szCs w:val="12"/>
          <w:color w:val="auto"/>
        </w:rPr>
        <w:t>We regularly evaluate, assess and adjust our accrued liabilities for unrecogni zed tax benefits in light of changing facts and circumstances, which could cause the effective tax rate to fluctuate from period to period. Our liabilities for uncertain tax positions are not material.</w:t>
      </w:r>
    </w:p>
    <w:p>
      <w:pPr>
        <w:spacing w:after="0" w:line="153" w:lineRule="exact"/>
        <w:rPr>
          <w:sz w:val="20"/>
          <w:szCs w:val="20"/>
          <w:color w:val="auto"/>
        </w:rPr>
      </w:pPr>
    </w:p>
    <w:p>
      <w:pPr>
        <w:jc w:val="both"/>
        <w:ind w:firstLine="4"/>
        <w:spacing w:after="0" w:line="257" w:lineRule="auto"/>
        <w:rPr>
          <w:sz w:val="20"/>
          <w:szCs w:val="20"/>
          <w:color w:val="auto"/>
        </w:rPr>
      </w:pPr>
      <w:r>
        <w:rPr>
          <w:rFonts w:ascii="Times New Roman" w:cs="Times New Roman" w:eastAsia="Times New Roman" w:hAnsi="Times New Roman"/>
          <w:sz w:val="12"/>
          <w:szCs w:val="12"/>
          <w:color w:val="auto"/>
        </w:rPr>
        <w:t>Significant judgment is required in evaluating th e Company's federal and state tax positions and in the determination of its tax provision. Despite our belief that the liability for unrecogni zed tax benefi ts is adequate, it is often difficult to predict th e final outcome or th e timing of th e resolution of any particular tax matter. We may adjust th ese liabilities as relevant circumstances evo lve, such as guidance from the relevant tax authority, or resolution of issues in th e courts. Th ese adjustments are recogni zed as a component of income tax expense in the period in which th ey are identified. Th e Company also cannot predict when or if any other future tax payments related to these tax positions may occur.</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We remain subj ect to examination for tax years 2021 through 2024 for all of our major tax jurisdiction s.</w:t>
      </w:r>
    </w:p>
    <w:p>
      <w:pPr>
        <w:spacing w:after="0" w:line="433" w:lineRule="exact"/>
        <w:rPr>
          <w:sz w:val="20"/>
          <w:szCs w:val="20"/>
          <w:color w:val="auto"/>
        </w:rPr>
      </w:pPr>
    </w:p>
    <w:p>
      <w:pPr>
        <w:sectPr>
          <w:pgSz w:w="15840" w:h="12240" w:orient="landscape"/>
          <w:cols w:equalWidth="0" w:num="2">
            <w:col w:w="7200" w:space="720"/>
            <w:col w:w="6440"/>
          </w:cols>
          <w:pgMar w:left="740" w:top="1440" w:right="740" w:bottom="897" w:gutter="0" w:footer="0" w:header="0"/>
        </w:sectPr>
      </w:pPr>
    </w:p>
    <w:p>
      <w:pPr>
        <w:spacing w:after="0" w:line="200" w:lineRule="exact"/>
        <w:rPr>
          <w:sz w:val="20"/>
          <w:szCs w:val="20"/>
          <w:color w:val="auto"/>
        </w:rPr>
      </w:pPr>
    </w:p>
    <w:p>
      <w:pPr>
        <w:spacing w:after="0" w:line="285"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39</w:t>
      </w:r>
      <w:r>
        <w:rPr>
          <w:sz w:val="20"/>
          <w:szCs w:val="20"/>
          <w:color w:val="auto"/>
        </w:rPr>
        <w:tab/>
      </w:r>
      <w:r>
        <w:rPr>
          <w:rFonts w:ascii="Times New Roman" w:cs="Times New Roman" w:eastAsia="Times New Roman" w:hAnsi="Times New Roman"/>
          <w:sz w:val="12"/>
          <w:szCs w:val="12"/>
          <w:color w:val="auto"/>
        </w:rPr>
        <w:t>40</w:t>
      </w:r>
    </w:p>
    <w:p>
      <w:pPr>
        <w:sectPr>
          <w:pgSz w:w="15840" w:h="12240" w:orient="landscape"/>
          <w:cols w:equalWidth="0" w:num="1">
            <w:col w:w="14360"/>
          </w:cols>
          <w:pgMar w:left="740" w:top="1440" w:right="740" w:bottom="897" w:gutter="0" w:footer="0" w:header="0"/>
          <w:type w:val="continuous"/>
        </w:sectPr>
      </w:pPr>
    </w:p>
    <w:bookmarkStart w:id="24" w:name="page25"/>
    <w:bookmarkEnd w:id="24"/>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0058400" cy="7772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thousands, except share and per share data)</w:t>
      </w:r>
    </w:p>
    <w:p>
      <w:pPr>
        <w:spacing w:after="0" w:line="148" w:lineRule="exact"/>
        <w:rPr>
          <w:sz w:val="20"/>
          <w:szCs w:val="20"/>
          <w:color w:val="auto"/>
        </w:rPr>
      </w:pPr>
    </w:p>
    <w:p>
      <w:pPr>
        <w:ind w:left="200" w:hanging="191"/>
        <w:spacing w:after="0"/>
        <w:tabs>
          <w:tab w:leader="none" w:pos="20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Other Gains and Losses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Asset Impairment Charges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During fi scal 2024, we recognized non-cash charges for asset impairments totaling $5,515 which consisted of the following:</w:t>
      </w:r>
    </w:p>
    <w:p>
      <w:pPr>
        <w:spacing w:after="0" w:line="166" w:lineRule="exact"/>
        <w:rPr>
          <w:sz w:val="20"/>
          <w:szCs w:val="20"/>
          <w:color w:val="auto"/>
        </w:rPr>
      </w:pPr>
    </w:p>
    <w:p>
      <w:pPr>
        <w:jc w:val="both"/>
        <w:ind w:left="480" w:right="760" w:hanging="233"/>
        <w:spacing w:after="0" w:line="254" w:lineRule="auto"/>
        <w:tabs>
          <w:tab w:leader="none" w:pos="47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$2,887 in our retail segment which included $1 ,978 related to the impairment of leasehold improvements and $750 from the impainnent of right-of-use assets at certain underperforming retail stores, as well as $159 for the impairment of right-of-use assets at certain warehouse locations resultin g from the consolidation of our retail warehouses.</w:t>
      </w:r>
    </w:p>
    <w:p>
      <w:pPr>
        <w:spacing w:after="0" w:line="157" w:lineRule="exact"/>
        <w:rPr>
          <w:rFonts w:ascii="Times New Roman" w:cs="Times New Roman" w:eastAsia="Times New Roman" w:hAnsi="Times New Roman"/>
          <w:sz w:val="12"/>
          <w:szCs w:val="12"/>
          <w:color w:val="auto"/>
        </w:rPr>
      </w:pPr>
    </w:p>
    <w:p>
      <w:pPr>
        <w:ind w:left="480" w:right="760" w:hanging="233"/>
        <w:spacing w:after="0" w:line="247" w:lineRule="auto"/>
        <w:tabs>
          <w:tab w:leader="none" w:pos="479"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$727 for the impairment of plant and equipment in our wholesa le segment related to the consolidation of our domestic wood production facilities.</w:t>
      </w:r>
    </w:p>
    <w:p>
      <w:pPr>
        <w:spacing w:after="0" w:line="13" w:lineRule="exact"/>
        <w:rPr>
          <w:rFonts w:ascii="Times New Roman" w:cs="Times New Roman" w:eastAsia="Times New Roman" w:hAnsi="Times New Roman"/>
          <w:sz w:val="12"/>
          <w:szCs w:val="12"/>
          <w:color w:val="auto"/>
        </w:rPr>
      </w:pPr>
    </w:p>
    <w:p>
      <w:pPr>
        <w:jc w:val="both"/>
        <w:ind w:left="480" w:right="760" w:hanging="233"/>
        <w:spacing w:after="0" w:line="256" w:lineRule="auto"/>
        <w:tabs>
          <w:tab w:leader="none" w:pos="4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 ,901 for the impairment of long-li ved assets at Noa Home. During the second quarter we concluded that Noa Home was not likely to achieve profitability in the foreseeable future and decided to cease operations by se lling the remaining inventory in an orderly fashion through then end of fiscal 2024. $1,827 of these charges are for the full impairment of the Noa Home trade name intangible asset, and $74 relates to the full impairment of customized software used in the Noa Home operations.</w:t>
      </w:r>
    </w:p>
    <w:p>
      <w:pPr>
        <w:spacing w:after="0" w:line="157" w:lineRule="exact"/>
        <w:rPr>
          <w:sz w:val="20"/>
          <w:szCs w:val="20"/>
          <w:color w:val="auto"/>
        </w:rPr>
      </w:pPr>
    </w:p>
    <w:p>
      <w:pPr>
        <w:jc w:val="both"/>
        <w:ind w:right="760"/>
        <w:spacing w:after="0" w:line="253" w:lineRule="auto"/>
        <w:rPr>
          <w:sz w:val="20"/>
          <w:szCs w:val="20"/>
          <w:color w:val="auto"/>
        </w:rPr>
      </w:pPr>
      <w:r>
        <w:rPr>
          <w:rFonts w:ascii="Times New Roman" w:cs="Times New Roman" w:eastAsia="Times New Roman" w:hAnsi="Times New Roman"/>
          <w:sz w:val="12"/>
          <w:szCs w:val="12"/>
          <w:color w:val="auto"/>
        </w:rPr>
        <w:t>Our estimates of the fair va lue of the impaired right-of-use assets included estimates of discounted cash flows based upon current market rents and other inputs which we consider to be Level 3 inputs as specified in the fair va lue hierarchy in ASC Topic 820, Fair Value Measurement and Disclosure.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Loss on Contract Abandonment</w:t>
      </w:r>
    </w:p>
    <w:p>
      <w:pPr>
        <w:spacing w:after="0" w:line="165" w:lineRule="exact"/>
        <w:rPr>
          <w:sz w:val="20"/>
          <w:szCs w:val="20"/>
          <w:color w:val="auto"/>
        </w:rPr>
      </w:pPr>
    </w:p>
    <w:p>
      <w:pPr>
        <w:jc w:val="both"/>
        <w:ind w:right="780" w:firstLine="4"/>
        <w:spacing w:after="0" w:line="253" w:lineRule="auto"/>
        <w:rPr>
          <w:sz w:val="20"/>
          <w:szCs w:val="20"/>
          <w:color w:val="auto"/>
        </w:rPr>
      </w:pPr>
      <w:r>
        <w:rPr>
          <w:rFonts w:ascii="Times New Roman" w:cs="Times New Roman" w:eastAsia="Times New Roman" w:hAnsi="Times New Roman"/>
          <w:sz w:val="12"/>
          <w:szCs w:val="12"/>
          <w:color w:val="auto"/>
        </w:rPr>
        <w:t>During fiscal2024, we recognized a charge of$1 ,240 to accrue the remaining minimum charges payable under a contract for logistical services which our wholesale segment ceased utili zing during the third fiscal quarter of 2024. These minimum payments will continue through January of2026.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Loss Upon Realization of Cumulative Translation Adjustment</w:t>
      </w:r>
    </w:p>
    <w:p>
      <w:pPr>
        <w:spacing w:after="0" w:line="166" w:lineRule="exact"/>
        <w:rPr>
          <w:sz w:val="20"/>
          <w:szCs w:val="20"/>
          <w:color w:val="auto"/>
        </w:rPr>
      </w:pPr>
    </w:p>
    <w:p>
      <w:pPr>
        <w:jc w:val="both"/>
        <w:ind w:right="760" w:firstLine="5"/>
        <w:spacing w:after="0" w:line="258" w:lineRule="auto"/>
        <w:rPr>
          <w:sz w:val="20"/>
          <w:szCs w:val="20"/>
          <w:color w:val="auto"/>
        </w:rPr>
      </w:pPr>
      <w:r>
        <w:rPr>
          <w:rFonts w:ascii="Times New Roman" w:cs="Times New Roman" w:eastAsia="Times New Roman" w:hAnsi="Times New Roman"/>
          <w:sz w:val="12"/>
          <w:szCs w:val="12"/>
          <w:color w:val="auto"/>
        </w:rPr>
        <w:t>In connection with the liquidation of the Noa Home business, we recogni zed a pre-tax charge of $962 during the fourth quarter of fiscal 2024 for the realization of cumulative translation adjustments previously carried in accumulated other comprehensive loss.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Restructuri11g Charges</w:t>
      </w:r>
    </w:p>
    <w:p>
      <w:pPr>
        <w:spacing w:after="0" w:line="165" w:lineRule="exact"/>
        <w:rPr>
          <w:sz w:val="20"/>
          <w:szCs w:val="20"/>
          <w:color w:val="auto"/>
        </w:rPr>
      </w:pPr>
    </w:p>
    <w:p>
      <w:pPr>
        <w:jc w:val="both"/>
        <w:ind w:right="760" w:firstLine="5"/>
        <w:spacing w:after="0" w:line="253" w:lineRule="auto"/>
        <w:rPr>
          <w:sz w:val="20"/>
          <w:szCs w:val="20"/>
          <w:color w:val="auto"/>
        </w:rPr>
      </w:pPr>
      <w:r>
        <w:rPr>
          <w:rFonts w:ascii="Times New Roman" w:cs="Times New Roman" w:eastAsia="Times New Roman" w:hAnsi="Times New Roman"/>
          <w:sz w:val="12"/>
          <w:szCs w:val="12"/>
          <w:color w:val="auto"/>
        </w:rPr>
        <w:t>In the fourth quarter of fiscal 2024 we recogni zed a restructuring charge of $440 representing accrued severance pay for certain affected employees. At November 30, 2024, $432 of the accrual remained in other current liabilities and is expected to be paid out by the end of the second quarter of fi scal 2025.</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Goodwilllmpairme11t Charge</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See Note 8 regarding the $5,409 non-cash charge durin g fiscal 2023 to impair goodwill associated with Noa !-lom e.</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Gai11 011 Revaluatio11 o[Co11ti11ge11t Co11sideratio11</w:t>
      </w:r>
    </w:p>
    <w:p>
      <w:pPr>
        <w:spacing w:after="0" w:line="166" w:lineRule="exact"/>
        <w:rPr>
          <w:sz w:val="20"/>
          <w:szCs w:val="20"/>
          <w:color w:val="auto"/>
        </w:rPr>
      </w:pPr>
    </w:p>
    <w:p>
      <w:pPr>
        <w:jc w:val="both"/>
        <w:ind w:left="20" w:right="760" w:hanging="5"/>
        <w:spacing w:after="0" w:line="248" w:lineRule="auto"/>
        <w:rPr>
          <w:sz w:val="20"/>
          <w:szCs w:val="20"/>
          <w:color w:val="auto"/>
        </w:rPr>
      </w:pPr>
      <w:r>
        <w:rPr>
          <w:rFonts w:ascii="Times New Roman" w:cs="Times New Roman" w:eastAsia="Times New Roman" w:hAnsi="Times New Roman"/>
          <w:sz w:val="12"/>
          <w:szCs w:val="12"/>
          <w:color w:val="auto"/>
        </w:rPr>
        <w:t>See Note 3 regarding a $1 ,013 ga in during fi scal2023 resulting from the reva luation of contingent consideration owed to th e former owners ofNoa !-lome.</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Gai11s 011 Di!1positiolls of Retail Store Locatio11s</w:t>
      </w:r>
    </w:p>
    <w:p>
      <w:pPr>
        <w:spacing w:after="0" w:line="166" w:lineRule="exact"/>
        <w:rPr>
          <w:sz w:val="20"/>
          <w:szCs w:val="20"/>
          <w:color w:val="auto"/>
        </w:rPr>
      </w:pPr>
    </w:p>
    <w:p>
      <w:pPr>
        <w:jc w:val="both"/>
        <w:ind w:right="760" w:firstLine="6"/>
        <w:spacing w:after="0" w:line="248" w:lineRule="auto"/>
        <w:rPr>
          <w:sz w:val="20"/>
          <w:szCs w:val="20"/>
          <w:color w:val="auto"/>
        </w:rPr>
      </w:pPr>
      <w:r>
        <w:rPr>
          <w:rFonts w:ascii="Times New Roman" w:cs="Times New Roman" w:eastAsia="Times New Roman" w:hAnsi="Times New Roman"/>
          <w:sz w:val="12"/>
          <w:szCs w:val="12"/>
          <w:color w:val="auto"/>
        </w:rPr>
        <w:t>During the third quarter of fiscal 2022, we so ld one of our Company-owned store locations in Houston, Texas for $8,217 net of closing costs, resulting in a gain of$4,595 during th e year ended November 26, 2022.</w:t>
      </w:r>
    </w:p>
    <w:p>
      <w:pPr>
        <w:spacing w:after="0" w:line="161" w:lineRule="exact"/>
        <w:rPr>
          <w:sz w:val="20"/>
          <w:szCs w:val="20"/>
          <w:color w:val="auto"/>
        </w:rPr>
      </w:pPr>
    </w:p>
    <w:p>
      <w:pPr>
        <w:jc w:val="both"/>
        <w:ind w:right="760"/>
        <w:spacing w:after="0" w:line="255" w:lineRule="auto"/>
        <w:rPr>
          <w:sz w:val="20"/>
          <w:szCs w:val="20"/>
          <w:color w:val="auto"/>
        </w:rPr>
      </w:pPr>
      <w:r>
        <w:rPr>
          <w:rFonts w:ascii="Times New Roman" w:cs="Times New Roman" w:eastAsia="Times New Roman" w:hAnsi="Times New Roman"/>
          <w:sz w:val="12"/>
          <w:szCs w:val="12"/>
          <w:color w:val="auto"/>
        </w:rPr>
        <w:t>This sa le, togeth er with our purchase of rea l property in Tampa, Florida for $7,668 in cash during th e second quarter of fi scal 2022 was treated as an exchange of lik e-kind property und er Section 103 1 of th e Internal Revenue Code of 1986, as amended, for the purpose of deferring approximately $4,300 of the taxable gain arising from the sa le of the Houston property . A VIE was established during the second quarter of fiscal 2022 for purposes of acquiring the Tampa, Florida property, of which the</w:t>
      </w:r>
    </w:p>
    <w:p>
      <w:pPr>
        <w:spacing w:after="0" w:line="9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 sands, except share and per share data)</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Company was the primary beneficiary by virtue of our control over the activities that most significantly impact the entity's economic performance. Subsequent to the completion of the exchange tran sactions during the third quarter of fi scal 2022, the sole equity interest in the VIE was trans ferred to Bassett and the entity is now consolidated as a wholly owned subsidiary.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loss, net forthe fiscal 2022 includes a gain of$1 ,441 arising from death benefits from Company-owned liFe insurance.</w:t>
      </w:r>
    </w:p>
    <w:p>
      <w:pPr>
        <w:spacing w:after="0" w:line="307" w:lineRule="exact"/>
        <w:rPr>
          <w:sz w:val="20"/>
          <w:szCs w:val="20"/>
          <w:color w:val="auto"/>
        </w:rPr>
      </w:pPr>
    </w:p>
    <w:p>
      <w:pPr>
        <w:ind w:left="20" w:right="4620" w:hanging="11"/>
        <w:spacing w:after="0" w:line="461" w:lineRule="auto"/>
        <w:tabs>
          <w:tab w:leader="none" w:pos="217"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Leases and Lease Guarantees Leases</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See " Leases" under Note 2 for a discuss ion of our accounting policies and elections under Topic 842.</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Supplemental balance sheet information related to our leases as of November 30, 2024 and November 25, 2023 is as follows:</w:t>
      </w:r>
    </w:p>
    <w:p>
      <w:pPr>
        <w:spacing w:after="0" w:line="148"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November 30,</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November </w:t>
            </w:r>
            <w:r>
              <w:rPr>
                <w:rFonts w:ascii="Times New Roman" w:cs="Times New Roman" w:eastAsia="Times New Roman" w:hAnsi="Times New Roman"/>
                <w:sz w:val="12"/>
                <w:szCs w:val="12"/>
                <w:color w:val="auto"/>
              </w:rPr>
              <w:t>25,</w:t>
            </w:r>
          </w:p>
        </w:tc>
      </w:tr>
      <w:tr>
        <w:trPr>
          <w:trHeight w:val="147"/>
        </w:trPr>
        <w:tc>
          <w:tcPr>
            <w:tcW w:w="26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2023</w:t>
            </w:r>
          </w:p>
        </w:tc>
      </w:tr>
      <w:tr>
        <w:trPr>
          <w:trHeight w:val="140"/>
        </w:trPr>
        <w:tc>
          <w:tcPr>
            <w:tcW w:w="262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Operating leases:</w:t>
            </w:r>
          </w:p>
        </w:tc>
        <w:tc>
          <w:tcPr>
            <w:tcW w:w="900" w:type="dxa"/>
            <w:vAlign w:val="bottom"/>
            <w:tcBorders>
              <w:top w:val="single" w:sz="8" w:color="585454"/>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585454"/>
            </w:tcBorders>
          </w:tcPr>
          <w:p>
            <w:pPr>
              <w:spacing w:after="0"/>
              <w:rPr>
                <w:sz w:val="12"/>
                <w:szCs w:val="12"/>
                <w:color w:val="auto"/>
              </w:rPr>
            </w:pPr>
          </w:p>
        </w:tc>
      </w:tr>
      <w:tr>
        <w:trPr>
          <w:trHeight w:val="149"/>
        </w:trPr>
        <w:tc>
          <w:tcPr>
            <w:tcW w:w="2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Right of use assets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93 ,624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100,888</w:t>
            </w:r>
          </w:p>
        </w:tc>
      </w:tr>
      <w:tr>
        <w:trPr>
          <w:trHeight w:val="149"/>
        </w:trPr>
        <w:tc>
          <w:tcPr>
            <w:tcW w:w="2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Lease liabilities, short-term</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18,827</w:t>
            </w:r>
          </w:p>
        </w:tc>
      </w:tr>
      <w:tr>
        <w:trPr>
          <w:trHeight w:val="149"/>
        </w:trPr>
        <w:tc>
          <w:tcPr>
            <w:tcW w:w="2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Lease liabilities, long-term</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88,395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97,357</w:t>
            </w:r>
          </w:p>
        </w:tc>
      </w:tr>
      <w:tr>
        <w:trPr>
          <w:trHeight w:val="293"/>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Finance leases: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54"/>
        </w:trPr>
        <w:tc>
          <w:tcPr>
            <w:tcW w:w="2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Right of use assets (I)</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327</w:t>
            </w:r>
          </w:p>
        </w:tc>
      </w:tr>
      <w:tr>
        <w:trPr>
          <w:trHeight w:val="149"/>
        </w:trPr>
        <w:tc>
          <w:tcPr>
            <w:tcW w:w="2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Lease liabilities, short-term (2)</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246</w:t>
            </w:r>
          </w:p>
        </w:tc>
      </w:tr>
      <w:tr>
        <w:trPr>
          <w:trHeight w:val="149"/>
        </w:trPr>
        <w:tc>
          <w:tcPr>
            <w:tcW w:w="26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Lease liabilities, long-term (3)</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99</w:t>
            </w:r>
          </w:p>
        </w:tc>
      </w:tr>
    </w:tbl>
    <w:p>
      <w:pPr>
        <w:spacing w:after="0" w:line="159" w:lineRule="exact"/>
        <w:rPr>
          <w:sz w:val="20"/>
          <w:szCs w:val="20"/>
          <w:color w:val="auto"/>
        </w:rPr>
      </w:pPr>
    </w:p>
    <w:p>
      <w:pPr>
        <w:ind w:left="260"/>
        <w:spacing w:after="0"/>
        <w:tabs>
          <w:tab w:leader="none" w:pos="480" w:val="left"/>
        </w:tabs>
        <w:rPr>
          <w:sz w:val="20"/>
          <w:szCs w:val="20"/>
          <w:color w:val="auto"/>
        </w:rPr>
      </w:pPr>
      <w:r>
        <w:rPr>
          <w:rFonts w:ascii="Times New Roman" w:cs="Times New Roman" w:eastAsia="Times New Roman" w:hAnsi="Times New Roman"/>
          <w:sz w:val="12"/>
          <w:szCs w:val="12"/>
          <w:color w:val="auto"/>
        </w:rPr>
        <w:t>(I)</w:t>
        <w:tab/>
        <w:t xml:space="preserve">Included in property </w:t>
      </w:r>
      <w:r>
        <w:rPr>
          <w:rFonts w:ascii="Arial" w:cs="Arial" w:eastAsia="Arial" w:hAnsi="Arial"/>
          <w:sz w:val="11"/>
          <w:szCs w:val="11"/>
          <w:color w:val="auto"/>
        </w:rPr>
        <w:t>&amp;</w:t>
      </w:r>
      <w:r>
        <w:rPr>
          <w:rFonts w:ascii="Times New Roman" w:cs="Times New Roman" w:eastAsia="Times New Roman" w:hAnsi="Times New Roman"/>
          <w:sz w:val="12"/>
          <w:szCs w:val="12"/>
          <w:color w:val="auto"/>
        </w:rPr>
        <w:t xml:space="preserve"> equipment, net in our consolidated balance sheet.</w:t>
      </w:r>
    </w:p>
    <w:p>
      <w:pPr>
        <w:spacing w:after="0" w:line="40" w:lineRule="exact"/>
        <w:rPr>
          <w:sz w:val="20"/>
          <w:szCs w:val="20"/>
          <w:color w:val="auto"/>
        </w:rPr>
      </w:pPr>
    </w:p>
    <w:p>
      <w:pPr>
        <w:ind w:left="500" w:hanging="248"/>
        <w:spacing w:after="0"/>
        <w:tabs>
          <w:tab w:leader="none" w:pos="50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 ed in other current liabilities and accrued expenses in our consolidated balance sheet.</w:t>
      </w:r>
    </w:p>
    <w:p>
      <w:pPr>
        <w:spacing w:after="0" w:line="39" w:lineRule="exact"/>
        <w:rPr>
          <w:rFonts w:ascii="Times New Roman" w:cs="Times New Roman" w:eastAsia="Times New Roman" w:hAnsi="Times New Roman"/>
          <w:sz w:val="12"/>
          <w:szCs w:val="12"/>
          <w:color w:val="auto"/>
        </w:rPr>
      </w:pPr>
    </w:p>
    <w:p>
      <w:pPr>
        <w:ind w:left="500" w:hanging="248"/>
        <w:spacing w:after="0"/>
        <w:tabs>
          <w:tab w:leader="none" w:pos="50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 ed in other long-term liabilities and accrued expenses in our consolidated balance sheet.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right-of-u se assets under operating leases by segment as of November 30, 2024 and November 25 , 2023 are as follows:</w:t>
      </w:r>
    </w:p>
    <w:p>
      <w:pPr>
        <w:spacing w:after="0" w:line="148"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November 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November </w:t>
            </w:r>
            <w:r>
              <w:rPr>
                <w:rFonts w:ascii="Times New Roman" w:cs="Times New Roman" w:eastAsia="Times New Roman" w:hAnsi="Times New Roman"/>
                <w:sz w:val="12"/>
                <w:szCs w:val="12"/>
                <w:color w:val="auto"/>
              </w:rPr>
              <w:t>25,</w:t>
            </w:r>
          </w:p>
        </w:tc>
        <w:tc>
          <w:tcPr>
            <w:tcW w:w="20" w:type="dxa"/>
            <w:vAlign w:val="bottom"/>
          </w:tcPr>
          <w:p>
            <w:pPr>
              <w:spacing w:after="0"/>
              <w:rPr>
                <w:sz w:val="12"/>
                <w:szCs w:val="12"/>
                <w:color w:val="auto"/>
              </w:rPr>
            </w:pPr>
          </w:p>
        </w:tc>
      </w:tr>
      <w:tr>
        <w:trPr>
          <w:trHeight w:val="150"/>
        </w:trPr>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12"/>
                <w:szCs w:val="12"/>
                <w:color w:val="auto"/>
              </w:rPr>
              <w:t>2024</w:t>
            </w:r>
          </w:p>
        </w:tc>
        <w:tc>
          <w:tcPr>
            <w:tcW w:w="120" w:type="dxa"/>
            <w:vAlign w:val="bottom"/>
            <w:gridSpan w:val="3"/>
          </w:tcPr>
          <w:p>
            <w:pPr>
              <w:spacing w:after="0"/>
              <w:rPr>
                <w:sz w:val="13"/>
                <w:szCs w:val="13"/>
                <w:color w:val="auto"/>
              </w:rPr>
            </w:pPr>
          </w:p>
        </w:tc>
        <w:tc>
          <w:tcPr>
            <w:tcW w:w="920" w:type="dxa"/>
            <w:vAlign w:val="bottom"/>
            <w:tcBorders>
              <w:bottom w:val="single" w:sz="8" w:color="242020"/>
            </w:tcBorders>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20" w:type="dxa"/>
            <w:vAlign w:val="bottom"/>
          </w:tcPr>
          <w:p>
            <w:pPr>
              <w:spacing w:after="0"/>
              <w:rPr>
                <w:sz w:val="13"/>
                <w:szCs w:val="13"/>
                <w:color w:val="auto"/>
              </w:rPr>
            </w:pPr>
          </w:p>
        </w:tc>
      </w:tr>
      <w:tr>
        <w:trPr>
          <w:trHeight w:val="142"/>
        </w:trPr>
        <w:tc>
          <w:tcPr>
            <w:tcW w:w="2620" w:type="dxa"/>
            <w:vAlign w:val="bottom"/>
            <w:gridSpan w:val="2"/>
          </w:tcPr>
          <w:p>
            <w:pPr>
              <w:spacing w:after="0" w:line="137" w:lineRule="exact"/>
              <w:rPr>
                <w:sz w:val="20"/>
                <w:szCs w:val="20"/>
                <w:color w:val="auto"/>
              </w:rPr>
            </w:pPr>
            <w:r>
              <w:rPr>
                <w:rFonts w:ascii="Times New Roman" w:cs="Times New Roman" w:eastAsia="Times New Roman" w:hAnsi="Times New Roman"/>
                <w:sz w:val="12"/>
                <w:szCs w:val="12"/>
                <w:color w:val="auto"/>
              </w:rPr>
              <w:t>Wholesale</w:t>
            </w:r>
          </w:p>
        </w:tc>
        <w:tc>
          <w:tcPr>
            <w:tcW w:w="9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6,861</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8,689</w:t>
            </w:r>
          </w:p>
        </w:tc>
        <w:tc>
          <w:tcPr>
            <w:tcW w:w="20" w:type="dxa"/>
            <w:vAlign w:val="bottom"/>
          </w:tcPr>
          <w:p>
            <w:pPr>
              <w:spacing w:after="0"/>
              <w:rPr>
                <w:sz w:val="12"/>
                <w:szCs w:val="12"/>
                <w:color w:val="auto"/>
              </w:rPr>
            </w:pPr>
          </w:p>
        </w:tc>
      </w:tr>
      <w:tr>
        <w:trPr>
          <w:trHeight w:val="149"/>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Retail</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86,763</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92, 190</w:t>
            </w:r>
          </w:p>
        </w:tc>
        <w:tc>
          <w:tcPr>
            <w:tcW w:w="20" w:type="dxa"/>
            <w:vAlign w:val="bottom"/>
          </w:tcPr>
          <w:p>
            <w:pPr>
              <w:spacing w:after="0"/>
              <w:rPr>
                <w:sz w:val="12"/>
                <w:szCs w:val="12"/>
                <w:color w:val="auto"/>
              </w:rPr>
            </w:pPr>
          </w:p>
        </w:tc>
      </w:tr>
      <w:tr>
        <w:trPr>
          <w:trHeight w:val="147"/>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Corporate </w:t>
            </w:r>
            <w:r>
              <w:rPr>
                <w:rFonts w:ascii="Arial" w:cs="Arial" w:eastAsia="Arial" w:hAnsi="Arial"/>
                <w:sz w:val="11"/>
                <w:szCs w:val="11"/>
                <w:color w:val="auto"/>
              </w:rPr>
              <w:t>&amp;</w:t>
            </w:r>
            <w:r>
              <w:rPr>
                <w:rFonts w:ascii="Times New Roman" w:cs="Times New Roman" w:eastAsia="Times New Roman" w:hAnsi="Times New Roman"/>
                <w:sz w:val="12"/>
                <w:szCs w:val="12"/>
                <w:color w:val="auto"/>
              </w:rPr>
              <w:t xml:space="preserve"> other</w:t>
            </w:r>
          </w:p>
        </w:tc>
        <w:tc>
          <w:tcPr>
            <w:tcW w:w="900" w:type="dxa"/>
            <w:vAlign w:val="bottom"/>
          </w:tcPr>
          <w:p>
            <w:pPr>
              <w:spacing w:after="0"/>
              <w:rPr>
                <w:sz w:val="12"/>
                <w:szCs w:val="12"/>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0" w:type="dxa"/>
            <w:vAlign w:val="bottom"/>
          </w:tcPr>
          <w:p>
            <w:pPr>
              <w:spacing w:after="0"/>
              <w:rPr>
                <w:sz w:val="12"/>
                <w:szCs w:val="12"/>
                <w:color w:val="auto"/>
              </w:rPr>
            </w:pPr>
          </w:p>
        </w:tc>
      </w:tr>
      <w:tr>
        <w:trPr>
          <w:trHeight w:val="128"/>
        </w:trPr>
        <w:tc>
          <w:tcPr>
            <w:tcW w:w="2600" w:type="dxa"/>
            <w:vAlign w:val="bottom"/>
          </w:tcPr>
          <w:p>
            <w:pPr>
              <w:ind w:left="120"/>
              <w:spacing w:after="0" w:line="120" w:lineRule="exact"/>
              <w:rPr>
                <w:sz w:val="20"/>
                <w:szCs w:val="20"/>
                <w:color w:val="auto"/>
              </w:rPr>
            </w:pPr>
            <w:r>
              <w:rPr>
                <w:rFonts w:ascii="Times New Roman" w:cs="Times New Roman" w:eastAsia="Times New Roman" w:hAnsi="Times New Roman"/>
                <w:sz w:val="12"/>
                <w:szCs w:val="12"/>
                <w:color w:val="auto"/>
              </w:rPr>
              <w:t>Total right of use assets</w:t>
            </w:r>
          </w:p>
        </w:tc>
        <w:tc>
          <w:tcPr>
            <w:tcW w:w="20" w:type="dxa"/>
            <w:vAlign w:val="bottom"/>
            <w:tcBorders>
              <w:bottom w:val="single" w:sz="8" w:color="585458"/>
            </w:tcBorders>
          </w:tcPr>
          <w:p>
            <w:pPr>
              <w:spacing w:after="0"/>
              <w:rPr>
                <w:sz w:val="11"/>
                <w:szCs w:val="11"/>
                <w:color w:val="auto"/>
              </w:rPr>
            </w:pPr>
          </w:p>
        </w:tc>
        <w:tc>
          <w:tcPr>
            <w:tcW w:w="900" w:type="dxa"/>
            <w:vAlign w:val="bottom"/>
            <w:tcBorders>
              <w:top w:val="single" w:sz="8" w:color="201C20"/>
              <w:bottom w:val="single" w:sz="8" w:color="585458"/>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93 ,624</w:t>
            </w:r>
          </w:p>
        </w:tc>
        <w:tc>
          <w:tcPr>
            <w:tcW w:w="20" w:type="dxa"/>
            <w:vAlign w:val="bottom"/>
            <w:tcBorders>
              <w:bottom w:val="single" w:sz="8" w:color="585458"/>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585458"/>
            </w:tcBorders>
          </w:tcPr>
          <w:p>
            <w:pPr>
              <w:spacing w:after="0"/>
              <w:rPr>
                <w:sz w:val="11"/>
                <w:szCs w:val="11"/>
                <w:color w:val="auto"/>
              </w:rPr>
            </w:pPr>
          </w:p>
        </w:tc>
        <w:tc>
          <w:tcPr>
            <w:tcW w:w="920" w:type="dxa"/>
            <w:vAlign w:val="bottom"/>
            <w:tcBorders>
              <w:top w:val="single" w:sz="8" w:color="201C20"/>
              <w:bottom w:val="single" w:sz="8" w:color="585458"/>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I 00,888</w:t>
            </w:r>
          </w:p>
        </w:tc>
        <w:tc>
          <w:tcPr>
            <w:tcW w:w="20" w:type="dxa"/>
            <w:vAlign w:val="bottom"/>
            <w:tcBorders>
              <w:bottom w:val="single" w:sz="8" w:color="585458"/>
            </w:tcBorders>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2"/>
          <w:szCs w:val="12"/>
          <w:color w:val="auto"/>
        </w:rPr>
        <w:t>42</w:t>
      </w:r>
    </w:p>
    <w:p>
      <w:pPr>
        <w:sectPr>
          <w:pgSz w:w="15840" w:h="12240" w:orient="landscape"/>
          <w:cols w:equalWidth="0" w:num="2">
            <w:col w:w="7200" w:space="720"/>
            <w:col w:w="6440"/>
          </w:cols>
          <w:pgMar w:left="740" w:top="1440" w:right="740" w:bottom="897" w:gutter="0" w:footer="0" w:header="0"/>
        </w:sectPr>
      </w:pPr>
    </w:p>
    <w:bookmarkStart w:id="25" w:name="page26"/>
    <w:bookmarkEnd w:id="25"/>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0058400" cy="7772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thousands, except share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The components of our lease cost for 2024, 2023 and 2022 were as follo ws :</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96"/>
        </w:trPr>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Borders>
              <w:bottom w:val="single" w:sz="8" w:color="585454"/>
            </w:tcBorders>
          </w:tcPr>
          <w:p>
            <w:pPr>
              <w:jc w:val="right"/>
              <w:ind w:right="240"/>
              <w:spacing w:after="0"/>
              <w:rPr>
                <w:sz w:val="20"/>
                <w:szCs w:val="20"/>
                <w:color w:val="auto"/>
              </w:rPr>
            </w:pPr>
            <w:r>
              <w:rPr>
                <w:rFonts w:ascii="Times New Roman" w:cs="Times New Roman" w:eastAsia="Times New Roman" w:hAnsi="Times New Roman"/>
                <w:sz w:val="12"/>
                <w:szCs w:val="12"/>
                <w:color w:val="auto"/>
              </w:rPr>
              <w:t>2024</w:t>
            </w:r>
          </w:p>
        </w:tc>
        <w:tc>
          <w:tcPr>
            <w:tcW w:w="120" w:type="dxa"/>
            <w:vAlign w:val="bottom"/>
          </w:tcPr>
          <w:p>
            <w:pPr>
              <w:spacing w:after="0"/>
              <w:rPr>
                <w:sz w:val="24"/>
                <w:szCs w:val="24"/>
                <w:color w:val="auto"/>
              </w:rPr>
            </w:pPr>
          </w:p>
        </w:tc>
        <w:tc>
          <w:tcPr>
            <w:tcW w:w="86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2023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585458"/>
            </w:tcBorders>
          </w:tcPr>
          <w:p>
            <w:pPr>
              <w:spacing w:after="0"/>
              <w:rPr>
                <w:sz w:val="24"/>
                <w:szCs w:val="24"/>
                <w:color w:val="auto"/>
              </w:rPr>
            </w:pPr>
          </w:p>
        </w:tc>
        <w:tc>
          <w:tcPr>
            <w:tcW w:w="660" w:type="dxa"/>
            <w:vAlign w:val="bottom"/>
            <w:tcBorders>
              <w:bottom w:val="single" w:sz="8" w:color="585458"/>
            </w:tcBorders>
          </w:tcPr>
          <w:p>
            <w:pPr>
              <w:jc w:val="right"/>
              <w:ind w:right="239"/>
              <w:spacing w:after="0"/>
              <w:rPr>
                <w:sz w:val="20"/>
                <w:szCs w:val="20"/>
                <w:color w:val="auto"/>
              </w:rPr>
            </w:pPr>
            <w:r>
              <w:rPr>
                <w:rFonts w:ascii="Times New Roman" w:cs="Times New Roman" w:eastAsia="Times New Roman" w:hAnsi="Times New Roman"/>
                <w:sz w:val="12"/>
                <w:szCs w:val="12"/>
                <w:color w:val="auto"/>
              </w:rPr>
              <w:t>2022</w:t>
            </w:r>
          </w:p>
        </w:tc>
        <w:tc>
          <w:tcPr>
            <w:tcW w:w="40" w:type="dxa"/>
            <w:vAlign w:val="bottom"/>
          </w:tcPr>
          <w:p>
            <w:pPr>
              <w:spacing w:after="0"/>
              <w:rPr>
                <w:sz w:val="24"/>
                <w:szCs w:val="24"/>
                <w:color w:val="auto"/>
              </w:rPr>
            </w:pPr>
          </w:p>
        </w:tc>
      </w:tr>
      <w:tr>
        <w:trPr>
          <w:trHeight w:val="140"/>
        </w:trPr>
        <w:tc>
          <w:tcPr>
            <w:tcW w:w="362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3"/>
                <w:szCs w:val="13"/>
                <w:color w:val="auto"/>
              </w:rPr>
              <w:t>Lease cost:</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Operating lease cost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24,065</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24,287</w:t>
            </w:r>
          </w:p>
        </w:tc>
        <w:tc>
          <w:tcPr>
            <w:tcW w:w="100" w:type="dxa"/>
            <w:vAlign w:val="bottom"/>
          </w:tcPr>
          <w:p>
            <w:pPr>
              <w:spacing w:after="0"/>
              <w:rPr>
                <w:sz w:val="12"/>
                <w:szCs w:val="12"/>
                <w:color w:val="auto"/>
              </w:rPr>
            </w:pP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24,399</w:t>
            </w:r>
          </w:p>
        </w:tc>
        <w:tc>
          <w:tcPr>
            <w:tcW w:w="40" w:type="dxa"/>
            <w:vAlign w:val="bottom"/>
          </w:tcPr>
          <w:p>
            <w:pPr>
              <w:spacing w:after="0"/>
              <w:rPr>
                <w:sz w:val="12"/>
                <w:szCs w:val="12"/>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Financing lease cost:</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4"/>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Amortization of right-of-use assets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w:t>
            </w:r>
          </w:p>
        </w:tc>
        <w:tc>
          <w:tcPr>
            <w:tcW w:w="40" w:type="dxa"/>
            <w:vAlign w:val="bottom"/>
          </w:tcPr>
          <w:p>
            <w:pPr>
              <w:spacing w:after="0"/>
              <w:rPr>
                <w:sz w:val="13"/>
                <w:szCs w:val="13"/>
                <w:color w:val="auto"/>
              </w:rPr>
            </w:pPr>
          </w:p>
        </w:tc>
      </w:tr>
      <w:tr>
        <w:trPr>
          <w:trHeight w:val="149"/>
        </w:trPr>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Interest on lease liabilities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40" w:type="dxa"/>
            <w:vAlign w:val="bottom"/>
          </w:tcPr>
          <w:p>
            <w:pPr>
              <w:spacing w:after="0"/>
              <w:rPr>
                <w:sz w:val="12"/>
                <w:szCs w:val="12"/>
                <w:color w:val="auto"/>
              </w:rPr>
            </w:pPr>
          </w:p>
        </w:tc>
      </w:tr>
      <w:tr>
        <w:trPr>
          <w:trHeight w:val="14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Short-term lease cost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674</w:t>
            </w:r>
          </w:p>
        </w:tc>
        <w:tc>
          <w:tcPr>
            <w:tcW w:w="40" w:type="dxa"/>
            <w:vAlign w:val="bottom"/>
          </w:tcPr>
          <w:p>
            <w:pPr>
              <w:spacing w:after="0"/>
              <w:rPr>
                <w:sz w:val="12"/>
                <w:szCs w:val="12"/>
                <w:color w:val="auto"/>
              </w:rPr>
            </w:pPr>
          </w:p>
        </w:tc>
      </w:tr>
      <w:tr>
        <w:trPr>
          <w:trHeight w:val="147"/>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Variable lease cost (net of abatements received)</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w:t>
            </w:r>
          </w:p>
        </w:tc>
        <w:tc>
          <w:tcPr>
            <w:tcW w:w="40" w:type="dxa"/>
            <w:vAlign w:val="bottom"/>
          </w:tcPr>
          <w:p>
            <w:pPr>
              <w:spacing w:after="0"/>
              <w:rPr>
                <w:sz w:val="12"/>
                <w:szCs w:val="12"/>
                <w:color w:val="auto"/>
              </w:rPr>
            </w:pPr>
          </w:p>
        </w:tc>
      </w:tr>
      <w:tr>
        <w:trPr>
          <w:trHeight w:val="148"/>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Sublease income</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(80 I)</w:t>
            </w:r>
          </w:p>
        </w:tc>
        <w:tc>
          <w:tcPr>
            <w:tcW w:w="960" w:type="dxa"/>
            <w:vAlign w:val="bottom"/>
            <w:gridSpan w:val="2"/>
          </w:tcPr>
          <w:p>
            <w:pPr>
              <w:ind w:left="520"/>
              <w:spacing w:after="0"/>
              <w:rPr>
                <w:sz w:val="20"/>
                <w:szCs w:val="20"/>
                <w:color w:val="auto"/>
              </w:rPr>
            </w:pPr>
            <w:r>
              <w:rPr>
                <w:rFonts w:ascii="Arial" w:cs="Arial" w:eastAsia="Arial" w:hAnsi="Arial"/>
                <w:sz w:val="11"/>
                <w:szCs w:val="11"/>
                <w:color w:val="auto"/>
              </w:rPr>
              <w:t xml:space="preserve">(I </w:t>
            </w:r>
            <w:r>
              <w:rPr>
                <w:rFonts w:ascii="Times New Roman" w:cs="Times New Roman" w:eastAsia="Times New Roman" w:hAnsi="Times New Roman"/>
                <w:sz w:val="12"/>
                <w:szCs w:val="12"/>
                <w:color w:val="auto"/>
              </w:rPr>
              <w:t>,093)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 xml:space="preserve">(1 </w:t>
            </w:r>
            <w:r>
              <w:rPr>
                <w:rFonts w:ascii="Times New Roman" w:cs="Times New Roman" w:eastAsia="Times New Roman" w:hAnsi="Times New Roman"/>
                <w:sz w:val="12"/>
                <w:szCs w:val="12"/>
                <w:color w:val="auto"/>
              </w:rPr>
              <w:t>,444)</w:t>
            </w:r>
          </w:p>
        </w:tc>
      </w:tr>
      <w:tr>
        <w:trPr>
          <w:trHeight w:val="142"/>
        </w:trPr>
        <w:tc>
          <w:tcPr>
            <w:tcW w:w="36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Total lease cost</w:t>
            </w:r>
          </w:p>
        </w:tc>
        <w:tc>
          <w:tcPr>
            <w:tcW w:w="20" w:type="dxa"/>
            <w:vAlign w:val="bottom"/>
            <w:tcBorders>
              <w:bottom w:val="single" w:sz="8" w:color="646464"/>
            </w:tcBorders>
          </w:tcPr>
          <w:p>
            <w:pPr>
              <w:spacing w:after="0"/>
              <w:rPr>
                <w:sz w:val="12"/>
                <w:szCs w:val="12"/>
                <w:color w:val="auto"/>
              </w:rPr>
            </w:pPr>
          </w:p>
        </w:tc>
        <w:tc>
          <w:tcPr>
            <w:tcW w:w="820" w:type="dxa"/>
            <w:vAlign w:val="bottom"/>
            <w:tcBorders>
              <w:top w:val="single" w:sz="8" w:color="6C6868"/>
              <w:bottom w:val="single" w:sz="8" w:color="646464"/>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23,983</w:t>
            </w:r>
          </w:p>
        </w:tc>
        <w:tc>
          <w:tcPr>
            <w:tcW w:w="120" w:type="dxa"/>
            <w:vAlign w:val="bottom"/>
          </w:tcPr>
          <w:p>
            <w:pPr>
              <w:spacing w:after="0"/>
              <w:rPr>
                <w:sz w:val="12"/>
                <w:szCs w:val="12"/>
                <w:color w:val="auto"/>
              </w:rPr>
            </w:pPr>
          </w:p>
        </w:tc>
        <w:tc>
          <w:tcPr>
            <w:tcW w:w="860" w:type="dxa"/>
            <w:vAlign w:val="bottom"/>
            <w:tcBorders>
              <w:bottom w:val="single" w:sz="8" w:color="646464"/>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24,155</w:t>
            </w:r>
          </w:p>
        </w:tc>
        <w:tc>
          <w:tcPr>
            <w:tcW w:w="100" w:type="dxa"/>
            <w:vAlign w:val="bottom"/>
          </w:tcPr>
          <w:p>
            <w:pPr>
              <w:spacing w:after="0"/>
              <w:rPr>
                <w:sz w:val="12"/>
                <w:szCs w:val="12"/>
                <w:color w:val="auto"/>
              </w:rPr>
            </w:pPr>
          </w:p>
        </w:tc>
        <w:tc>
          <w:tcPr>
            <w:tcW w:w="20" w:type="dxa"/>
            <w:vAlign w:val="bottom"/>
            <w:tcBorders>
              <w:bottom w:val="single" w:sz="8" w:color="585454"/>
            </w:tcBorders>
          </w:tcPr>
          <w:p>
            <w:pPr>
              <w:spacing w:after="0"/>
              <w:rPr>
                <w:sz w:val="12"/>
                <w:szCs w:val="12"/>
                <w:color w:val="auto"/>
              </w:rPr>
            </w:pPr>
          </w:p>
        </w:tc>
        <w:tc>
          <w:tcPr>
            <w:tcW w:w="180" w:type="dxa"/>
            <w:vAlign w:val="bottom"/>
            <w:tcBorders>
              <w:top w:val="single" w:sz="8" w:color="6C6868"/>
              <w:bottom w:val="single" w:sz="8" w:color="585454"/>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6C6868"/>
              <w:bottom w:val="single" w:sz="8" w:color="585454"/>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24,390</w:t>
            </w:r>
          </w:p>
        </w:tc>
        <w:tc>
          <w:tcPr>
            <w:tcW w:w="40" w:type="dxa"/>
            <w:vAlign w:val="bottom"/>
          </w:tcPr>
          <w:p>
            <w:pPr>
              <w:spacing w:after="0"/>
              <w:rPr>
                <w:sz w:val="12"/>
                <w:szCs w:val="12"/>
                <w:color w:val="auto"/>
              </w:rPr>
            </w:pPr>
          </w:p>
        </w:tc>
      </w:tr>
    </w:tbl>
    <w:p>
      <w:pPr>
        <w:spacing w:after="0" w:line="172" w:lineRule="exact"/>
        <w:rPr>
          <w:sz w:val="20"/>
          <w:szCs w:val="20"/>
          <w:color w:val="auto"/>
        </w:rPr>
      </w:pPr>
    </w:p>
    <w:p>
      <w:pPr>
        <w:jc w:val="both"/>
        <w:ind w:right="760" w:firstLine="8"/>
        <w:spacing w:after="0" w:line="247" w:lineRule="auto"/>
        <w:rPr>
          <w:sz w:val="20"/>
          <w:szCs w:val="20"/>
          <w:color w:val="auto"/>
        </w:rPr>
      </w:pPr>
      <w:r>
        <w:rPr>
          <w:rFonts w:ascii="Times New Roman" w:cs="Times New Roman" w:eastAsia="Times New Roman" w:hAnsi="Times New Roman"/>
          <w:sz w:val="12"/>
          <w:szCs w:val="12"/>
          <w:color w:val="auto"/>
        </w:rPr>
        <w:t>Supplemental lease di sc los ures as of November 30, 2024, November 25, 2023 and November 26, 2022 and for the fi scal years then ended are as follows:</w:t>
      </w:r>
    </w:p>
    <w:p>
      <w:pPr>
        <w:spacing w:after="0" w:line="145" w:lineRule="exact"/>
        <w:rPr>
          <w:sz w:val="20"/>
          <w:szCs w:val="20"/>
          <w:color w:val="auto"/>
        </w:rPr>
      </w:pPr>
    </w:p>
    <w:p>
      <w:pPr>
        <w:ind w:left="4680"/>
        <w:spacing w:after="0"/>
        <w:tabs>
          <w:tab w:leader="none" w:pos="5640" w:val="left"/>
        </w:tabs>
        <w:rPr>
          <w:sz w:val="20"/>
          <w:szCs w:val="20"/>
          <w:color w:val="auto"/>
        </w:rPr>
      </w:pPr>
      <w:r>
        <w:rPr>
          <w:rFonts w:ascii="Arial" w:cs="Arial" w:eastAsia="Arial" w:hAnsi="Arial"/>
          <w:sz w:val="11"/>
          <w:szCs w:val="11"/>
          <w:color w:val="auto"/>
        </w:rPr>
        <w:t>0~</w:t>
      </w:r>
      <w:r>
        <w:rPr>
          <w:sz w:val="20"/>
          <w:szCs w:val="20"/>
          <w:color w:val="auto"/>
        </w:rPr>
        <w:tab/>
      </w:r>
      <w:r>
        <w:rPr>
          <w:rFonts w:ascii="Times New Roman" w:cs="Times New Roman" w:eastAsia="Times New Roman" w:hAnsi="Times New Roman"/>
          <w:sz w:val="13"/>
          <w:szCs w:val="13"/>
          <w:color w:val="auto"/>
        </w:rPr>
        <w:t>Financing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 the year ended November 26, 2022:</w:t>
            </w: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44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Cash paid for amounts included in the measurements of lease liabilities</w:t>
            </w:r>
          </w:p>
        </w:tc>
        <w:tc>
          <w:tcPr>
            <w:tcW w:w="13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26,913</w:t>
            </w: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302</w:t>
            </w:r>
          </w:p>
        </w:tc>
      </w:tr>
      <w:tr>
        <w:trPr>
          <w:trHeight w:val="149"/>
        </w:trPr>
        <w:tc>
          <w:tcPr>
            <w:tcW w:w="4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Lease liabilities arising from new right-of-use assets</w:t>
            </w:r>
          </w:p>
        </w:tc>
        <w:tc>
          <w:tcPr>
            <w:tcW w:w="13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23, 171</w:t>
            </w: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73</w:t>
            </w:r>
          </w:p>
        </w:tc>
      </w:tr>
      <w:tr>
        <w:trPr>
          <w:trHeight w:val="297"/>
        </w:trPr>
        <w:tc>
          <w:tcPr>
            <w:tcW w:w="4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 the year ended November 25, 2023 :</w:t>
            </w: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49"/>
        </w:trPr>
        <w:tc>
          <w:tcPr>
            <w:tcW w:w="44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Cash paid for amounts included in the measurements of lease liabilities</w:t>
            </w:r>
          </w:p>
        </w:tc>
        <w:tc>
          <w:tcPr>
            <w:tcW w:w="13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26,854</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301</w:t>
            </w:r>
          </w:p>
        </w:tc>
      </w:tr>
      <w:tr>
        <w:trPr>
          <w:trHeight w:val="149"/>
        </w:trPr>
        <w:tc>
          <w:tcPr>
            <w:tcW w:w="4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Lease liabilities arising from new right-of-use assets</w:t>
            </w:r>
          </w:p>
        </w:tc>
        <w:tc>
          <w:tcPr>
            <w:tcW w:w="13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21,921</w:t>
            </w:r>
          </w:p>
        </w:tc>
        <w:tc>
          <w:tcPr>
            <w:tcW w:w="660" w:type="dxa"/>
            <w:vAlign w:val="bottom"/>
          </w:tcPr>
          <w:p>
            <w:pPr>
              <w:spacing w:after="0"/>
              <w:rPr>
                <w:sz w:val="12"/>
                <w:szCs w:val="12"/>
                <w:color w:val="auto"/>
              </w:rPr>
            </w:pPr>
          </w:p>
        </w:tc>
      </w:tr>
      <w:tr>
        <w:trPr>
          <w:trHeight w:val="298"/>
        </w:trPr>
        <w:tc>
          <w:tcPr>
            <w:tcW w:w="4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 th e year ended November 30, 2024:</w:t>
            </w: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49"/>
        </w:trPr>
        <w:tc>
          <w:tcPr>
            <w:tcW w:w="44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Cash paid for amounts included in the measurements of lease liabilities</w:t>
            </w:r>
          </w:p>
        </w:tc>
        <w:tc>
          <w:tcPr>
            <w:tcW w:w="13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26,558</w:t>
            </w: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287</w:t>
            </w:r>
          </w:p>
        </w:tc>
      </w:tr>
      <w:tr>
        <w:trPr>
          <w:trHeight w:val="149"/>
        </w:trPr>
        <w:tc>
          <w:tcPr>
            <w:tcW w:w="4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Lease liabilities arising from new right-of-use assets</w:t>
            </w:r>
          </w:p>
        </w:tc>
        <w:tc>
          <w:tcPr>
            <w:tcW w:w="13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11 ,050</w:t>
            </w: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197</w:t>
            </w:r>
          </w:p>
        </w:tc>
      </w:tr>
      <w:tr>
        <w:trPr>
          <w:trHeight w:val="293"/>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As of November 26, 2022:</w:t>
            </w: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54"/>
        </w:trPr>
        <w:tc>
          <w:tcPr>
            <w:tcW w:w="4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Weighted average remainin g lease terms (years)</w:t>
            </w:r>
          </w:p>
        </w:tc>
        <w:tc>
          <w:tcPr>
            <w:tcW w:w="13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6,2</w:t>
            </w: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2.3</w:t>
            </w:r>
          </w:p>
        </w:tc>
      </w:tr>
      <w:tr>
        <w:trPr>
          <w:trHeight w:val="149"/>
        </w:trPr>
        <w:tc>
          <w:tcPr>
            <w:tcW w:w="4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Weighted average di sco unt rates</w:t>
            </w:r>
          </w:p>
        </w:tc>
        <w:tc>
          <w:tcPr>
            <w:tcW w:w="13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5.53%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4 .68%</w:t>
            </w:r>
          </w:p>
        </w:tc>
      </w:tr>
      <w:tr>
        <w:trPr>
          <w:trHeight w:val="293"/>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As of November 25, 2023:</w:t>
            </w: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54"/>
        </w:trPr>
        <w:tc>
          <w:tcPr>
            <w:tcW w:w="4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Weighted average remainin g lease terms (years)</w:t>
            </w:r>
          </w:p>
        </w:tc>
        <w:tc>
          <w:tcPr>
            <w:tcW w:w="13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5 .5</w:t>
            </w: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1.4</w:t>
            </w:r>
          </w:p>
        </w:tc>
      </w:tr>
      <w:tr>
        <w:trPr>
          <w:trHeight w:val="149"/>
        </w:trPr>
        <w:tc>
          <w:tcPr>
            <w:tcW w:w="4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Weighted average di sco unt rates</w:t>
            </w:r>
          </w:p>
        </w:tc>
        <w:tc>
          <w:tcPr>
            <w:tcW w:w="13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5 .78%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4 .72%</w:t>
            </w:r>
          </w:p>
        </w:tc>
      </w:tr>
      <w:tr>
        <w:trPr>
          <w:trHeight w:val="293"/>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As of November 30, 2024:</w:t>
            </w: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54"/>
        </w:trPr>
        <w:tc>
          <w:tcPr>
            <w:tcW w:w="4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Weighted average remainin g lease terms (years)</w:t>
            </w:r>
          </w:p>
        </w:tc>
        <w:tc>
          <w:tcPr>
            <w:tcW w:w="13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5 .6</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3.1</w:t>
            </w:r>
          </w:p>
        </w:tc>
      </w:tr>
      <w:tr>
        <w:trPr>
          <w:trHeight w:val="149"/>
        </w:trPr>
        <w:tc>
          <w:tcPr>
            <w:tcW w:w="4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Weighted average di scount rates</w:t>
            </w:r>
          </w:p>
        </w:tc>
        <w:tc>
          <w:tcPr>
            <w:tcW w:w="13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6.28%</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w:t>
            </w:r>
          </w:p>
        </w:tc>
      </w:tr>
    </w:tbl>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Future payments under our leases and the present va lue of the obligations as ofNovember 30, 2024 are as follo ws:</w:t>
      </w:r>
    </w:p>
    <w:p>
      <w:pPr>
        <w:spacing w:after="0" w:line="148"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Operating Leases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Financing Leases</w:t>
            </w:r>
          </w:p>
        </w:tc>
        <w:tc>
          <w:tcPr>
            <w:tcW w:w="20" w:type="dxa"/>
            <w:vAlign w:val="bottom"/>
          </w:tcPr>
          <w:p>
            <w:pPr>
              <w:spacing w:after="0"/>
              <w:rPr>
                <w:sz w:val="12"/>
                <w:szCs w:val="12"/>
                <w:color w:val="auto"/>
              </w:rPr>
            </w:pPr>
          </w:p>
        </w:tc>
      </w:tr>
      <w:tr>
        <w:trPr>
          <w:trHeight w:val="307"/>
        </w:trPr>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Fiscal 2025</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24,283</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20" w:type="dxa"/>
            <w:vAlign w:val="bottom"/>
          </w:tcPr>
          <w:p>
            <w:pPr>
              <w:spacing w:after="0"/>
              <w:rPr>
                <w:sz w:val="24"/>
                <w:szCs w:val="24"/>
                <w:color w:val="auto"/>
              </w:rPr>
            </w:pPr>
          </w:p>
        </w:tc>
      </w:tr>
      <w:tr>
        <w:trPr>
          <w:trHeight w:val="149"/>
        </w:trPr>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Fiscal 2026</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24,840</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20" w:type="dxa"/>
            <w:vAlign w:val="bottom"/>
          </w:tcPr>
          <w:p>
            <w:pPr>
              <w:spacing w:after="0"/>
              <w:rPr>
                <w:sz w:val="12"/>
                <w:szCs w:val="12"/>
                <w:color w:val="auto"/>
              </w:rPr>
            </w:pPr>
          </w:p>
        </w:tc>
      </w:tr>
      <w:tr>
        <w:trPr>
          <w:trHeight w:val="149"/>
        </w:trPr>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Fiscal 2027</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23,078</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20" w:type="dxa"/>
            <w:vAlign w:val="bottom"/>
          </w:tcPr>
          <w:p>
            <w:pPr>
              <w:spacing w:after="0"/>
              <w:rPr>
                <w:sz w:val="12"/>
                <w:szCs w:val="12"/>
                <w:color w:val="auto"/>
              </w:rPr>
            </w:pPr>
          </w:p>
        </w:tc>
      </w:tr>
      <w:tr>
        <w:trPr>
          <w:trHeight w:val="149"/>
        </w:trPr>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Fiscal 2028</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19,739</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20" w:type="dxa"/>
            <w:vAlign w:val="bottom"/>
          </w:tcPr>
          <w:p>
            <w:pPr>
              <w:spacing w:after="0"/>
              <w:rPr>
                <w:sz w:val="12"/>
                <w:szCs w:val="12"/>
                <w:color w:val="auto"/>
              </w:rPr>
            </w:pPr>
          </w:p>
        </w:tc>
      </w:tr>
      <w:tr>
        <w:trPr>
          <w:trHeight w:val="149"/>
        </w:trPr>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Fiscal 2029</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13,042</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0" w:type="dxa"/>
            <w:vAlign w:val="bottom"/>
          </w:tcPr>
          <w:p>
            <w:pPr>
              <w:spacing w:after="0"/>
              <w:rPr>
                <w:sz w:val="12"/>
                <w:szCs w:val="12"/>
                <w:color w:val="auto"/>
              </w:rPr>
            </w:pPr>
          </w:p>
        </w:tc>
      </w:tr>
      <w:tr>
        <w:trPr>
          <w:trHeight w:val="147"/>
        </w:trPr>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Thereafter</w:t>
            </w:r>
          </w:p>
        </w:tc>
        <w:tc>
          <w:tcPr>
            <w:tcW w:w="104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23,548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Borders>
              <w:bottom w:val="single" w:sz="8" w:color="585454"/>
            </w:tcBorders>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2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lease pay 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128,530</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20" w:type="dxa"/>
            <w:vAlign w:val="bottom"/>
          </w:tcPr>
          <w:p>
            <w:pPr>
              <w:spacing w:after="0"/>
              <w:rPr>
                <w:sz w:val="12"/>
                <w:szCs w:val="12"/>
                <w:color w:val="auto"/>
              </w:rPr>
            </w:pPr>
          </w:p>
        </w:tc>
      </w:tr>
      <w:tr>
        <w:trPr>
          <w:trHeight w:val="147"/>
        </w:trPr>
        <w:tc>
          <w:tcPr>
            <w:tcW w:w="2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Less: interest</w:t>
            </w:r>
          </w:p>
        </w:tc>
        <w:tc>
          <w:tcPr>
            <w:tcW w:w="104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22,085</w:t>
            </w:r>
          </w:p>
        </w:tc>
        <w:tc>
          <w:tcPr>
            <w:tcW w:w="120" w:type="dxa"/>
            <w:vAlign w:val="bottom"/>
            <w:gridSpan w:val="3"/>
          </w:tcPr>
          <w:p>
            <w:pPr>
              <w:spacing w:after="0"/>
              <w:rPr>
                <w:sz w:val="12"/>
                <w:szCs w:val="12"/>
                <w:color w:val="auto"/>
              </w:rPr>
            </w:pPr>
          </w:p>
        </w:tc>
        <w:tc>
          <w:tcPr>
            <w:tcW w:w="104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0" w:type="dxa"/>
            <w:vAlign w:val="bottom"/>
          </w:tcPr>
          <w:p>
            <w:pPr>
              <w:spacing w:after="0"/>
              <w:rPr>
                <w:sz w:val="12"/>
                <w:szCs w:val="12"/>
                <w:color w:val="auto"/>
              </w:rPr>
            </w:pPr>
          </w:p>
        </w:tc>
      </w:tr>
      <w:tr>
        <w:trPr>
          <w:trHeight w:val="138"/>
        </w:trPr>
        <w:tc>
          <w:tcPr>
            <w:tcW w:w="2180" w:type="dxa"/>
            <w:vAlign w:val="bottom"/>
          </w:tcPr>
          <w:p>
            <w:pPr>
              <w:ind w:left="240"/>
              <w:spacing w:after="0" w:line="134" w:lineRule="exact"/>
              <w:rPr>
                <w:sz w:val="20"/>
                <w:szCs w:val="20"/>
                <w:color w:val="auto"/>
              </w:rPr>
            </w:pPr>
            <w:r>
              <w:rPr>
                <w:rFonts w:ascii="Times New Roman" w:cs="Times New Roman" w:eastAsia="Times New Roman" w:hAnsi="Times New Roman"/>
                <w:sz w:val="12"/>
                <w:szCs w:val="12"/>
                <w:color w:val="auto"/>
              </w:rPr>
              <w:t>Total lease obligations</w:t>
            </w:r>
          </w:p>
        </w:tc>
        <w:tc>
          <w:tcPr>
            <w:tcW w:w="1040" w:type="dxa"/>
            <w:vAlign w:val="bottom"/>
            <w:tcBorders>
              <w:bottom w:val="single" w:sz="8" w:color="242020"/>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106,445</w:t>
            </w:r>
          </w:p>
        </w:tc>
        <w:tc>
          <w:tcPr>
            <w:tcW w:w="20" w:type="dxa"/>
            <w:vAlign w:val="bottom"/>
            <w:tcBorders>
              <w:bottom w:val="single" w:sz="8" w:color="242020"/>
            </w:tcBorders>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bottom w:val="single" w:sz="8" w:color="242020"/>
            </w:tcBorders>
            <w:gridSpan w:val="2"/>
          </w:tcPr>
          <w:p>
            <w:pPr>
              <w:jc w:val="right"/>
              <w:spacing w:after="0" w:line="134" w:lineRule="exact"/>
              <w:rPr>
                <w:sz w:val="20"/>
                <w:szCs w:val="20"/>
                <w:color w:val="auto"/>
              </w:rPr>
            </w:pPr>
            <w:r>
              <w:rPr>
                <w:rFonts w:ascii="Times New Roman" w:cs="Times New Roman" w:eastAsia="Times New Roman" w:hAnsi="Times New Roman"/>
                <w:sz w:val="12"/>
                <w:szCs w:val="12"/>
                <w:color w:val="auto"/>
              </w:rPr>
              <w:t>275</w:t>
            </w:r>
          </w:p>
        </w:tc>
        <w:tc>
          <w:tcPr>
            <w:tcW w:w="20" w:type="dxa"/>
            <w:vAlign w:val="bottom"/>
            <w:tcBorders>
              <w:bottom w:val="single" w:sz="8" w:color="242020"/>
            </w:tcBorders>
          </w:tcPr>
          <w:p>
            <w:pPr>
              <w:spacing w:after="0"/>
              <w:rPr>
                <w:sz w:val="11"/>
                <w:szCs w:val="1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 sands, except share and per share data)</w:t>
      </w:r>
    </w:p>
    <w:p>
      <w:pPr>
        <w:spacing w:after="0" w:line="165" w:lineRule="exact"/>
        <w:rPr>
          <w:sz w:val="20"/>
          <w:szCs w:val="20"/>
          <w:color w:val="auto"/>
        </w:rPr>
      </w:pPr>
    </w:p>
    <w:p>
      <w:pPr>
        <w:jc w:val="both"/>
        <w:ind w:right="20" w:firstLine="6"/>
        <w:spacing w:after="0" w:line="253" w:lineRule="auto"/>
        <w:rPr>
          <w:sz w:val="20"/>
          <w:szCs w:val="20"/>
          <w:color w:val="auto"/>
        </w:rPr>
      </w:pPr>
      <w:r>
        <w:rPr>
          <w:rFonts w:ascii="Times New Roman" w:cs="Times New Roman" w:eastAsia="Times New Roman" w:hAnsi="Times New Roman"/>
          <w:sz w:val="12"/>
          <w:szCs w:val="12"/>
          <w:color w:val="auto"/>
        </w:rPr>
        <w:t>We sublease a small number of our leased locations to certain of our licensees for operation as BHF network stores. The term s of these leases generally match those of the lease we have with the lessor. In addition , we sublease space in certain closed store locations that are still under lease. Minimum future lease payments due to us under these subleases are as follo ws :</w:t>
      </w:r>
    </w:p>
    <w:p>
      <w:pPr>
        <w:spacing w:after="0" w:line="153" w:lineRule="exact"/>
        <w:rPr>
          <w:sz w:val="20"/>
          <w:szCs w:val="20"/>
          <w:color w:val="auto"/>
        </w:rPr>
      </w:pPr>
    </w:p>
    <w:tbl>
      <w:tblPr>
        <w:tblLayout w:type="fixed"/>
        <w:tblInd w:w="1420" w:type="dxa"/>
        <w:tblCellMar>
          <w:top w:w="0" w:type="dxa"/>
          <w:left w:w="0" w:type="dxa"/>
          <w:bottom w:w="0" w:type="dxa"/>
          <w:right w:w="0" w:type="dxa"/>
        </w:tblCellMar>
      </w:tblPr>
      <w:tr>
        <w:trPr>
          <w:trHeight w:val="138"/>
        </w:trPr>
        <w:tc>
          <w:tcPr>
            <w:tcW w:w="2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Fiscal 2025</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899</w:t>
            </w:r>
          </w:p>
        </w:tc>
        <w:tc>
          <w:tcPr>
            <w:tcW w:w="20" w:type="dxa"/>
            <w:vAlign w:val="bottom"/>
          </w:tcPr>
          <w:p>
            <w:pPr>
              <w:spacing w:after="0"/>
              <w:rPr>
                <w:sz w:val="12"/>
                <w:szCs w:val="12"/>
                <w:color w:val="auto"/>
              </w:rPr>
            </w:pPr>
          </w:p>
        </w:tc>
      </w:tr>
      <w:tr>
        <w:trPr>
          <w:trHeight w:val="149"/>
        </w:trPr>
        <w:tc>
          <w:tcPr>
            <w:tcW w:w="2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Fiscal 2026</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586</w:t>
            </w:r>
          </w:p>
        </w:tc>
        <w:tc>
          <w:tcPr>
            <w:tcW w:w="20" w:type="dxa"/>
            <w:vAlign w:val="bottom"/>
          </w:tcPr>
          <w:p>
            <w:pPr>
              <w:spacing w:after="0"/>
              <w:rPr>
                <w:sz w:val="12"/>
                <w:szCs w:val="12"/>
                <w:color w:val="auto"/>
              </w:rPr>
            </w:pPr>
          </w:p>
        </w:tc>
      </w:tr>
      <w:tr>
        <w:trPr>
          <w:trHeight w:val="149"/>
        </w:trPr>
        <w:tc>
          <w:tcPr>
            <w:tcW w:w="2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Fiscal 2027</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w:t>
            </w:r>
          </w:p>
        </w:tc>
        <w:tc>
          <w:tcPr>
            <w:tcW w:w="20" w:type="dxa"/>
            <w:vAlign w:val="bottom"/>
          </w:tcPr>
          <w:p>
            <w:pPr>
              <w:spacing w:after="0"/>
              <w:rPr>
                <w:sz w:val="12"/>
                <w:szCs w:val="12"/>
                <w:color w:val="auto"/>
              </w:rPr>
            </w:pPr>
          </w:p>
        </w:tc>
      </w:tr>
      <w:tr>
        <w:trPr>
          <w:trHeight w:val="149"/>
        </w:trPr>
        <w:tc>
          <w:tcPr>
            <w:tcW w:w="2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Fiscal 2028</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Fiscal 2029</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2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Thereafter</w:t>
            </w:r>
          </w:p>
        </w:tc>
        <w:tc>
          <w:tcPr>
            <w:tcW w:w="800" w:type="dxa"/>
            <w:vAlign w:val="bottom"/>
            <w:tcBorders>
              <w:bottom w:val="single" w:sz="8" w:color="585454"/>
            </w:tcBorders>
          </w:tcPr>
          <w:p>
            <w:pPr>
              <w:spacing w:after="0"/>
              <w:rPr>
                <w:sz w:val="12"/>
                <w:szCs w:val="12"/>
                <w:color w:val="auto"/>
              </w:rPr>
            </w:pPr>
          </w:p>
        </w:tc>
        <w:tc>
          <w:tcPr>
            <w:tcW w:w="20" w:type="dxa"/>
            <w:vAlign w:val="bottom"/>
          </w:tcPr>
          <w:p>
            <w:pPr>
              <w:spacing w:after="0"/>
              <w:rPr>
                <w:sz w:val="12"/>
                <w:szCs w:val="12"/>
                <w:color w:val="auto"/>
              </w:rPr>
            </w:pPr>
          </w:p>
        </w:tc>
      </w:tr>
      <w:tr>
        <w:trPr>
          <w:trHeight w:val="138"/>
        </w:trPr>
        <w:tc>
          <w:tcPr>
            <w:tcW w:w="274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Total minimum future rental income</w:t>
            </w:r>
          </w:p>
        </w:tc>
        <w:tc>
          <w:tcPr>
            <w:tcW w:w="20" w:type="dxa"/>
            <w:vAlign w:val="bottom"/>
            <w:tcBorders>
              <w:bottom w:val="single" w:sz="8" w:color="646464"/>
            </w:tcBorders>
          </w:tcPr>
          <w:p>
            <w:pPr>
              <w:spacing w:after="0"/>
              <w:rPr>
                <w:sz w:val="11"/>
                <w:szCs w:val="11"/>
                <w:color w:val="auto"/>
              </w:rPr>
            </w:pPr>
          </w:p>
        </w:tc>
        <w:tc>
          <w:tcPr>
            <w:tcW w:w="800" w:type="dxa"/>
            <w:vAlign w:val="bottom"/>
            <w:tcBorders>
              <w:bottom w:val="single" w:sz="8" w:color="646464"/>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1,700</w:t>
            </w:r>
          </w:p>
        </w:tc>
        <w:tc>
          <w:tcPr>
            <w:tcW w:w="20" w:type="dxa"/>
            <w:vAlign w:val="bottom"/>
            <w:tcBorders>
              <w:bottom w:val="single" w:sz="8" w:color="646464"/>
            </w:tcBorders>
          </w:tcPr>
          <w:p>
            <w:pPr>
              <w:spacing w:after="0"/>
              <w:rPr>
                <w:sz w:val="11"/>
                <w:szCs w:val="1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Guarantees</w:t>
      </w:r>
    </w:p>
    <w:p>
      <w:pPr>
        <w:spacing w:after="0" w:line="166" w:lineRule="exact"/>
        <w:rPr>
          <w:sz w:val="20"/>
          <w:szCs w:val="20"/>
          <w:color w:val="auto"/>
        </w:rPr>
      </w:pPr>
    </w:p>
    <w:p>
      <w:pPr>
        <w:jc w:val="both"/>
        <w:ind w:right="20" w:firstLine="1"/>
        <w:spacing w:after="0" w:line="253" w:lineRule="auto"/>
        <w:rPr>
          <w:sz w:val="20"/>
          <w:szCs w:val="20"/>
          <w:color w:val="auto"/>
        </w:rPr>
      </w:pPr>
      <w:r>
        <w:rPr>
          <w:rFonts w:ascii="Times New Roman" w:cs="Times New Roman" w:eastAsia="Times New Roman" w:hAnsi="Times New Roman"/>
          <w:sz w:val="12"/>
          <w:szCs w:val="12"/>
          <w:color w:val="auto"/>
        </w:rPr>
        <w:t>As part of the strategy for our store program, we have guaranteed certain lease obligations of licensee operators . The remaining term under th ese lease guarantees extends for six years . We were contingently liable under licensee lease obligation guarantees in the amount of$5, 131 and $1 ,845 at November 30, 2024 and November 25, 2023, respecti ve ly .</w:t>
      </w:r>
    </w:p>
    <w:p>
      <w:pPr>
        <w:spacing w:after="0" w:line="159" w:lineRule="exact"/>
        <w:rPr>
          <w:sz w:val="20"/>
          <w:szCs w:val="20"/>
          <w:color w:val="auto"/>
        </w:rPr>
      </w:pPr>
    </w:p>
    <w:p>
      <w:pPr>
        <w:jc w:val="both"/>
        <w:ind w:right="20" w:firstLine="5"/>
        <w:spacing w:after="0" w:line="256" w:lineRule="auto"/>
        <w:rPr>
          <w:sz w:val="20"/>
          <w:szCs w:val="20"/>
          <w:color w:val="auto"/>
        </w:rPr>
      </w:pPr>
      <w:r>
        <w:rPr>
          <w:rFonts w:ascii="Times New Roman" w:cs="Times New Roman" w:eastAsia="Times New Roman" w:hAnsi="Times New Roman"/>
          <w:sz w:val="12"/>
          <w:szCs w:val="12"/>
          <w:color w:val="auto"/>
        </w:rPr>
        <w:t>In the event of default by an independent dealer under the guaranteed lease, we believe that the ri sk of loss is mitigated through a combination of options that include, but are not limited to, arranging for a replacement dealer, liquidatin g the collateral, and pursuing pay ment under the personal guarantees of the independ ent dealer. The proceeds of the above options are estimated to cover the maximum amount of our future payments under the guarantee obligations, net of reserves. The fair value of lease guarantees (an estimate of the cost to the Company to perform on these g uarantees) at November 30, 2024 and November 25 , 2023, were not material.</w:t>
      </w: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16. Contingencies</w:t>
      </w:r>
    </w:p>
    <w:p>
      <w:pPr>
        <w:spacing w:after="0" w:line="166" w:lineRule="exact"/>
        <w:rPr>
          <w:sz w:val="20"/>
          <w:szCs w:val="20"/>
          <w:color w:val="auto"/>
        </w:rPr>
      </w:pPr>
    </w:p>
    <w:p>
      <w:pPr>
        <w:jc w:val="both"/>
        <w:ind w:firstLine="5"/>
        <w:spacing w:after="0" w:line="253" w:lineRule="auto"/>
        <w:rPr>
          <w:sz w:val="20"/>
          <w:szCs w:val="20"/>
          <w:color w:val="auto"/>
        </w:rPr>
      </w:pPr>
      <w:r>
        <w:rPr>
          <w:rFonts w:ascii="Times New Roman" w:cs="Times New Roman" w:eastAsia="Times New Roman" w:hAnsi="Times New Roman"/>
          <w:sz w:val="12"/>
          <w:szCs w:val="12"/>
          <w:color w:val="auto"/>
        </w:rPr>
        <w:t>We are involved in various claims and actions which arise in th e normal course of busin ess. Although the final outcome of these matters cannot be determined, based on the facts presently known, it is our opinion that the final resolution of these matters will not have a material adverse effect on our financial position or future results of operations.</w:t>
      </w:r>
    </w:p>
    <w:p>
      <w:pPr>
        <w:spacing w:after="0" w:line="3829" w:lineRule="exact"/>
        <w:rPr>
          <w:sz w:val="20"/>
          <w:szCs w:val="20"/>
          <w:color w:val="auto"/>
        </w:rPr>
      </w:pPr>
    </w:p>
    <w:p>
      <w:pPr>
        <w:sectPr>
          <w:pgSz w:w="15840" w:h="12240" w:orient="landscape"/>
          <w:cols w:equalWidth="0" w:num="2">
            <w:col w:w="7200" w:space="720"/>
            <w:col w:w="6460"/>
          </w:cols>
          <w:pgMar w:left="740" w:top="1440" w:right="720" w:bottom="897" w:gutter="0" w:footer="0" w:header="0"/>
        </w:sectPr>
      </w:pPr>
    </w:p>
    <w:p>
      <w:pPr>
        <w:spacing w:after="0" w:line="245"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43</w:t>
      </w:r>
      <w:r>
        <w:rPr>
          <w:sz w:val="20"/>
          <w:szCs w:val="20"/>
          <w:color w:val="auto"/>
        </w:rPr>
        <w:tab/>
      </w:r>
      <w:r>
        <w:rPr>
          <w:rFonts w:ascii="Times New Roman" w:cs="Times New Roman" w:eastAsia="Times New Roman" w:hAnsi="Times New Roman"/>
          <w:sz w:val="12"/>
          <w:szCs w:val="12"/>
          <w:color w:val="auto"/>
        </w:rPr>
        <w:t>44</w:t>
      </w:r>
    </w:p>
    <w:p>
      <w:pPr>
        <w:sectPr>
          <w:pgSz w:w="15840" w:h="12240" w:orient="landscape"/>
          <w:cols w:equalWidth="0" w:num="1">
            <w:col w:w="14380"/>
          </w:cols>
          <w:pgMar w:left="740" w:top="1440" w:right="720" w:bottom="897" w:gutter="0" w:footer="0" w:header="0"/>
          <w:type w:val="continuous"/>
        </w:sectPr>
      </w:pPr>
    </w:p>
    <w:bookmarkStart w:id="26" w:name="page27"/>
    <w:bookmarkEnd w:id="26"/>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thousands, except share and per share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17. Earnings (Loss) Per Share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sets forth the computation of basic and diluted earnings (Joss) per share:</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bottom w:val="single" w:sz="8" w:color="585454"/>
            </w:tcBorders>
          </w:tcPr>
          <w:p>
            <w:pPr>
              <w:jc w:val="right"/>
              <w:ind w:right="205"/>
              <w:spacing w:after="0"/>
              <w:rPr>
                <w:sz w:val="20"/>
                <w:szCs w:val="20"/>
                <w:color w:val="auto"/>
              </w:rPr>
            </w:pPr>
            <w:r>
              <w:rPr>
                <w:rFonts w:ascii="Times New Roman" w:cs="Times New Roman" w:eastAsia="Times New Roman" w:hAnsi="Times New Roman"/>
                <w:sz w:val="12"/>
                <w:szCs w:val="12"/>
                <w:color w:val="auto"/>
              </w:rPr>
              <w:t>2024</w:t>
            </w:r>
          </w:p>
        </w:tc>
        <w:tc>
          <w:tcPr>
            <w:tcW w:w="20" w:type="dxa"/>
            <w:vAlign w:val="bottom"/>
            <w:tcBorders>
              <w:bottom w:val="single" w:sz="8" w:color="585454"/>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bottom w:val="single" w:sz="8" w:color="585454"/>
            </w:tcBorders>
          </w:tcPr>
          <w:p>
            <w:pPr>
              <w:spacing w:after="0"/>
              <w:rPr>
                <w:sz w:val="12"/>
                <w:szCs w:val="12"/>
                <w:color w:val="auto"/>
              </w:rPr>
            </w:pPr>
          </w:p>
        </w:tc>
        <w:tc>
          <w:tcPr>
            <w:tcW w:w="640" w:type="dxa"/>
            <w:vAlign w:val="bottom"/>
            <w:tcBorders>
              <w:bottom w:val="single" w:sz="8" w:color="585454"/>
            </w:tcBorders>
          </w:tcPr>
          <w:p>
            <w:pPr>
              <w:jc w:val="right"/>
              <w:ind w:right="220"/>
              <w:spacing w:after="0"/>
              <w:rPr>
                <w:sz w:val="20"/>
                <w:szCs w:val="20"/>
                <w:color w:val="auto"/>
              </w:rPr>
            </w:pPr>
            <w:r>
              <w:rPr>
                <w:rFonts w:ascii="Times New Roman" w:cs="Times New Roman" w:eastAsia="Times New Roman" w:hAnsi="Times New Roman"/>
                <w:sz w:val="12"/>
                <w:szCs w:val="12"/>
                <w:color w:val="auto"/>
              </w:rPr>
              <w:t>2023</w:t>
            </w:r>
          </w:p>
        </w:tc>
        <w:tc>
          <w:tcPr>
            <w:tcW w:w="140" w:type="dxa"/>
            <w:vAlign w:val="bottom"/>
          </w:tcPr>
          <w:p>
            <w:pPr>
              <w:spacing w:after="0"/>
              <w:rPr>
                <w:sz w:val="12"/>
                <w:szCs w:val="12"/>
                <w:color w:val="auto"/>
              </w:rPr>
            </w:pPr>
          </w:p>
        </w:tc>
        <w:tc>
          <w:tcPr>
            <w:tcW w:w="200" w:type="dxa"/>
            <w:vAlign w:val="bottom"/>
            <w:tcBorders>
              <w:bottom w:val="single" w:sz="8" w:color="585458"/>
            </w:tcBorders>
          </w:tcPr>
          <w:p>
            <w:pPr>
              <w:spacing w:after="0"/>
              <w:rPr>
                <w:sz w:val="12"/>
                <w:szCs w:val="12"/>
                <w:color w:val="auto"/>
              </w:rPr>
            </w:pPr>
          </w:p>
        </w:tc>
        <w:tc>
          <w:tcPr>
            <w:tcW w:w="640" w:type="dxa"/>
            <w:vAlign w:val="bottom"/>
            <w:tcBorders>
              <w:bottom w:val="single" w:sz="8" w:color="585458"/>
            </w:tcBorders>
          </w:tcPr>
          <w:p>
            <w:pPr>
              <w:jc w:val="right"/>
              <w:ind w:right="240"/>
              <w:spacing w:after="0"/>
              <w:rPr>
                <w:sz w:val="20"/>
                <w:szCs w:val="20"/>
                <w:color w:val="auto"/>
              </w:rPr>
            </w:pPr>
            <w:r>
              <w:rPr>
                <w:rFonts w:ascii="Times New Roman" w:cs="Times New Roman" w:eastAsia="Times New Roman" w:hAnsi="Times New Roman"/>
                <w:sz w:val="12"/>
                <w:szCs w:val="12"/>
                <w:color w:val="auto"/>
              </w:rPr>
              <w:t>2022</w:t>
            </w:r>
          </w:p>
        </w:tc>
        <w:tc>
          <w:tcPr>
            <w:tcW w:w="0" w:type="dxa"/>
            <w:vAlign w:val="bottom"/>
          </w:tcPr>
          <w:p>
            <w:pPr>
              <w:spacing w:after="0"/>
              <w:rPr>
                <w:sz w:val="1"/>
                <w:szCs w:val="1"/>
                <w:color w:val="auto"/>
              </w:rPr>
            </w:pPr>
          </w:p>
        </w:tc>
      </w:tr>
      <w:tr>
        <w:trPr>
          <w:trHeight w:val="140"/>
        </w:trPr>
        <w:tc>
          <w:tcPr>
            <w:tcW w:w="360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auto"/>
              </w:rPr>
              <w:t>Earnings (loss) per share- continuing operations:</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Numerator:</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Net income (loss) from continuing operations</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(9,695)</w:t>
            </w:r>
          </w:p>
        </w:tc>
        <w:tc>
          <w:tcPr>
            <w:tcW w:w="40" w:type="dxa"/>
            <w:vAlign w:val="bottom"/>
          </w:tcPr>
          <w:p>
            <w:pPr>
              <w:spacing w:after="0"/>
              <w:rPr>
                <w:sz w:val="12"/>
                <w:szCs w:val="12"/>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(3,171)</w:t>
            </w:r>
          </w:p>
        </w:tc>
        <w:tc>
          <w:tcPr>
            <w:tcW w:w="200" w:type="dxa"/>
            <w:vAlign w:val="bottom"/>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25,360</w:t>
            </w:r>
          </w:p>
        </w:tc>
        <w:tc>
          <w:tcPr>
            <w:tcW w:w="0" w:type="dxa"/>
            <w:vAlign w:val="bottom"/>
          </w:tcPr>
          <w:p>
            <w:pPr>
              <w:spacing w:after="0"/>
              <w:rPr>
                <w:sz w:val="1"/>
                <w:szCs w:val="1"/>
                <w:color w:val="auto"/>
              </w:rPr>
            </w:pPr>
          </w:p>
        </w:tc>
      </w:tr>
      <w:tr>
        <w:trPr>
          <w:trHeight w:val="326"/>
        </w:trPr>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Denominator:</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Denominator for bas ic income per share- we ighted</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ind w:left="580"/>
              <w:spacing w:after="0"/>
              <w:rPr>
                <w:sz w:val="20"/>
                <w:szCs w:val="20"/>
                <w:color w:val="auto"/>
              </w:rPr>
            </w:pPr>
            <w:r>
              <w:rPr>
                <w:rFonts w:ascii="Times New Roman" w:cs="Times New Roman" w:eastAsia="Times New Roman" w:hAnsi="Times New Roman"/>
                <w:sz w:val="12"/>
                <w:szCs w:val="12"/>
                <w:color w:val="auto"/>
              </w:rPr>
              <w:t>average shares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8,733,215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8,784,759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9,394,873</w:t>
            </w:r>
          </w:p>
        </w:tc>
        <w:tc>
          <w:tcPr>
            <w:tcW w:w="0" w:type="dxa"/>
            <w:vAlign w:val="bottom"/>
          </w:tcPr>
          <w:p>
            <w:pPr>
              <w:spacing w:after="0"/>
              <w:rPr>
                <w:sz w:val="1"/>
                <w:szCs w:val="1"/>
                <w:color w:val="auto"/>
              </w:rPr>
            </w:pPr>
          </w:p>
        </w:tc>
      </w:tr>
      <w:tr>
        <w:trPr>
          <w:trHeight w:val="149"/>
        </w:trPr>
        <w:tc>
          <w:tcPr>
            <w:tcW w:w="360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Effect of diluti ve sec urities*</w:t>
            </w:r>
          </w:p>
        </w:tc>
        <w:tc>
          <w:tcPr>
            <w:tcW w:w="9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8, 107</w:t>
            </w:r>
          </w:p>
        </w:tc>
        <w:tc>
          <w:tcPr>
            <w:tcW w:w="0" w:type="dxa"/>
            <w:vAlign w:val="bottom"/>
          </w:tcPr>
          <w:p>
            <w:pPr>
              <w:spacing w:after="0"/>
              <w:rPr>
                <w:sz w:val="1"/>
                <w:szCs w:val="1"/>
                <w:color w:val="auto"/>
              </w:rPr>
            </w:pPr>
          </w:p>
        </w:tc>
      </w:tr>
      <w:tr>
        <w:trPr>
          <w:trHeight w:val="86"/>
        </w:trPr>
        <w:tc>
          <w:tcPr>
            <w:tcW w:w="36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2"/>
                <w:szCs w:val="12"/>
                <w:color w:val="auto"/>
              </w:rPr>
              <w:t>Denominator for diluted income per share -   weighted</w:t>
            </w:r>
          </w:p>
        </w:tc>
        <w:tc>
          <w:tcPr>
            <w:tcW w:w="9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360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
        </w:trPr>
        <w:tc>
          <w:tcPr>
            <w:tcW w:w="360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600" w:type="dxa"/>
            <w:vAlign w:val="bottom"/>
            <w:gridSpan w:val="2"/>
          </w:tcPr>
          <w:p>
            <w:pPr>
              <w:ind w:left="580"/>
              <w:spacing w:after="0"/>
              <w:rPr>
                <w:sz w:val="20"/>
                <w:szCs w:val="20"/>
                <w:color w:val="auto"/>
              </w:rPr>
            </w:pPr>
            <w:r>
              <w:rPr>
                <w:rFonts w:ascii="Times New Roman" w:cs="Times New Roman" w:eastAsia="Times New Roman" w:hAnsi="Times New Roman"/>
                <w:sz w:val="12"/>
                <w:szCs w:val="12"/>
                <w:color w:val="auto"/>
              </w:rPr>
              <w:t>average shares and assumed conversions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8,733,215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8,784,759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9,402,980</w:t>
            </w:r>
          </w:p>
        </w:tc>
        <w:tc>
          <w:tcPr>
            <w:tcW w:w="0" w:type="dxa"/>
            <w:vAlign w:val="bottom"/>
          </w:tcPr>
          <w:p>
            <w:pPr>
              <w:spacing w:after="0"/>
              <w:rPr>
                <w:sz w:val="1"/>
                <w:szCs w:val="1"/>
                <w:color w:val="auto"/>
              </w:rPr>
            </w:pPr>
          </w:p>
        </w:tc>
      </w:tr>
      <w:tr>
        <w:trPr>
          <w:trHeight w:val="116"/>
        </w:trPr>
        <w:tc>
          <w:tcPr>
            <w:tcW w:w="3600" w:type="dxa"/>
            <w:vAlign w:val="bottom"/>
            <w:gridSpan w:val="2"/>
          </w:tcPr>
          <w:p>
            <w:pPr>
              <w:spacing w:after="0"/>
              <w:rPr>
                <w:sz w:val="10"/>
                <w:szCs w:val="10"/>
                <w:color w:val="auto"/>
              </w:rPr>
            </w:pPr>
          </w:p>
        </w:tc>
        <w:tc>
          <w:tcPr>
            <w:tcW w:w="900" w:type="dxa"/>
            <w:vAlign w:val="bottom"/>
            <w:gridSpan w:val="3"/>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Basic income (loss) per share- continuing operations:</w:t>
            </w:r>
          </w:p>
        </w:tc>
        <w:tc>
          <w:tcPr>
            <w:tcW w:w="940" w:type="dxa"/>
            <w:vAlign w:val="bottom"/>
            <w:gridSpan w:val="4"/>
          </w:tcPr>
          <w:p>
            <w:pPr>
              <w:ind w:left="560"/>
              <w:spacing w:after="0"/>
              <w:rPr>
                <w:sz w:val="20"/>
                <w:szCs w:val="20"/>
                <w:color w:val="auto"/>
              </w:rPr>
            </w:pPr>
            <w:r>
              <w:rPr>
                <w:rFonts w:ascii="Arial" w:cs="Arial" w:eastAsia="Arial" w:hAnsi="Arial"/>
                <w:sz w:val="17"/>
                <w:szCs w:val="17"/>
                <w:color w:val="auto"/>
              </w:rPr>
              <w:t>fl.lll</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(0.36)</w:t>
            </w:r>
          </w:p>
        </w:tc>
        <w:tc>
          <w:tcPr>
            <w:tcW w:w="200" w:type="dxa"/>
            <w:vAlign w:val="bottom"/>
          </w:tcPr>
          <w:p>
            <w:pPr>
              <w:jc w:val="right"/>
              <w:ind w:right="91"/>
              <w:spacing w:after="0"/>
              <w:rPr>
                <w:sz w:val="20"/>
                <w:szCs w:val="20"/>
                <w:color w:val="auto"/>
              </w:rPr>
            </w:pPr>
            <w:r>
              <w:rPr>
                <w:rFonts w:ascii="Arial" w:cs="Arial" w:eastAsia="Arial" w:hAnsi="Arial"/>
                <w:sz w:val="8"/>
                <w:szCs w:val="8"/>
                <w:color w:val="auto"/>
                <w:w w:val="8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0" w:type="dxa"/>
            <w:vAlign w:val="bottom"/>
          </w:tcPr>
          <w:p>
            <w:pPr>
              <w:spacing w:after="0"/>
              <w:rPr>
                <w:sz w:val="1"/>
                <w:szCs w:val="1"/>
                <w:color w:val="auto"/>
              </w:rPr>
            </w:pPr>
          </w:p>
        </w:tc>
      </w:tr>
      <w:tr>
        <w:trPr>
          <w:trHeight w:val="75"/>
        </w:trPr>
        <w:tc>
          <w:tcPr>
            <w:tcW w:w="358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auto"/>
              </w:rPr>
              <w:t>Diluted incom e (loss) per share - continuing operations</w:t>
            </w:r>
          </w:p>
        </w:tc>
        <w:tc>
          <w:tcPr>
            <w:tcW w:w="20" w:type="dxa"/>
            <w:vAlign w:val="bottom"/>
            <w:vMerge w:val="restart"/>
          </w:tcPr>
          <w:p>
            <w:pPr>
              <w:spacing w:after="0"/>
              <w:rPr>
                <w:sz w:val="6"/>
                <w:szCs w:val="6"/>
                <w:color w:val="auto"/>
              </w:rPr>
            </w:pPr>
          </w:p>
        </w:tc>
        <w:tc>
          <w:tcPr>
            <w:tcW w:w="9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(1.11)</w:t>
            </w:r>
          </w:p>
        </w:tc>
        <w:tc>
          <w:tcPr>
            <w:tcW w:w="40" w:type="dxa"/>
            <w:vAlign w:val="bottom"/>
          </w:tcPr>
          <w:p>
            <w:pPr>
              <w:spacing w:after="0"/>
              <w:rPr>
                <w:sz w:val="6"/>
                <w:szCs w:val="6"/>
                <w:color w:val="auto"/>
              </w:rPr>
            </w:pPr>
          </w:p>
        </w:tc>
        <w:tc>
          <w:tcPr>
            <w:tcW w:w="200" w:type="dxa"/>
            <w:vAlign w:val="bottom"/>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gridSpan w:val="2"/>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0" w:type="dxa"/>
            <w:vAlign w:val="bottom"/>
          </w:tcPr>
          <w:p>
            <w:pPr>
              <w:spacing w:after="0"/>
              <w:rPr>
                <w:sz w:val="1"/>
                <w:szCs w:val="1"/>
                <w:color w:val="auto"/>
              </w:rPr>
            </w:pPr>
          </w:p>
        </w:tc>
      </w:tr>
      <w:tr>
        <w:trPr>
          <w:trHeight w:val="193"/>
        </w:trPr>
        <w:tc>
          <w:tcPr>
            <w:tcW w:w="358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(0.36)</w:t>
            </w:r>
          </w:p>
        </w:tc>
        <w:tc>
          <w:tcPr>
            <w:tcW w:w="200" w:type="dxa"/>
            <w:vAlign w:val="bottom"/>
          </w:tcPr>
          <w:p>
            <w:pPr>
              <w:jc w:val="right"/>
              <w:ind w:right="91"/>
              <w:spacing w:after="0"/>
              <w:rPr>
                <w:sz w:val="20"/>
                <w:szCs w:val="20"/>
                <w:color w:val="auto"/>
              </w:rPr>
            </w:pPr>
            <w:r>
              <w:rPr>
                <w:rFonts w:ascii="Arial" w:cs="Arial" w:eastAsia="Arial" w:hAnsi="Arial"/>
                <w:sz w:val="9"/>
                <w:szCs w:val="9"/>
                <w:color w:val="auto"/>
                <w:w w:val="75"/>
              </w:rPr>
              <w:t>~</w:t>
            </w: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Earnings per share - discontinued operations:</w:t>
            </w:r>
          </w:p>
        </w:tc>
        <w:tc>
          <w:tcPr>
            <w:tcW w:w="20" w:type="dxa"/>
            <w:vAlign w:val="bottom"/>
            <w:tcBorders>
              <w:top w:val="single" w:sz="8" w:color="585458"/>
            </w:tcBorders>
          </w:tcPr>
          <w:p>
            <w:pPr>
              <w:spacing w:after="0"/>
              <w:rPr>
                <w:sz w:val="24"/>
                <w:szCs w:val="24"/>
                <w:color w:val="auto"/>
              </w:rPr>
            </w:pPr>
          </w:p>
        </w:tc>
        <w:tc>
          <w:tcPr>
            <w:tcW w:w="800" w:type="dxa"/>
            <w:vAlign w:val="bottom"/>
            <w:tcBorders>
              <w:top w:val="single" w:sz="8" w:color="585458"/>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Numerator:</w:t>
            </w:r>
          </w:p>
        </w:tc>
        <w:tc>
          <w:tcPr>
            <w:tcW w:w="800" w:type="dxa"/>
            <w:vAlign w:val="bottom"/>
            <w:vMerge w:val="restart"/>
          </w:tcPr>
          <w:p>
            <w:pPr>
              <w:jc w:val="right"/>
              <w:ind w:right="165"/>
              <w:spacing w:after="0"/>
              <w:rPr>
                <w:sz w:val="20"/>
                <w:szCs w:val="20"/>
                <w:color w:val="auto"/>
              </w:rPr>
            </w:pPr>
            <w:r>
              <w:rPr>
                <w:rFonts w:ascii="Arial" w:cs="Arial" w:eastAsia="Arial" w:hAnsi="Arial"/>
                <w:sz w:val="31"/>
                <w:szCs w:val="3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Net incom e from discontinu ed operations</w:t>
            </w:r>
          </w:p>
        </w:tc>
        <w:tc>
          <w:tcPr>
            <w:tcW w:w="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3C383C"/>
            </w:tcBorders>
          </w:tcPr>
          <w:p>
            <w:pPr>
              <w:spacing w:after="0"/>
              <w:rPr>
                <w:sz w:val="12"/>
                <w:szCs w:val="12"/>
                <w:color w:val="auto"/>
              </w:rPr>
            </w:pPr>
          </w:p>
        </w:tc>
        <w:tc>
          <w:tcPr>
            <w:tcW w:w="200" w:type="dxa"/>
            <w:vAlign w:val="bottom"/>
            <w:tcBorders>
              <w:bottom w:val="single" w:sz="8" w:color="3C383C"/>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3C383C"/>
            </w:tcBorders>
          </w:tcPr>
          <w:p>
            <w:pPr>
              <w:spacing w:after="0"/>
              <w:rPr>
                <w:sz w:val="12"/>
                <w:szCs w:val="12"/>
                <w:color w:val="auto"/>
              </w:rPr>
            </w:pPr>
          </w:p>
        </w:tc>
        <w:tc>
          <w:tcPr>
            <w:tcW w:w="140" w:type="dxa"/>
            <w:vAlign w:val="bottom"/>
            <w:tcBorders>
              <w:bottom w:val="single" w:sz="8" w:color="3C383C"/>
            </w:tcBorders>
          </w:tcPr>
          <w:p>
            <w:pPr>
              <w:spacing w:after="0"/>
              <w:rPr>
                <w:sz w:val="12"/>
                <w:szCs w:val="12"/>
                <w:color w:val="auto"/>
              </w:rPr>
            </w:pPr>
          </w:p>
        </w:tc>
        <w:tc>
          <w:tcPr>
            <w:tcW w:w="200" w:type="dxa"/>
            <w:vAlign w:val="bottom"/>
            <w:tcBorders>
              <w:bottom w:val="single" w:sz="8" w:color="3C383C"/>
            </w:tcBorders>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585458"/>
            </w:tcBorders>
          </w:tcPr>
          <w:p>
            <w:pPr>
              <w:jc w:val="right"/>
              <w:spacing w:after="0"/>
              <w:rPr>
                <w:sz w:val="20"/>
                <w:szCs w:val="20"/>
                <w:color w:val="auto"/>
              </w:rPr>
            </w:pPr>
            <w:r>
              <w:rPr>
                <w:rFonts w:ascii="Times New Roman" w:cs="Times New Roman" w:eastAsia="Times New Roman" w:hAnsi="Times New Roman"/>
                <w:sz w:val="12"/>
                <w:szCs w:val="12"/>
                <w:color w:val="auto"/>
              </w:rPr>
              <w:t>39,985</w:t>
            </w:r>
          </w:p>
        </w:tc>
        <w:tc>
          <w:tcPr>
            <w:tcW w:w="0" w:type="dxa"/>
            <w:vAlign w:val="bottom"/>
          </w:tcPr>
          <w:p>
            <w:pPr>
              <w:spacing w:after="0"/>
              <w:rPr>
                <w:sz w:val="1"/>
                <w:szCs w:val="1"/>
                <w:color w:val="auto"/>
              </w:rPr>
            </w:pPr>
          </w:p>
        </w:tc>
      </w:tr>
      <w:tr>
        <w:trPr>
          <w:trHeight w:val="152"/>
        </w:trPr>
        <w:tc>
          <w:tcPr>
            <w:tcW w:w="36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2"/>
                <w:szCs w:val="12"/>
                <w:color w:val="auto"/>
              </w:rPr>
              <w:t>Denominator:</w:t>
            </w:r>
          </w:p>
        </w:tc>
        <w:tc>
          <w:tcPr>
            <w:tcW w:w="8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Denominator for bas ic incom e per share - weighted</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ind w:left="580"/>
              <w:spacing w:after="0"/>
              <w:rPr>
                <w:sz w:val="20"/>
                <w:szCs w:val="20"/>
                <w:color w:val="auto"/>
              </w:rPr>
            </w:pPr>
            <w:r>
              <w:rPr>
                <w:rFonts w:ascii="Times New Roman" w:cs="Times New Roman" w:eastAsia="Times New Roman" w:hAnsi="Times New Roman"/>
                <w:sz w:val="12"/>
                <w:szCs w:val="12"/>
                <w:color w:val="auto"/>
              </w:rPr>
              <w:t>average shares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8,733 ,215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8,784,759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9,394,873</w:t>
            </w:r>
          </w:p>
        </w:tc>
        <w:tc>
          <w:tcPr>
            <w:tcW w:w="0" w:type="dxa"/>
            <w:vAlign w:val="bottom"/>
          </w:tcPr>
          <w:p>
            <w:pPr>
              <w:spacing w:after="0"/>
              <w:rPr>
                <w:sz w:val="1"/>
                <w:szCs w:val="1"/>
                <w:color w:val="auto"/>
              </w:rPr>
            </w:pPr>
          </w:p>
        </w:tc>
      </w:tr>
      <w:tr>
        <w:trPr>
          <w:trHeight w:val="149"/>
        </w:trPr>
        <w:tc>
          <w:tcPr>
            <w:tcW w:w="360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Effect of dilutive securiti es*</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bottom w:val="single" w:sz="8" w:color="201C20"/>
            </w:tcBorders>
          </w:tcPr>
          <w:p>
            <w:pPr>
              <w:spacing w:after="0"/>
              <w:rPr>
                <w:sz w:val="12"/>
                <w:szCs w:val="12"/>
                <w:color w:val="auto"/>
              </w:rPr>
            </w:pPr>
          </w:p>
        </w:tc>
        <w:tc>
          <w:tcPr>
            <w:tcW w:w="640" w:type="dxa"/>
            <w:vAlign w:val="bottom"/>
            <w:tcBorders>
              <w:bottom w:val="single" w:sz="8" w:color="201C20"/>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242020"/>
            </w:tcBorders>
          </w:tcPr>
          <w:p>
            <w:pPr>
              <w:spacing w:after="0"/>
              <w:rPr>
                <w:sz w:val="12"/>
                <w:szCs w:val="12"/>
                <w:color w:val="auto"/>
              </w:rPr>
            </w:pPr>
          </w:p>
        </w:tc>
        <w:tc>
          <w:tcPr>
            <w:tcW w:w="640" w:type="dxa"/>
            <w:vAlign w:val="bottom"/>
            <w:tcBorders>
              <w:bottom w:val="single" w:sz="8" w:color="242020"/>
            </w:tcBorders>
          </w:tcPr>
          <w:p>
            <w:pPr>
              <w:jc w:val="right"/>
              <w:spacing w:after="0"/>
              <w:rPr>
                <w:sz w:val="20"/>
                <w:szCs w:val="20"/>
                <w:color w:val="auto"/>
              </w:rPr>
            </w:pPr>
            <w:r>
              <w:rPr>
                <w:rFonts w:ascii="Times New Roman" w:cs="Times New Roman" w:eastAsia="Times New Roman" w:hAnsi="Times New Roman"/>
                <w:sz w:val="12"/>
                <w:szCs w:val="12"/>
                <w:color w:val="auto"/>
              </w:rPr>
              <w:t>8,107</w:t>
            </w:r>
          </w:p>
        </w:tc>
        <w:tc>
          <w:tcPr>
            <w:tcW w:w="0" w:type="dxa"/>
            <w:vAlign w:val="bottom"/>
          </w:tcPr>
          <w:p>
            <w:pPr>
              <w:spacing w:after="0"/>
              <w:rPr>
                <w:sz w:val="1"/>
                <w:szCs w:val="1"/>
                <w:color w:val="auto"/>
              </w:rPr>
            </w:pPr>
          </w:p>
        </w:tc>
      </w:tr>
      <w:tr>
        <w:trPr>
          <w:trHeight w:val="139"/>
        </w:trPr>
        <w:tc>
          <w:tcPr>
            <w:tcW w:w="360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Denominator for diluted incom e per share -   weighted</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0" w:type="dxa"/>
            <w:vAlign w:val="bottom"/>
            <w:gridSpan w:val="2"/>
          </w:tcPr>
          <w:p>
            <w:pPr>
              <w:ind w:left="580"/>
              <w:spacing w:after="0"/>
              <w:rPr>
                <w:sz w:val="20"/>
                <w:szCs w:val="20"/>
                <w:color w:val="auto"/>
              </w:rPr>
            </w:pPr>
            <w:r>
              <w:rPr>
                <w:rFonts w:ascii="Times New Roman" w:cs="Times New Roman" w:eastAsia="Times New Roman" w:hAnsi="Times New Roman"/>
                <w:sz w:val="12"/>
                <w:szCs w:val="12"/>
                <w:color w:val="auto"/>
              </w:rPr>
              <w:t>average shares and assumed conversions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8, 733,215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8,784,759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9,402,980</w:t>
            </w:r>
          </w:p>
        </w:tc>
        <w:tc>
          <w:tcPr>
            <w:tcW w:w="0" w:type="dxa"/>
            <w:vAlign w:val="bottom"/>
          </w:tcPr>
          <w:p>
            <w:pPr>
              <w:spacing w:after="0"/>
              <w:rPr>
                <w:sz w:val="1"/>
                <w:szCs w:val="1"/>
                <w:color w:val="auto"/>
              </w:rPr>
            </w:pPr>
          </w:p>
        </w:tc>
      </w:tr>
      <w:tr>
        <w:trPr>
          <w:trHeight w:val="101"/>
        </w:trPr>
        <w:tc>
          <w:tcPr>
            <w:tcW w:w="3580" w:type="dxa"/>
            <w:vAlign w:val="bottom"/>
          </w:tcPr>
          <w:p>
            <w:pPr>
              <w:spacing w:after="0"/>
              <w:rPr>
                <w:sz w:val="8"/>
                <w:szCs w:val="8"/>
                <w:color w:val="auto"/>
              </w:rPr>
            </w:pPr>
          </w:p>
        </w:tc>
        <w:tc>
          <w:tcPr>
            <w:tcW w:w="20" w:type="dxa"/>
            <w:vAlign w:val="bottom"/>
            <w:tcBorders>
              <w:top w:val="single" w:sz="8" w:color="585458"/>
            </w:tcBorders>
          </w:tcPr>
          <w:p>
            <w:pPr>
              <w:spacing w:after="0"/>
              <w:rPr>
                <w:sz w:val="8"/>
                <w:szCs w:val="8"/>
                <w:color w:val="auto"/>
              </w:rPr>
            </w:pPr>
          </w:p>
        </w:tc>
        <w:tc>
          <w:tcPr>
            <w:tcW w:w="800" w:type="dxa"/>
            <w:vAlign w:val="bottom"/>
            <w:tcBorders>
              <w:top w:val="single" w:sz="8" w:color="585458"/>
            </w:tcBorders>
          </w:tcPr>
          <w:p>
            <w:pPr>
              <w:spacing w:after="0"/>
              <w:rPr>
                <w:sz w:val="8"/>
                <w:szCs w:val="8"/>
                <w:color w:val="auto"/>
              </w:rPr>
            </w:pPr>
          </w:p>
        </w:tc>
        <w:tc>
          <w:tcPr>
            <w:tcW w:w="20" w:type="dxa"/>
            <w:vAlign w:val="bottom"/>
            <w:tcBorders>
              <w:top w:val="single" w:sz="8" w:color="585458"/>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-5498465</wp:posOffset>
            </wp:positionH>
            <wp:positionV relativeFrom="paragraph">
              <wp:posOffset>-1018540</wp:posOffset>
            </wp:positionV>
            <wp:extent cx="10058400" cy="7772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(In thou sands, except share and per share data)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18. Discontinued Operations</w:t>
      </w:r>
    </w:p>
    <w:p>
      <w:pPr>
        <w:spacing w:after="0" w:line="166"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2"/>
          <w:szCs w:val="12"/>
          <w:color w:val="auto"/>
        </w:rPr>
        <w:t>On January 31 , 2022, we entered into a definitive agreement to sell substantially all of the assets of Zenith to J.B. Hunt. The sa le was completed on February 28, 2022, at which time we received the followin g net proceeds: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5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Sales price prior to post-closing working capital adjustment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86,939</w:t>
            </w:r>
          </w:p>
        </w:tc>
      </w:tr>
      <w:tr>
        <w:trPr>
          <w:trHeight w:val="149"/>
        </w:trPr>
        <w:tc>
          <w:tcPr>
            <w:tcW w:w="5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Less:</w:t>
            </w:r>
          </w:p>
        </w:tc>
        <w:tc>
          <w:tcPr>
            <w:tcW w:w="900" w:type="dxa"/>
            <w:vAlign w:val="bottom"/>
          </w:tcPr>
          <w:p>
            <w:pPr>
              <w:spacing w:after="0"/>
              <w:rPr>
                <w:sz w:val="12"/>
                <w:szCs w:val="12"/>
                <w:color w:val="auto"/>
              </w:rPr>
            </w:pPr>
          </w:p>
        </w:tc>
      </w:tr>
      <w:tr>
        <w:trPr>
          <w:trHeight w:val="144"/>
        </w:trPr>
        <w:tc>
          <w:tcPr>
            <w:tcW w:w="54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Amount held in escrow for contingencies related to representation s and warranties (I)</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w:t>
            </w:r>
          </w:p>
        </w:tc>
      </w:tr>
      <w:tr>
        <w:trPr>
          <w:trHeight w:val="154"/>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Seller expenses paid at closing</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w:t>
            </w:r>
          </w:p>
        </w:tc>
      </w:tr>
      <w:tr>
        <w:trPr>
          <w:trHeight w:val="147"/>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Workjng capital adjustment paid to buyer</w:t>
            </w:r>
          </w:p>
        </w:tc>
        <w:tc>
          <w:tcPr>
            <w:tcW w:w="90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987</w:t>
            </w:r>
          </w:p>
        </w:tc>
      </w:tr>
      <w:tr>
        <w:trPr>
          <w:trHeight w:val="289"/>
        </w:trPr>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Net proceeds from the sa le</w:t>
            </w:r>
          </w:p>
        </w:tc>
        <w:tc>
          <w:tcPr>
            <w:tcW w:w="20" w:type="dxa"/>
            <w:vAlign w:val="bottom"/>
            <w:tcBorders>
              <w:bottom w:val="single" w:sz="8" w:color="4C4848"/>
            </w:tcBorders>
          </w:tcPr>
          <w:p>
            <w:pPr>
              <w:spacing w:after="0"/>
              <w:rPr>
                <w:sz w:val="24"/>
                <w:szCs w:val="24"/>
                <w:color w:val="auto"/>
              </w:rPr>
            </w:pPr>
          </w:p>
        </w:tc>
        <w:tc>
          <w:tcPr>
            <w:tcW w:w="900" w:type="dxa"/>
            <w:vAlign w:val="bottom"/>
            <w:tcBorders>
              <w:bottom w:val="single" w:sz="8" w:color="4C4848"/>
            </w:tcBorders>
          </w:tcPr>
          <w:p>
            <w:pPr>
              <w:jc w:val="right"/>
              <w:spacing w:after="0"/>
              <w:rPr>
                <w:sz w:val="20"/>
                <w:szCs w:val="20"/>
                <w:color w:val="auto"/>
              </w:rPr>
            </w:pPr>
            <w:r>
              <w:rPr>
                <w:rFonts w:ascii="Times New Roman" w:cs="Times New Roman" w:eastAsia="Times New Roman" w:hAnsi="Times New Roman"/>
                <w:sz w:val="12"/>
                <w:szCs w:val="12"/>
                <w:color w:val="auto"/>
              </w:rPr>
              <w:t>84,534</w:t>
            </w:r>
          </w:p>
        </w:tc>
      </w:tr>
    </w:tbl>
    <w:p>
      <w:pPr>
        <w:spacing w:after="0" w:line="175" w:lineRule="exact"/>
        <w:rPr>
          <w:sz w:val="20"/>
          <w:szCs w:val="20"/>
          <w:color w:val="auto"/>
        </w:rPr>
      </w:pPr>
    </w:p>
    <w:p>
      <w:pPr>
        <w:ind w:left="500" w:right="20" w:hanging="248"/>
        <w:spacing w:after="0" w:line="248" w:lineRule="auto"/>
        <w:tabs>
          <w:tab w:leader="none" w:pos="50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was held in escrow until the first anniversary of the sa le, at which time the full amount was released to the Company on March 2, 2023 .</w:t>
      </w:r>
    </w:p>
    <w:p>
      <w:pPr>
        <w:spacing w:after="0" w:line="161"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2"/>
          <w:szCs w:val="12"/>
          <w:color w:val="auto"/>
        </w:rPr>
        <w:t>The sa les price was subject to customary post-closin g working capital adjustments which were paid durin g the second half of fiscal 2022 and resu lted in a pre-tax gain from the sa le of Zenith of$52,534 .</w:t>
      </w:r>
    </w:p>
    <w:p>
      <w:pPr>
        <w:spacing w:after="0" w:line="161"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2"/>
          <w:szCs w:val="12"/>
          <w:color w:val="auto"/>
        </w:rPr>
        <w:t>The operations of our logistical services segment, which consisted entirely of the operations of Zenith , are presented in the accompanying consolidated statements of operations as discontinued operations .</w:t>
      </w:r>
    </w:p>
    <w:p>
      <w:pPr>
        <w:spacing w:after="0" w:line="161" w:lineRule="exact"/>
        <w:rPr>
          <w:sz w:val="20"/>
          <w:szCs w:val="20"/>
          <w:color w:val="auto"/>
        </w:rPr>
      </w:pPr>
    </w:p>
    <w:p>
      <w:pPr>
        <w:jc w:val="both"/>
        <w:ind w:right="20" w:firstLine="6"/>
        <w:spacing w:after="0" w:line="256" w:lineRule="auto"/>
        <w:rPr>
          <w:sz w:val="20"/>
          <w:szCs w:val="20"/>
          <w:color w:val="auto"/>
        </w:rPr>
      </w:pPr>
      <w:r>
        <w:rPr>
          <w:rFonts w:ascii="Times New Roman" w:cs="Times New Roman" w:eastAsia="Times New Roman" w:hAnsi="Times New Roman"/>
          <w:sz w:val="12"/>
          <w:szCs w:val="12"/>
          <w:color w:val="auto"/>
        </w:rPr>
        <w:t>Following the sale of Zenith , certain of Zenith ' s liabilities primarily representin g reserves and accrued liabilities for pre-disposa l workers' compensation, hea lth insurance and auto liability claims were retain ed by Bassett. Th e remainin g balance of these reserves and accruals totaled $114 and $358 at November 30, 2024 and November 25, 2023, respecti ve ly, and are included in accrued compensation and benefits and other current liabilities and accrued expenses in the accompanying condensed consolidated balance sheets.</w:t>
      </w:r>
    </w:p>
    <w:p>
      <w:pPr>
        <w:spacing w:after="0" w:line="1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2"/>
          <w:szCs w:val="12"/>
          <w:color w:val="auto"/>
        </w:rPr>
        <w:t>The following table summari zes the major classes ofline items constituting incom e of the discontinued operations, as reported in the consolidated statements of operations for fi scal 2022 (there was no income from discontinued operations in 2024 or 2023):</w:t>
      </w:r>
    </w:p>
    <w:p>
      <w:pPr>
        <w:spacing w:after="0" w:line="291" w:lineRule="exact"/>
        <w:rPr>
          <w:sz w:val="20"/>
          <w:szCs w:val="20"/>
          <w:color w:val="auto"/>
        </w:rPr>
      </w:pPr>
    </w:p>
    <w:p>
      <w:pPr>
        <w:sectPr>
          <w:pgSz w:w="15840" w:h="12240" w:orient="landscape"/>
          <w:cols w:equalWidth="0" w:num="2">
            <w:col w:w="7200" w:space="720"/>
            <w:col w:w="6460"/>
          </w:cols>
          <w:pgMar w:left="740" w:top="1440" w:right="720" w:bottom="897" w:gutter="0" w:footer="0" w:header="0"/>
        </w:sectPr>
      </w:pPr>
    </w:p>
    <w:p>
      <w:pPr>
        <w:spacing w:after="0" w:line="15" w:lineRule="exact"/>
        <w:rPr>
          <w:sz w:val="20"/>
          <w:szCs w:val="20"/>
          <w:color w:val="auto"/>
        </w:rPr>
      </w:pPr>
    </w:p>
    <w:tbl>
      <w:tblPr>
        <w:tblLayout w:type="fixed"/>
        <w:tblInd w:w="360" w:type="dxa"/>
        <w:tblCellMar>
          <w:top w:w="0" w:type="dxa"/>
          <w:left w:w="0" w:type="dxa"/>
          <w:bottom w:w="0" w:type="dxa"/>
          <w:right w:w="0" w:type="dxa"/>
        </w:tblCellMar>
      </w:tblPr>
      <w:tr>
        <w:trPr>
          <w:trHeight w:val="140"/>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Basic incom e per share - di scontinu ed operations</w:t>
            </w:r>
          </w:p>
        </w:tc>
        <w:tc>
          <w:tcPr>
            <w:tcW w:w="840" w:type="dxa"/>
            <w:vAlign w:val="bottom"/>
            <w:tcBorders>
              <w:bottom w:val="single" w:sz="8" w:color="242020"/>
            </w:tcBorders>
          </w:tcPr>
          <w:p>
            <w:pPr>
              <w:spacing w:after="0"/>
              <w:rPr>
                <w:sz w:val="12"/>
                <w:szCs w:val="12"/>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4.26</w:t>
            </w:r>
          </w:p>
        </w:tc>
      </w:tr>
      <w:tr>
        <w:trPr>
          <w:trHeight w:val="309"/>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Diluted income per share - discontinued operations</w:t>
            </w:r>
          </w:p>
        </w:tc>
        <w:tc>
          <w:tcPr>
            <w:tcW w:w="840" w:type="dxa"/>
            <w:vAlign w:val="bottom"/>
            <w:tcBorders>
              <w:bottom w:val="single" w:sz="8" w:color="404040"/>
            </w:tcBorders>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bottom w:val="single" w:sz="8" w:color="444040"/>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4C4848"/>
            </w:tcBorders>
          </w:tcPr>
          <w:p>
            <w:pPr>
              <w:jc w:val="right"/>
              <w:spacing w:after="0"/>
              <w:rPr>
                <w:sz w:val="20"/>
                <w:szCs w:val="20"/>
                <w:color w:val="auto"/>
              </w:rPr>
            </w:pPr>
            <w:r>
              <w:rPr>
                <w:rFonts w:ascii="Times New Roman" w:cs="Times New Roman" w:eastAsia="Times New Roman" w:hAnsi="Times New Roman"/>
                <w:sz w:val="12"/>
                <w:szCs w:val="12"/>
                <w:color w:val="auto"/>
              </w:rPr>
              <w:t>4.25</w:t>
            </w:r>
          </w:p>
        </w:tc>
      </w:tr>
    </w:tbl>
    <w:p>
      <w:pPr>
        <w:spacing w:after="0" w:line="179" w:lineRule="exact"/>
        <w:rPr>
          <w:sz w:val="20"/>
          <w:szCs w:val="20"/>
          <w:color w:val="auto"/>
        </w:rPr>
      </w:pPr>
    </w:p>
    <w:p>
      <w:pPr>
        <w:ind w:left="240" w:right="1420" w:firstLine="5"/>
        <w:spacing w:after="0" w:line="248" w:lineRule="auto"/>
        <w:rPr>
          <w:sz w:val="20"/>
          <w:szCs w:val="20"/>
          <w:color w:val="auto"/>
        </w:rPr>
      </w:pPr>
      <w:r>
        <w:rPr>
          <w:rFonts w:ascii="Times New Roman" w:cs="Times New Roman" w:eastAsia="Times New Roman" w:hAnsi="Times New Roman"/>
          <w:sz w:val="12"/>
          <w:szCs w:val="12"/>
          <w:color w:val="auto"/>
        </w:rPr>
        <w:t>Due to th e net loss in 2024 and 2023, the potentially dilutive securities would have been anti-dilutive and are therefore exc luded.</w:t>
      </w:r>
    </w:p>
    <w:p>
      <w:pPr>
        <w:spacing w:after="0" w:line="171" w:lineRule="exact"/>
        <w:rPr>
          <w:sz w:val="20"/>
          <w:szCs w:val="20"/>
          <w:color w:val="auto"/>
        </w:rPr>
      </w:pPr>
    </w:p>
    <w:p>
      <w:pPr>
        <w:ind w:right="1400" w:firstLine="4"/>
        <w:spacing w:after="0" w:line="248" w:lineRule="auto"/>
        <w:rPr>
          <w:sz w:val="20"/>
          <w:szCs w:val="20"/>
          <w:color w:val="auto"/>
        </w:rPr>
      </w:pPr>
      <w:r>
        <w:rPr>
          <w:rFonts w:ascii="Times New Roman" w:cs="Times New Roman" w:eastAsia="Times New Roman" w:hAnsi="Times New Roman"/>
          <w:sz w:val="12"/>
          <w:szCs w:val="12"/>
          <w:color w:val="auto"/>
        </w:rPr>
        <w:t>For fi scal 2024, 2023 and 2022, the following potentially diluti ve shares were excluded from the computations as their effect was anti-dilutive: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Major line items constituting pretax income of di scontinued operations:</w:t>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Logistical services revenue</w:t>
      </w:r>
    </w:p>
    <w:p>
      <w:pPr>
        <w:spacing w:after="0" w:line="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Cost of logistical services</w:t>
      </w:r>
    </w:p>
    <w:p>
      <w:pPr>
        <w:spacing w:after="0" w:line="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Other loss, net</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Income from operations of log istical services</w:t>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Gain on disposa l</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Pretax income of di scontinued operations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Incom e tax expense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2022</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16,776</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15 ,001</w:t>
      </w:r>
    </w:p>
    <w:p>
      <w:pPr>
        <w:spacing w:after="0" w:line="6"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2"/>
          <w:szCs w:val="12"/>
          <w:color w:val="auto"/>
        </w:rPr>
        <w:t>(63)</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1,7 12</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52,534</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54,246</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14,26 1</w:t>
      </w:r>
    </w:p>
    <w:p>
      <w:pPr>
        <w:spacing w:after="0" w:line="88" w:lineRule="exact"/>
        <w:rPr>
          <w:sz w:val="20"/>
          <w:szCs w:val="20"/>
          <w:color w:val="auto"/>
        </w:rPr>
      </w:pPr>
    </w:p>
    <w:p>
      <w:pPr>
        <w:sectPr>
          <w:pgSz w:w="15840" w:h="12240" w:orient="landscape"/>
          <w:cols w:equalWidth="0" w:num="3">
            <w:col w:w="7840" w:space="720"/>
            <w:col w:w="3800" w:space="720"/>
            <w:col w:w="1300"/>
          </w:cols>
          <w:pgMar w:left="740" w:top="1440" w:right="720" w:bottom="897" w:gutter="0" w:footer="0" w:header="0"/>
          <w:type w:val="continuous"/>
        </w:sectPr>
      </w:pPr>
    </w:p>
    <w:tbl>
      <w:tblPr>
        <w:tblLayout w:type="fixed"/>
        <w:tblInd w:w="900" w:type="dxa"/>
        <w:tblCellMar>
          <w:top w:w="0" w:type="dxa"/>
          <w:left w:w="0" w:type="dxa"/>
          <w:bottom w:w="0" w:type="dxa"/>
          <w:right w:w="0" w:type="dxa"/>
        </w:tblCellMar>
      </w:tblPr>
      <w:tr>
        <w:trPr>
          <w:trHeight w:val="142"/>
        </w:trPr>
        <w:tc>
          <w:tcPr>
            <w:tcW w:w="1800" w:type="dxa"/>
            <w:vAlign w:val="bottom"/>
          </w:tcPr>
          <w:p>
            <w:pPr>
              <w:spacing w:after="0"/>
              <w:rPr>
                <w:sz w:val="12"/>
                <w:szCs w:val="12"/>
                <w:color w:val="auto"/>
              </w:rPr>
            </w:pPr>
          </w:p>
        </w:tc>
        <w:tc>
          <w:tcPr>
            <w:tcW w:w="860" w:type="dxa"/>
            <w:vAlign w:val="bottom"/>
            <w:tcBorders>
              <w:bottom w:val="single" w:sz="8" w:color="242020"/>
            </w:tcBorders>
          </w:tcPr>
          <w:p>
            <w:pPr>
              <w:jc w:val="right"/>
              <w:ind w:right="260"/>
              <w:spacing w:after="0"/>
              <w:rPr>
                <w:sz w:val="20"/>
                <w:szCs w:val="20"/>
                <w:color w:val="auto"/>
              </w:rPr>
            </w:pPr>
            <w:r>
              <w:rPr>
                <w:rFonts w:ascii="Times New Roman" w:cs="Times New Roman" w:eastAsia="Times New Roman" w:hAnsi="Times New Roman"/>
                <w:sz w:val="12"/>
                <w:szCs w:val="12"/>
                <w:color w:val="auto"/>
              </w:rPr>
              <w:t>2024</w:t>
            </w:r>
          </w:p>
        </w:tc>
        <w:tc>
          <w:tcPr>
            <w:tcW w:w="120" w:type="dxa"/>
            <w:vAlign w:val="bottom"/>
          </w:tcPr>
          <w:p>
            <w:pPr>
              <w:spacing w:after="0"/>
              <w:rPr>
                <w:sz w:val="12"/>
                <w:szCs w:val="12"/>
                <w:color w:val="auto"/>
              </w:rPr>
            </w:pPr>
          </w:p>
        </w:tc>
        <w:tc>
          <w:tcPr>
            <w:tcW w:w="840" w:type="dxa"/>
            <w:vAlign w:val="bottom"/>
            <w:tcBorders>
              <w:bottom w:val="single" w:sz="8" w:color="242020"/>
            </w:tcBorders>
          </w:tcPr>
          <w:p>
            <w:pPr>
              <w:jc w:val="right"/>
              <w:ind w:right="240"/>
              <w:spacing w:after="0"/>
              <w:rPr>
                <w:sz w:val="20"/>
                <w:szCs w:val="20"/>
                <w:color w:val="auto"/>
              </w:rPr>
            </w:pPr>
            <w:r>
              <w:rPr>
                <w:rFonts w:ascii="Times New Roman" w:cs="Times New Roman" w:eastAsia="Times New Roman" w:hAnsi="Times New Roman"/>
                <w:sz w:val="12"/>
                <w:szCs w:val="12"/>
                <w:color w:val="auto"/>
              </w:rPr>
              <w:t>2023</w:t>
            </w:r>
          </w:p>
        </w:tc>
        <w:tc>
          <w:tcPr>
            <w:tcW w:w="140" w:type="dxa"/>
            <w:vAlign w:val="bottom"/>
          </w:tcPr>
          <w:p>
            <w:pPr>
              <w:spacing w:after="0"/>
              <w:rPr>
                <w:sz w:val="12"/>
                <w:szCs w:val="12"/>
                <w:color w:val="auto"/>
              </w:rPr>
            </w:pPr>
          </w:p>
        </w:tc>
        <w:tc>
          <w:tcPr>
            <w:tcW w:w="840" w:type="dxa"/>
            <w:vAlign w:val="bottom"/>
            <w:tcBorders>
              <w:bottom w:val="single" w:sz="8" w:color="201C20"/>
            </w:tcBorders>
          </w:tcPr>
          <w:p>
            <w:pPr>
              <w:jc w:val="right"/>
              <w:ind w:right="240"/>
              <w:spacing w:after="0"/>
              <w:rPr>
                <w:sz w:val="20"/>
                <w:szCs w:val="20"/>
                <w:color w:val="auto"/>
              </w:rPr>
            </w:pPr>
            <w:r>
              <w:rPr>
                <w:rFonts w:ascii="Times New Roman" w:cs="Times New Roman" w:eastAsia="Times New Roman" w:hAnsi="Times New Roman"/>
                <w:sz w:val="12"/>
                <w:szCs w:val="12"/>
                <w:color w:val="auto"/>
              </w:rPr>
              <w:t>2022</w:t>
            </w:r>
          </w:p>
        </w:tc>
      </w:tr>
      <w:tr>
        <w:trPr>
          <w:trHeight w:val="144"/>
        </w:trPr>
        <w:tc>
          <w:tcPr>
            <w:tcW w:w="1800" w:type="dxa"/>
            <w:vAlign w:val="bottom"/>
          </w:tcPr>
          <w:p>
            <w:pPr>
              <w:spacing w:after="0"/>
              <w:rPr>
                <w:sz w:val="20"/>
                <w:szCs w:val="20"/>
                <w:color w:val="auto"/>
              </w:rPr>
            </w:pPr>
            <w:r>
              <w:rPr>
                <w:rFonts w:ascii="Times New Roman" w:cs="Times New Roman" w:eastAsia="Times New Roman" w:hAnsi="Times New Roman"/>
                <w:sz w:val="12"/>
                <w:szCs w:val="12"/>
                <w:color w:val="auto"/>
              </w:rPr>
              <w:t>Unvested restricted 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94,409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92,313</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760" w:type="dxa"/>
        <w:tblCellMar>
          <w:top w:w="0" w:type="dxa"/>
          <w:left w:w="0" w:type="dxa"/>
          <w:bottom w:w="0" w:type="dxa"/>
          <w:right w:w="0" w:type="dxa"/>
        </w:tblCellMar>
      </w:tblPr>
      <w:tr>
        <w:trPr>
          <w:trHeight w:val="138"/>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Incom e from discontinued operations, net of tax</w:t>
            </w:r>
          </w:p>
        </w:tc>
        <w:tc>
          <w:tcPr>
            <w:tcW w:w="1000" w:type="dxa"/>
            <w:vAlign w:val="bottom"/>
            <w:tcBorders>
              <w:bottom w:val="single" w:sz="8" w:color="242020"/>
            </w:tcBorders>
          </w:tcPr>
          <w:p>
            <w:pPr>
              <w:jc w:val="right"/>
              <w:spacing w:after="0"/>
              <w:rPr>
                <w:sz w:val="20"/>
                <w:szCs w:val="20"/>
                <w:color w:val="auto"/>
              </w:rPr>
            </w:pPr>
            <w:r>
              <w:rPr>
                <w:rFonts w:ascii="Times New Roman" w:cs="Times New Roman" w:eastAsia="Times New Roman" w:hAnsi="Times New Roman"/>
                <w:sz w:val="12"/>
                <w:szCs w:val="12"/>
                <w:color w:val="auto"/>
              </w:rPr>
              <w:t>39,985</w:t>
            </w:r>
          </w:p>
        </w:tc>
      </w:tr>
    </w:tbl>
    <w:p>
      <w:pPr>
        <w:spacing w:after="0" w:line="182" w:lineRule="exact"/>
        <w:rPr>
          <w:sz w:val="20"/>
          <w:szCs w:val="20"/>
          <w:color w:val="auto"/>
        </w:rPr>
      </w:pPr>
    </w:p>
    <w:p>
      <w:pPr>
        <w:jc w:val="both"/>
        <w:ind w:firstLine="1"/>
        <w:spacing w:after="0" w:line="256" w:lineRule="auto"/>
        <w:rPr>
          <w:sz w:val="20"/>
          <w:szCs w:val="20"/>
          <w:color w:val="auto"/>
        </w:rPr>
      </w:pPr>
      <w:r>
        <w:rPr>
          <w:rFonts w:ascii="Times New Roman" w:cs="Times New Roman" w:eastAsia="Times New Roman" w:hAnsi="Times New Roman"/>
          <w:sz w:val="12"/>
          <w:szCs w:val="12"/>
          <w:color w:val="auto"/>
        </w:rPr>
        <w:t>The amounts for revenue and costs of logistical services shown above represent the resul ts of Zenith's busin ess transactions with third parties . Zenith also charged Bassett for logistical services provided to our wholesale segment in the amount of $9, 121 during 2022 prior to disposa l. We have entered into a service agreement with J.B. Hunt for the continuation of th ese services for a period of seven years following th e sa le of Zenith. Subsequent to th e sa le, we incurred $22,721 , $26, 125 and $27,604 of expense during fiscal2024, 2023 and 2022, respectively, for th e perfonnance of logistical services.</w:t>
      </w:r>
    </w:p>
    <w:p>
      <w:pPr>
        <w:spacing w:after="0" w:line="200" w:lineRule="exact"/>
        <w:rPr>
          <w:sz w:val="20"/>
          <w:szCs w:val="20"/>
          <w:color w:val="auto"/>
        </w:rPr>
      </w:pPr>
    </w:p>
    <w:p>
      <w:pPr>
        <w:sectPr>
          <w:pgSz w:w="15840" w:h="12240" w:orient="landscape"/>
          <w:cols w:equalWidth="0" w:num="2">
            <w:col w:w="7200" w:space="720"/>
            <w:col w:w="6460"/>
          </w:cols>
          <w:pgMar w:left="740" w:top="1440" w:right="720" w:bottom="89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45</w:t>
      </w:r>
      <w:r>
        <w:rPr>
          <w:sz w:val="20"/>
          <w:szCs w:val="20"/>
          <w:color w:val="auto"/>
        </w:rPr>
        <w:tab/>
      </w:r>
      <w:r>
        <w:rPr>
          <w:rFonts w:ascii="Times New Roman" w:cs="Times New Roman" w:eastAsia="Times New Roman" w:hAnsi="Times New Roman"/>
          <w:sz w:val="12"/>
          <w:szCs w:val="12"/>
          <w:color w:val="auto"/>
        </w:rPr>
        <w:t>46</w:t>
      </w:r>
    </w:p>
    <w:p>
      <w:pPr>
        <w:sectPr>
          <w:pgSz w:w="15840" w:h="12240" w:orient="landscape"/>
          <w:cols w:equalWidth="0" w:num="1">
            <w:col w:w="14380"/>
          </w:cols>
          <w:pgMar w:left="740" w:top="1440" w:right="720" w:bottom="897" w:gutter="0" w:footer="0" w:header="0"/>
          <w:type w:val="continuous"/>
        </w:sectPr>
      </w:pPr>
    </w:p>
    <w:bookmarkStart w:id="27" w:name="page28"/>
    <w:bookmarkEnd w:id="27"/>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0058400" cy="7772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thousands, except share and per share data)</w:t>
      </w:r>
    </w:p>
    <w:p>
      <w:pPr>
        <w:spacing w:after="0" w:line="161" w:lineRule="exact"/>
        <w:rPr>
          <w:sz w:val="20"/>
          <w:szCs w:val="20"/>
          <w:color w:val="auto"/>
        </w:rPr>
      </w:pPr>
    </w:p>
    <w:p>
      <w:pPr>
        <w:ind w:left="20" w:right="760" w:hanging="3"/>
        <w:spacing w:after="0" w:line="247" w:lineRule="auto"/>
        <w:rPr>
          <w:sz w:val="20"/>
          <w:szCs w:val="20"/>
          <w:color w:val="auto"/>
        </w:rPr>
      </w:pPr>
      <w:r>
        <w:rPr>
          <w:rFonts w:ascii="Times New Roman" w:cs="Times New Roman" w:eastAsia="Times New Roman" w:hAnsi="Times New Roman"/>
          <w:sz w:val="12"/>
          <w:szCs w:val="12"/>
          <w:color w:val="auto"/>
        </w:rPr>
        <w:t xml:space="preserve">The following table summarizes the cash flows generated by discontinued operations during 2022 (there were no cash flows from di scontinued operation </w:t>
      </w:r>
      <w:r>
        <w:rPr>
          <w:rFonts w:ascii="Arial" w:cs="Arial" w:eastAsia="Arial" w:hAnsi="Arial"/>
          <w:sz w:val="12"/>
          <w:szCs w:val="12"/>
          <w:color w:val="auto"/>
        </w:rPr>
        <w:t>in</w:t>
      </w:r>
      <w:r>
        <w:rPr>
          <w:rFonts w:ascii="Times New Roman" w:cs="Times New Roman" w:eastAsia="Times New Roman" w:hAnsi="Times New Roman"/>
          <w:sz w:val="12"/>
          <w:szCs w:val="12"/>
          <w:color w:val="auto"/>
        </w:rPr>
        <w:t xml:space="preserve"> 2024 or 2023):</w:t>
      </w:r>
    </w:p>
    <w:p>
      <w:pPr>
        <w:spacing w:after="0" w:line="156" w:lineRule="exact"/>
        <w:rPr>
          <w:sz w:val="20"/>
          <w:szCs w:val="20"/>
          <w:color w:val="auto"/>
        </w:rPr>
      </w:pPr>
    </w:p>
    <w:tbl>
      <w:tblPr>
        <w:tblLayout w:type="fixed"/>
        <w:tblInd w:w="420" w:type="dxa"/>
        <w:tblCellMar>
          <w:top w:w="0" w:type="dxa"/>
          <w:left w:w="0" w:type="dxa"/>
          <w:bottom w:w="0" w:type="dxa"/>
          <w:right w:w="0" w:type="dxa"/>
        </w:tblCellMar>
      </w:tblPr>
      <w:tr>
        <w:trPr>
          <w:trHeight w:val="139"/>
        </w:trPr>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bottom w:val="single" w:sz="8" w:color="6C6868"/>
            </w:tcBorders>
          </w:tcPr>
          <w:p>
            <w:pPr>
              <w:jc w:val="right"/>
              <w:ind w:right="198"/>
              <w:spacing w:after="0"/>
              <w:rPr>
                <w:sz w:val="20"/>
                <w:szCs w:val="20"/>
                <w:color w:val="auto"/>
              </w:rPr>
            </w:pPr>
            <w:r>
              <w:rPr>
                <w:rFonts w:ascii="Times New Roman" w:cs="Times New Roman" w:eastAsia="Times New Roman" w:hAnsi="Times New Roman"/>
                <w:sz w:val="12"/>
                <w:szCs w:val="12"/>
                <w:color w:val="auto"/>
              </w:rPr>
              <w:t>2022 (I)</w:t>
            </w:r>
          </w:p>
        </w:tc>
        <w:tc>
          <w:tcPr>
            <w:tcW w:w="40" w:type="dxa"/>
            <w:vAlign w:val="bottom"/>
            <w:gridSpan w:val="2"/>
          </w:tcPr>
          <w:p>
            <w:pPr>
              <w:spacing w:after="0"/>
              <w:rPr>
                <w:sz w:val="12"/>
                <w:szCs w:val="12"/>
                <w:color w:val="auto"/>
              </w:rPr>
            </w:pPr>
          </w:p>
        </w:tc>
      </w:tr>
      <w:tr>
        <w:trPr>
          <w:trHeight w:val="142"/>
        </w:trPr>
        <w:tc>
          <w:tcPr>
            <w:tcW w:w="4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provided by operating acti vities</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1,68 1</w:t>
            </w:r>
          </w:p>
        </w:tc>
      </w:tr>
      <w:tr>
        <w:trPr>
          <w:trHeight w:val="149"/>
        </w:trPr>
        <w:tc>
          <w:tcPr>
            <w:tcW w:w="4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used in investing acti vities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(81)</w:t>
            </w:r>
          </w:p>
        </w:tc>
      </w:tr>
      <w:tr>
        <w:trPr>
          <w:trHeight w:val="14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Cash used in financin g activities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(371)</w:t>
            </w:r>
          </w:p>
        </w:tc>
      </w:tr>
      <w:tr>
        <w:trPr>
          <w:trHeight w:val="286"/>
        </w:trPr>
        <w:tc>
          <w:tcPr>
            <w:tcW w:w="4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cash provided by (used in) discontinued operations</w:t>
            </w:r>
          </w:p>
        </w:tc>
        <w:tc>
          <w:tcPr>
            <w:tcW w:w="20" w:type="dxa"/>
            <w:vAlign w:val="bottom"/>
            <w:tcBorders>
              <w:bottom w:val="single" w:sz="8" w:color="646464"/>
            </w:tcBorders>
          </w:tcPr>
          <w:p>
            <w:pPr>
              <w:spacing w:after="0"/>
              <w:rPr>
                <w:sz w:val="24"/>
                <w:szCs w:val="24"/>
                <w:color w:val="auto"/>
              </w:rPr>
            </w:pPr>
          </w:p>
        </w:tc>
        <w:tc>
          <w:tcPr>
            <w:tcW w:w="960" w:type="dxa"/>
            <w:vAlign w:val="bottom"/>
            <w:tcBorders>
              <w:top w:val="single" w:sz="8" w:color="585454"/>
              <w:bottom w:val="single" w:sz="8" w:color="646464"/>
            </w:tcBorders>
          </w:tcPr>
          <w:p>
            <w:pPr>
              <w:jc w:val="right"/>
              <w:spacing w:after="0"/>
              <w:rPr>
                <w:sz w:val="20"/>
                <w:szCs w:val="20"/>
                <w:color w:val="auto"/>
              </w:rPr>
            </w:pPr>
            <w:r>
              <w:rPr>
                <w:rFonts w:ascii="Times New Roman" w:cs="Times New Roman" w:eastAsia="Times New Roman" w:hAnsi="Times New Roman"/>
                <w:sz w:val="12"/>
                <w:szCs w:val="12"/>
                <w:color w:val="auto"/>
              </w:rPr>
              <w:t>1,229</w:t>
            </w:r>
          </w:p>
        </w:tc>
        <w:tc>
          <w:tcPr>
            <w:tcW w:w="20" w:type="dxa"/>
            <w:vAlign w:val="bottom"/>
            <w:tcBorders>
              <w:bottom w:val="single" w:sz="8" w:color="646464"/>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71" w:lineRule="exact"/>
        <w:rPr>
          <w:sz w:val="20"/>
          <w:szCs w:val="20"/>
          <w:color w:val="auto"/>
        </w:rPr>
      </w:pPr>
    </w:p>
    <w:p>
      <w:pPr>
        <w:ind w:left="260"/>
        <w:spacing w:after="0"/>
        <w:tabs>
          <w:tab w:leader="none" w:pos="480" w:val="left"/>
        </w:tabs>
        <w:rPr>
          <w:sz w:val="20"/>
          <w:szCs w:val="20"/>
          <w:color w:val="auto"/>
        </w:rPr>
      </w:pPr>
      <w:r>
        <w:rPr>
          <w:rFonts w:ascii="Times New Roman" w:cs="Times New Roman" w:eastAsia="Times New Roman" w:hAnsi="Times New Roman"/>
          <w:sz w:val="12"/>
          <w:szCs w:val="12"/>
          <w:color w:val="auto"/>
        </w:rPr>
        <w:t>(I)</w:t>
        <w:tab/>
        <w:t>Exc ludes net proceeds from the sale of Zenith.</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19. Segment Information</w:t>
      </w:r>
    </w:p>
    <w:p>
      <w:pPr>
        <w:spacing w:after="0" w:line="161" w:lineRule="exact"/>
        <w:rPr>
          <w:sz w:val="20"/>
          <w:szCs w:val="20"/>
          <w:color w:val="auto"/>
        </w:rPr>
      </w:pPr>
    </w:p>
    <w:p>
      <w:pPr>
        <w:ind w:right="760" w:firstLine="6"/>
        <w:spacing w:after="0" w:line="256" w:lineRule="auto"/>
        <w:rPr>
          <w:sz w:val="20"/>
          <w:szCs w:val="20"/>
          <w:color w:val="auto"/>
        </w:rPr>
      </w:pPr>
      <w:r>
        <w:rPr>
          <w:rFonts w:ascii="Times New Roman" w:cs="Times New Roman" w:eastAsia="Times New Roman" w:hAnsi="Times New Roman"/>
          <w:sz w:val="12"/>
          <w:szCs w:val="12"/>
          <w:color w:val="auto"/>
        </w:rPr>
        <w:t xml:space="preserve">We have strategically aligned our business into two reportable segments as defined in ASC 280, </w:t>
      </w:r>
      <w:r>
        <w:rPr>
          <w:rFonts w:ascii="Times New Roman" w:cs="Times New Roman" w:eastAsia="Times New Roman" w:hAnsi="Times New Roman"/>
          <w:sz w:val="12"/>
          <w:szCs w:val="12"/>
          <w:i w:val="1"/>
          <w:iCs w:val="1"/>
          <w:color w:val="auto"/>
        </w:rPr>
        <w:t>Segment Reporting,</w:t>
      </w:r>
      <w:r>
        <w:rPr>
          <w:rFonts w:ascii="Times New Roman" w:cs="Times New Roman" w:eastAsia="Times New Roman" w:hAnsi="Times New Roman"/>
          <w:sz w:val="12"/>
          <w:szCs w:val="12"/>
          <w:color w:val="auto"/>
        </w:rPr>
        <w:t xml:space="preserve"> and as described below:</w:t>
      </w:r>
    </w:p>
    <w:p>
      <w:pPr>
        <w:spacing w:after="0" w:line="152" w:lineRule="exact"/>
        <w:rPr>
          <w:sz w:val="20"/>
          <w:szCs w:val="20"/>
          <w:color w:val="auto"/>
        </w:rPr>
      </w:pPr>
    </w:p>
    <w:p>
      <w:pPr>
        <w:jc w:val="both"/>
        <w:ind w:left="480" w:right="760" w:hanging="233"/>
        <w:spacing w:after="0" w:line="258" w:lineRule="auto"/>
        <w:tabs>
          <w:tab w:leader="none" w:pos="481"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Wholesale. The wholesale home furnishings segment is in vo lved principally in the design, manufacture, sourcing, sale and di stribution of furniture products to a network of Bassett stores (Company-owned and licensee-owned retail stores) and independent furniture retailers. Our wholesale segment includes our wood and upholstery operations, which includes Lane Venture.</w:t>
      </w:r>
    </w:p>
    <w:p>
      <w:pPr>
        <w:spacing w:after="0" w:line="150" w:lineRule="exact"/>
        <w:rPr>
          <w:rFonts w:ascii="Times New Roman" w:cs="Times New Roman" w:eastAsia="Times New Roman" w:hAnsi="Times New Roman"/>
          <w:sz w:val="12"/>
          <w:szCs w:val="12"/>
          <w:color w:val="auto"/>
        </w:rPr>
      </w:pPr>
    </w:p>
    <w:p>
      <w:pPr>
        <w:jc w:val="both"/>
        <w:ind w:left="480" w:right="780" w:hanging="233"/>
        <w:spacing w:after="0" w:line="257" w:lineRule="auto"/>
        <w:tabs>
          <w:tab w:leader="none" w:pos="485"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Retail - Company-owned stores. Our retail segment consists of Company-owned stores and includes the revenues, expenses, assets and liabilities and capital expenditures directl y related to th ese stores and the Company-owned distribution network utilized to deli ver products to our retail customers.</w:t>
      </w:r>
    </w:p>
    <w:p>
      <w:pPr>
        <w:spacing w:after="0" w:line="152" w:lineRule="exact"/>
        <w:rPr>
          <w:sz w:val="20"/>
          <w:szCs w:val="20"/>
          <w:color w:val="auto"/>
        </w:rPr>
      </w:pPr>
    </w:p>
    <w:p>
      <w:pPr>
        <w:jc w:val="both"/>
        <w:ind w:right="760" w:firstLine="9"/>
        <w:spacing w:after="0" w:line="258" w:lineRule="auto"/>
        <w:rPr>
          <w:sz w:val="20"/>
          <w:szCs w:val="20"/>
          <w:color w:val="auto"/>
        </w:rPr>
      </w:pPr>
      <w:r>
        <w:rPr>
          <w:rFonts w:ascii="Times New Roman" w:cs="Times New Roman" w:eastAsia="Times New Roman" w:hAnsi="Times New Roman"/>
          <w:sz w:val="12"/>
          <w:szCs w:val="12"/>
          <w:color w:val="auto"/>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 urces, lega l and others, including certain product development and marketing functions benefitting both wholesale and retail operations. In addition to property and equipm ent and various other assets associated with the shared corporate functions, the identifiable assets of Corporate and other include s ubstantially all of our cash and our in vestm ents in CDs . We consider our corporate function s to be other business acti vities and have aggregated th em with any of our operating segments that do not meet th e requirements to be reportable segments. As of and for the periods ended November 30, 2024, November 25, 2023 and November 26, 2022, the only such operating segment included in Corporate and other is Noa !-lome, which was acquired on September 2, 2022. All sales reported in our Corporate and other category are attributable to Noa Home, which generated substantially all of its sales outside of th e United States. During the second fiscal quarter of 2024 we concluded that Noa Home was not likely to achieve profitability in the foreseeable future and have ceased operations as of November 30, 2024 by selling th e remaining inventory in an orderly fashion over the second half of fi scal 2024.</w:t>
      </w:r>
    </w:p>
    <w:p>
      <w:pPr>
        <w:spacing w:after="0" w:line="303" w:lineRule="exact"/>
        <w:rPr>
          <w:sz w:val="20"/>
          <w:szCs w:val="20"/>
          <w:color w:val="auto"/>
        </w:rPr>
      </w:pPr>
    </w:p>
    <w:p>
      <w:pPr>
        <w:jc w:val="both"/>
        <w:ind w:right="760" w:firstLine="5"/>
        <w:spacing w:after="0" w:line="257" w:lineRule="auto"/>
        <w:rPr>
          <w:sz w:val="20"/>
          <w:szCs w:val="20"/>
          <w:color w:val="auto"/>
        </w:rPr>
      </w:pPr>
      <w:r>
        <w:rPr>
          <w:rFonts w:ascii="Times New Roman" w:cs="Times New Roman" w:eastAsia="Times New Roman" w:hAnsi="Times New Roman"/>
          <w:sz w:val="12"/>
          <w:szCs w:val="12"/>
          <w:color w:val="auto"/>
        </w:rPr>
        <w:t>Inter-company net sales elimination represents th e elimination of wholesale sales to our Company-owned stores . Inter-company income elimination includes th e embedded wholesale profit in the Company-owned store inventory that has not been realized. These profits will be record ed when merchandise is delivered to th e retail consumer. The inter-company income elimination also includes rent paid by our retail stores occupying Company-owned real estate.</w:t>
      </w:r>
    </w:p>
    <w:p>
      <w:pPr>
        <w:spacing w:after="0" w:line="153" w:lineRule="exact"/>
        <w:rPr>
          <w:sz w:val="20"/>
          <w:szCs w:val="20"/>
          <w:color w:val="auto"/>
        </w:rPr>
      </w:pPr>
    </w:p>
    <w:p>
      <w:pPr>
        <w:jc w:val="both"/>
        <w:ind w:left="20" w:right="780" w:hanging="4"/>
        <w:spacing w:after="0" w:line="256" w:lineRule="auto"/>
        <w:rPr>
          <w:sz w:val="20"/>
          <w:szCs w:val="20"/>
          <w:color w:val="auto"/>
        </w:rPr>
      </w:pPr>
      <w:r>
        <w:rPr>
          <w:rFonts w:ascii="Times New Roman" w:cs="Times New Roman" w:eastAsia="Times New Roman" w:hAnsi="Times New Roman"/>
          <w:sz w:val="12"/>
          <w:szCs w:val="12"/>
          <w:color w:val="auto"/>
        </w:rPr>
        <w:t>Our former logistical services segment which represented the operations of Zenith is presented as a discontinued operation in the accompanying condensed consolidated statements of operations (see Note 18).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Notes to Consolidated Financial Statements -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 sands, except share and per share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segment information for each of the last three fiscal years: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585454"/>
            </w:tcBorders>
          </w:tcPr>
          <w:p>
            <w:pPr>
              <w:spacing w:after="0"/>
              <w:rPr>
                <w:sz w:val="12"/>
                <w:szCs w:val="12"/>
                <w:color w:val="auto"/>
              </w:rPr>
            </w:pPr>
          </w:p>
        </w:tc>
        <w:tc>
          <w:tcPr>
            <w:tcW w:w="680" w:type="dxa"/>
            <w:vAlign w:val="bottom"/>
            <w:tcBorders>
              <w:bottom w:val="single" w:sz="8" w:color="585454"/>
            </w:tcBorders>
          </w:tcPr>
          <w:p>
            <w:pPr>
              <w:jc w:val="right"/>
              <w:ind w:right="278"/>
              <w:spacing w:after="0"/>
              <w:rPr>
                <w:sz w:val="20"/>
                <w:szCs w:val="20"/>
                <w:color w:val="auto"/>
              </w:rPr>
            </w:pPr>
            <w:r>
              <w:rPr>
                <w:rFonts w:ascii="Times New Roman" w:cs="Times New Roman" w:eastAsia="Times New Roman" w:hAnsi="Times New Roman"/>
                <w:sz w:val="12"/>
                <w:szCs w:val="12"/>
                <w:color w:val="auto"/>
              </w:rPr>
              <w:t>2024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300" w:type="dxa"/>
            <w:vAlign w:val="bottom"/>
            <w:tcBorders>
              <w:bottom w:val="single" w:sz="8" w:color="585454"/>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585454"/>
            </w:tcBorders>
          </w:tcPr>
          <w:p>
            <w:pPr>
              <w:spacing w:after="0"/>
              <w:rPr>
                <w:sz w:val="12"/>
                <w:szCs w:val="12"/>
                <w:color w:val="auto"/>
              </w:rPr>
            </w:pPr>
          </w:p>
        </w:tc>
        <w:tc>
          <w:tcPr>
            <w:tcW w:w="640" w:type="dxa"/>
            <w:vAlign w:val="bottom"/>
            <w:tcBorders>
              <w:bottom w:val="single" w:sz="8" w:color="585454"/>
            </w:tcBorders>
          </w:tcPr>
          <w:p>
            <w:pPr>
              <w:jc w:val="right"/>
              <w:ind w:right="278"/>
              <w:spacing w:after="0"/>
              <w:rPr>
                <w:sz w:val="20"/>
                <w:szCs w:val="20"/>
                <w:color w:val="auto"/>
              </w:rPr>
            </w:pPr>
            <w:r>
              <w:rPr>
                <w:rFonts w:ascii="Times New Roman" w:cs="Times New Roman" w:eastAsia="Times New Roman" w:hAnsi="Times New Roman"/>
                <w:sz w:val="12"/>
                <w:szCs w:val="12"/>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Sales Revenue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Wholesale sales of furniture and accessories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207,462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248,911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324,569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Less: Sales to retail segment</w:t>
            </w:r>
          </w:p>
        </w:tc>
        <w:tc>
          <w:tcPr>
            <w:tcW w:w="22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(87,021)</w:t>
            </w:r>
          </w:p>
        </w:tc>
        <w:tc>
          <w:tcPr>
            <w:tcW w:w="20" w:type="dxa"/>
            <w:vAlign w:val="bottom"/>
          </w:tcPr>
          <w:p>
            <w:pPr>
              <w:spacing w:after="0"/>
              <w:rPr>
                <w:sz w:val="12"/>
                <w:szCs w:val="12"/>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(103 ,519)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(125,889)</w:t>
            </w:r>
          </w:p>
        </w:tc>
        <w:tc>
          <w:tcPr>
            <w:tcW w:w="0" w:type="dxa"/>
            <w:vAlign w:val="bottom"/>
          </w:tcPr>
          <w:p>
            <w:pPr>
              <w:spacing w:after="0"/>
              <w:rPr>
                <w:sz w:val="1"/>
                <w:szCs w:val="1"/>
                <w:color w:val="auto"/>
              </w:rPr>
            </w:pPr>
          </w:p>
        </w:tc>
      </w:tr>
      <w:tr>
        <w:trPr>
          <w:trHeight w:val="140"/>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Wholesa le sales to external customers</w:t>
            </w:r>
          </w:p>
        </w:tc>
        <w:tc>
          <w:tcPr>
            <w:tcW w:w="220" w:type="dxa"/>
            <w:vAlign w:val="bottom"/>
            <w:tcBorders>
              <w:top w:val="single" w:sz="8" w:color="585458"/>
            </w:tcBorders>
          </w:tcPr>
          <w:p>
            <w:pPr>
              <w:spacing w:after="0"/>
              <w:rPr>
                <w:sz w:val="12"/>
                <w:szCs w:val="12"/>
                <w:color w:val="auto"/>
              </w:rPr>
            </w:pPr>
          </w:p>
        </w:tc>
        <w:tc>
          <w:tcPr>
            <w:tcW w:w="680" w:type="dxa"/>
            <w:vAlign w:val="bottom"/>
            <w:tcBorders>
              <w:top w:val="single" w:sz="8" w:color="585458"/>
            </w:tcBorders>
          </w:tcPr>
          <w:p>
            <w:pPr>
              <w:jc w:val="right"/>
              <w:spacing w:after="0"/>
              <w:rPr>
                <w:sz w:val="20"/>
                <w:szCs w:val="20"/>
                <w:color w:val="auto"/>
              </w:rPr>
            </w:pPr>
            <w:r>
              <w:rPr>
                <w:rFonts w:ascii="Times New Roman" w:cs="Times New Roman" w:eastAsia="Times New Roman" w:hAnsi="Times New Roman"/>
                <w:sz w:val="12"/>
                <w:szCs w:val="12"/>
                <w:color w:val="auto"/>
              </w:rPr>
              <w:t>120,441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585458"/>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145 ,392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585454"/>
            </w:tcBorders>
          </w:tcPr>
          <w:p>
            <w:pPr>
              <w:spacing w:after="0"/>
              <w:rPr>
                <w:sz w:val="12"/>
                <w:szCs w:val="12"/>
                <w:color w:val="auto"/>
              </w:rPr>
            </w:pPr>
          </w:p>
        </w:tc>
        <w:tc>
          <w:tcPr>
            <w:tcW w:w="640" w:type="dxa"/>
            <w:vAlign w:val="bottom"/>
            <w:tcBorders>
              <w:top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198,680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Retail sales of furniture and accessories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204 ,563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235,940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285,119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Corporate </w:t>
            </w:r>
            <w:r>
              <w:rPr>
                <w:rFonts w:ascii="Arial" w:cs="Arial" w:eastAsia="Arial" w:hAnsi="Arial"/>
                <w:sz w:val="11"/>
                <w:szCs w:val="11"/>
                <w:color w:val="auto"/>
              </w:rPr>
              <w:t>&amp;</w:t>
            </w:r>
            <w:r>
              <w:rPr>
                <w:rFonts w:ascii="Times New Roman" w:cs="Times New Roman" w:eastAsia="Times New Roman" w:hAnsi="Times New Roman"/>
                <w:sz w:val="12"/>
                <w:szCs w:val="12"/>
                <w:color w:val="auto"/>
              </w:rPr>
              <w:t xml:space="preserve"> Other- Noa Home</w:t>
            </w:r>
          </w:p>
        </w:tc>
        <w:tc>
          <w:tcPr>
            <w:tcW w:w="220" w:type="dxa"/>
            <w:vAlign w:val="bottom"/>
            <w:tcBorders>
              <w:bottom w:val="single" w:sz="8" w:color="6C6868"/>
            </w:tcBorders>
          </w:tcPr>
          <w:p>
            <w:pPr>
              <w:spacing w:after="0"/>
              <w:rPr>
                <w:sz w:val="12"/>
                <w:szCs w:val="12"/>
                <w:color w:val="auto"/>
              </w:rPr>
            </w:pPr>
          </w:p>
        </w:tc>
        <w:tc>
          <w:tcPr>
            <w:tcW w:w="680" w:type="dxa"/>
            <w:vAlign w:val="bottom"/>
            <w:tcBorders>
              <w:bottom w:val="single" w:sz="8" w:color="6C6868"/>
            </w:tcBorders>
          </w:tcPr>
          <w:p>
            <w:pPr>
              <w:jc w:val="right"/>
              <w:spacing w:after="0"/>
              <w:rPr>
                <w:sz w:val="20"/>
                <w:szCs w:val="20"/>
                <w:color w:val="auto"/>
              </w:rPr>
            </w:pPr>
            <w:r>
              <w:rPr>
                <w:rFonts w:ascii="Times New Roman" w:cs="Times New Roman" w:eastAsia="Times New Roman" w:hAnsi="Times New Roman"/>
                <w:sz w:val="12"/>
                <w:szCs w:val="12"/>
                <w:color w:val="auto"/>
              </w:rPr>
              <w:t>4,919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bottom w:val="single" w:sz="8" w:color="6C6868"/>
            </w:tcBorders>
            <w:gridSpan w:val="2"/>
          </w:tcPr>
          <w:p>
            <w:pPr>
              <w:jc w:val="right"/>
              <w:spacing w:after="0"/>
              <w:rPr>
                <w:sz w:val="20"/>
                <w:szCs w:val="20"/>
                <w:color w:val="auto"/>
              </w:rPr>
            </w:pPr>
            <w:r>
              <w:rPr>
                <w:rFonts w:ascii="Times New Roman" w:cs="Times New Roman" w:eastAsia="Times New Roman" w:hAnsi="Times New Roman"/>
                <w:sz w:val="12"/>
                <w:szCs w:val="12"/>
                <w:color w:val="auto"/>
              </w:rPr>
              <w:t>8,804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6C6868"/>
            </w:tcBorders>
          </w:tcPr>
          <w:p>
            <w:pPr>
              <w:spacing w:after="0"/>
              <w:rPr>
                <w:sz w:val="12"/>
                <w:szCs w:val="12"/>
                <w:color w:val="auto"/>
              </w:rPr>
            </w:pPr>
          </w:p>
        </w:tc>
        <w:tc>
          <w:tcPr>
            <w:tcW w:w="640" w:type="dxa"/>
            <w:vAlign w:val="bottom"/>
            <w:tcBorders>
              <w:bottom w:val="single" w:sz="8" w:color="6C6868"/>
            </w:tcBorders>
          </w:tcPr>
          <w:p>
            <w:pPr>
              <w:jc w:val="right"/>
              <w:spacing w:after="0"/>
              <w:rPr>
                <w:sz w:val="20"/>
                <w:szCs w:val="20"/>
                <w:color w:val="auto"/>
              </w:rPr>
            </w:pPr>
            <w:r>
              <w:rPr>
                <w:rFonts w:ascii="Times New Roman" w:cs="Times New Roman" w:eastAsia="Times New Roman" w:hAnsi="Times New Roman"/>
                <w:sz w:val="12"/>
                <w:szCs w:val="12"/>
                <w:color w:val="auto"/>
              </w:rPr>
              <w:t>1,802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Consolidated net sa les of furniture and accessories</w:t>
            </w:r>
          </w:p>
        </w:tc>
        <w:tc>
          <w:tcPr>
            <w:tcW w:w="240" w:type="dxa"/>
            <w:vAlign w:val="bottom"/>
            <w:tcBorders>
              <w:bottom w:val="single" w:sz="8" w:color="646464"/>
            </w:tcBorders>
            <w:gridSpan w:val="2"/>
          </w:tcPr>
          <w:p>
            <w:pPr>
              <w:spacing w:after="0"/>
              <w:rPr>
                <w:sz w:val="13"/>
                <w:szCs w:val="13"/>
                <w:color w:val="auto"/>
              </w:rPr>
            </w:pPr>
          </w:p>
        </w:tc>
        <w:tc>
          <w:tcPr>
            <w:tcW w:w="680" w:type="dxa"/>
            <w:vAlign w:val="bottom"/>
            <w:tcBorders>
              <w:bottom w:val="single" w:sz="8" w:color="646464"/>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329,923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bottom w:val="single" w:sz="8" w:color="646464"/>
            </w:tcBorders>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390, 136</w:t>
            </w:r>
          </w:p>
        </w:tc>
        <w:tc>
          <w:tcPr>
            <w:tcW w:w="20" w:type="dxa"/>
            <w:vAlign w:val="bottom"/>
            <w:tcBorders>
              <w:bottom w:val="single" w:sz="8" w:color="646464"/>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585458"/>
            </w:tcBorders>
          </w:tcPr>
          <w:p>
            <w:pPr>
              <w:spacing w:after="0"/>
              <w:rPr>
                <w:sz w:val="13"/>
                <w:szCs w:val="13"/>
                <w:color w:val="auto"/>
              </w:rPr>
            </w:pPr>
          </w:p>
        </w:tc>
        <w:tc>
          <w:tcPr>
            <w:tcW w:w="640" w:type="dxa"/>
            <w:vAlign w:val="bottom"/>
            <w:tcBorders>
              <w:bottom w:val="single" w:sz="8" w:color="585458"/>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 xml:space="preserve">485 ,60 </w:t>
            </w:r>
            <w:r>
              <w:rPr>
                <w:rFonts w:ascii="Arial" w:cs="Arial" w:eastAsia="Arial" w:hAnsi="Arial"/>
                <w:sz w:val="11"/>
                <w:szCs w:val="11"/>
                <w:color w:val="auto"/>
              </w:rPr>
              <w:t>I</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8"/>
        </w:trPr>
        <w:tc>
          <w:tcPr>
            <w:tcW w:w="3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Income (loss) from Continuing Operations before Income Taxes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2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Income (loss) from Continuing Operations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Wholesale</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25,357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30,699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41 ,979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Retail</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(6,604)</w:t>
            </w:r>
          </w:p>
        </w:tc>
        <w:tc>
          <w:tcPr>
            <w:tcW w:w="20" w:type="dxa"/>
            <w:vAlign w:val="bottom"/>
          </w:tcPr>
          <w:p>
            <w:pPr>
              <w:spacing w:after="0"/>
              <w:rPr>
                <w:sz w:val="12"/>
                <w:szCs w:val="12"/>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(536)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Net expenses - Corporate and other</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(28,456)</w:t>
            </w:r>
          </w:p>
        </w:tc>
        <w:tc>
          <w:tcPr>
            <w:tcW w:w="20" w:type="dxa"/>
            <w:vAlign w:val="bottom"/>
          </w:tcPr>
          <w:p>
            <w:pPr>
              <w:spacing w:after="0"/>
              <w:rPr>
                <w:sz w:val="12"/>
                <w:szCs w:val="12"/>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(29,926)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(30,997)</w:t>
            </w:r>
          </w:p>
        </w:tc>
        <w:tc>
          <w:tcPr>
            <w:tcW w:w="0" w:type="dxa"/>
            <w:vAlign w:val="bottom"/>
          </w:tcPr>
          <w:p>
            <w:pPr>
              <w:spacing w:after="0"/>
              <w:rPr>
                <w:sz w:val="1"/>
                <w:szCs w:val="1"/>
                <w:color w:val="auto"/>
              </w:rPr>
            </w:pPr>
          </w:p>
        </w:tc>
      </w:tr>
      <w:tr>
        <w:trPr>
          <w:trHeight w:val="149"/>
        </w:trPr>
        <w:tc>
          <w:tcPr>
            <w:tcW w:w="362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Inter-company elimination</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1,59 1</w:t>
            </w:r>
          </w:p>
        </w:tc>
        <w:tc>
          <w:tcPr>
            <w:tcW w:w="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1,024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0" w:type="dxa"/>
            <w:vAlign w:val="bottom"/>
          </w:tcPr>
          <w:p>
            <w:pPr>
              <w:spacing w:after="0"/>
              <w:rPr>
                <w:sz w:val="1"/>
                <w:szCs w:val="1"/>
                <w:color w:val="auto"/>
              </w:rPr>
            </w:pPr>
          </w:p>
        </w:tc>
      </w:tr>
      <w:tr>
        <w:trPr>
          <w:trHeight w:val="149"/>
        </w:trPr>
        <w:tc>
          <w:tcPr>
            <w:tcW w:w="36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Asset impairment charges</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(5,515)</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Loss on contract abandonment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(1 ,240)</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Loss upon reali zation of cumulative translation adjustment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(962)</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Restructuring charges</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(440)</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Gain on reva luation of contingent consideration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1,013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Goodwill impairment charge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(5,409)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Gain on sale of real estate</w:t>
            </w:r>
          </w:p>
        </w:tc>
        <w:tc>
          <w:tcPr>
            <w:tcW w:w="220" w:type="dxa"/>
            <w:vAlign w:val="bottom"/>
            <w:tcBorders>
              <w:bottom w:val="single" w:sz="8" w:color="585454"/>
            </w:tcBorders>
          </w:tcPr>
          <w:p>
            <w:pPr>
              <w:spacing w:after="0"/>
              <w:rPr>
                <w:sz w:val="12"/>
                <w:szCs w:val="12"/>
                <w:color w:val="auto"/>
              </w:rPr>
            </w:pPr>
          </w:p>
        </w:tc>
        <w:tc>
          <w:tcPr>
            <w:tcW w:w="680" w:type="dxa"/>
            <w:vAlign w:val="bottom"/>
            <w:tcBorders>
              <w:bottom w:val="single" w:sz="8" w:color="585454"/>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585454"/>
            </w:tcBorders>
          </w:tcPr>
          <w:p>
            <w:pPr>
              <w:spacing w:after="0"/>
              <w:rPr>
                <w:sz w:val="12"/>
                <w:szCs w:val="12"/>
                <w:color w:val="auto"/>
              </w:rPr>
            </w:pPr>
          </w:p>
        </w:tc>
        <w:tc>
          <w:tcPr>
            <w:tcW w:w="64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4,595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Consolidated income (loss) from continuing operations</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(16,269)</w:t>
            </w:r>
          </w:p>
        </w:tc>
        <w:tc>
          <w:tcPr>
            <w:tcW w:w="20" w:type="dxa"/>
            <w:vAlign w:val="bottom"/>
          </w:tcPr>
          <w:p>
            <w:pPr>
              <w:spacing w:after="0"/>
              <w:rPr>
                <w:sz w:val="12"/>
                <w:szCs w:val="12"/>
                <w:color w:val="auto"/>
              </w:rPr>
            </w:pPr>
          </w:p>
        </w:tc>
        <w:tc>
          <w:tcPr>
            <w:tcW w:w="980" w:type="dxa"/>
            <w:vAlign w:val="bottom"/>
            <w:gridSpan w:val="4"/>
          </w:tcPr>
          <w:p>
            <w:pPr>
              <w:ind w:left="580"/>
              <w:spacing w:after="0"/>
              <w:rPr>
                <w:sz w:val="20"/>
                <w:szCs w:val="20"/>
                <w:color w:val="auto"/>
              </w:rPr>
            </w:pPr>
            <w:r>
              <w:rPr>
                <w:rFonts w:ascii="Times New Roman" w:cs="Times New Roman" w:eastAsia="Times New Roman" w:hAnsi="Times New Roman"/>
                <w:sz w:val="12"/>
                <w:szCs w:val="12"/>
                <w:color w:val="auto"/>
                <w:w w:val="99"/>
              </w:rPr>
              <w:t>(3, 135)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3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2,528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(30)</w:t>
            </w:r>
          </w:p>
        </w:tc>
        <w:tc>
          <w:tcPr>
            <w:tcW w:w="20" w:type="dxa"/>
            <w:vAlign w:val="bottom"/>
          </w:tcPr>
          <w:p>
            <w:pPr>
              <w:spacing w:after="0"/>
              <w:rPr>
                <w:sz w:val="12"/>
                <w:szCs w:val="12"/>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(22)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147"/>
        </w:trPr>
        <w:tc>
          <w:tcPr>
            <w:tcW w:w="3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loss, net</w:t>
            </w:r>
          </w:p>
        </w:tc>
        <w:tc>
          <w:tcPr>
            <w:tcW w:w="22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(744)</w:t>
            </w:r>
          </w:p>
        </w:tc>
        <w:tc>
          <w:tcPr>
            <w:tcW w:w="20" w:type="dxa"/>
            <w:vAlign w:val="bottom"/>
          </w:tcPr>
          <w:p>
            <w:pPr>
              <w:spacing w:after="0"/>
              <w:rPr>
                <w:sz w:val="12"/>
                <w:szCs w:val="12"/>
                <w:color w:val="auto"/>
              </w:rPr>
            </w:pPr>
          </w:p>
        </w:tc>
        <w:tc>
          <w:tcPr>
            <w:tcW w:w="1040" w:type="dxa"/>
            <w:vAlign w:val="bottom"/>
            <w:gridSpan w:val="6"/>
          </w:tcPr>
          <w:p>
            <w:pPr>
              <w:ind w:left="580"/>
              <w:spacing w:after="0"/>
              <w:rPr>
                <w:sz w:val="20"/>
                <w:szCs w:val="20"/>
                <w:color w:val="auto"/>
              </w:rPr>
            </w:pPr>
            <w:r>
              <w:rPr>
                <w:rFonts w:ascii="Arial" w:cs="Arial" w:eastAsia="Arial" w:hAnsi="Arial"/>
                <w:sz w:val="11"/>
                <w:szCs w:val="11"/>
                <w:color w:val="auto"/>
              </w:rPr>
              <w:t xml:space="preserve">(I </w:t>
            </w:r>
            <w:r>
              <w:rPr>
                <w:rFonts w:ascii="Times New Roman" w:cs="Times New Roman" w:eastAsia="Times New Roman" w:hAnsi="Times New Roman"/>
                <w:sz w:val="12"/>
                <w:szCs w:val="12"/>
                <w:color w:val="auto"/>
              </w:rPr>
              <w:t>,859)</w:t>
            </w:r>
          </w:p>
        </w:tc>
        <w:tc>
          <w:tcPr>
            <w:tcW w:w="2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(1 ,067)</w:t>
            </w:r>
          </w:p>
        </w:tc>
        <w:tc>
          <w:tcPr>
            <w:tcW w:w="0" w:type="dxa"/>
            <w:vAlign w:val="bottom"/>
          </w:tcPr>
          <w:p>
            <w:pPr>
              <w:spacing w:after="0"/>
              <w:rPr>
                <w:sz w:val="1"/>
                <w:szCs w:val="1"/>
                <w:color w:val="auto"/>
              </w:rPr>
            </w:pPr>
          </w:p>
        </w:tc>
      </w:tr>
      <w:tr>
        <w:trPr>
          <w:trHeight w:val="20"/>
        </w:trPr>
        <w:tc>
          <w:tcPr>
            <w:tcW w:w="3400" w:type="dxa"/>
            <w:vAlign w:val="bottom"/>
            <w:gridSpan w:val="2"/>
          </w:tcPr>
          <w:p>
            <w:pPr>
              <w:spacing w:after="0" w:line="20" w:lineRule="exact"/>
              <w:rPr>
                <w:sz w:val="1"/>
                <w:szCs w:val="1"/>
                <w:color w:val="auto"/>
              </w:rPr>
            </w:pPr>
          </w:p>
        </w:tc>
        <w:tc>
          <w:tcPr>
            <w:tcW w:w="220" w:type="dxa"/>
            <w:vAlign w:val="bottom"/>
            <w:shd w:val="clear" w:color="auto" w:fill="585458"/>
          </w:tcPr>
          <w:p>
            <w:pPr>
              <w:spacing w:after="0" w:line="20" w:lineRule="exact"/>
              <w:rPr>
                <w:sz w:val="1"/>
                <w:szCs w:val="1"/>
                <w:color w:val="auto"/>
              </w:rPr>
            </w:pPr>
          </w:p>
        </w:tc>
        <w:tc>
          <w:tcPr>
            <w:tcW w:w="680" w:type="dxa"/>
            <w:vAlign w:val="bottom"/>
            <w:shd w:val="clear" w:color="auto" w:fill="58545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3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auto"/>
              </w:rPr>
              <w:t>Consolidated income (loss) from continuing operations before</w:t>
            </w:r>
          </w:p>
        </w:tc>
        <w:tc>
          <w:tcPr>
            <w:tcW w:w="220" w:type="dxa"/>
            <w:vAlign w:val="bottom"/>
            <w:vMerge w:val="restart"/>
          </w:tcPr>
          <w:p>
            <w:pPr>
              <w:spacing w:after="0"/>
              <w:rPr>
                <w:sz w:val="6"/>
                <w:szCs w:val="6"/>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(14,370)</w:t>
            </w: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3400" w:type="dxa"/>
            <w:vAlign w:val="bottom"/>
            <w:gridSpan w:val="2"/>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(2,488)</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34,062</w:t>
            </w: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3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income taxes</w:t>
            </w:r>
          </w:p>
        </w:tc>
        <w:tc>
          <w:tcPr>
            <w:tcW w:w="240" w:type="dxa"/>
            <w:vAlign w:val="bottom"/>
            <w:gridSpan w:val="2"/>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40" w:type="dxa"/>
            <w:vAlign w:val="bottom"/>
            <w:tcBorders>
              <w:top w:val="single" w:sz="8" w:color="686464"/>
            </w:tcBorders>
            <w:gridSpan w:val="2"/>
          </w:tcPr>
          <w:p>
            <w:pPr>
              <w:spacing w:after="0"/>
              <w:rPr>
                <w:sz w:val="24"/>
                <w:szCs w:val="24"/>
                <w:color w:val="auto"/>
              </w:rPr>
            </w:pPr>
          </w:p>
        </w:tc>
        <w:tc>
          <w:tcPr>
            <w:tcW w:w="680" w:type="dxa"/>
            <w:vAlign w:val="bottom"/>
            <w:tcBorders>
              <w:top w:val="single" w:sz="8" w:color="686464"/>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585458"/>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585458"/>
            </w:tcBorders>
          </w:tcPr>
          <w:p>
            <w:pPr>
              <w:spacing w:after="0"/>
              <w:rPr>
                <w:sz w:val="24"/>
                <w:szCs w:val="24"/>
                <w:color w:val="auto"/>
              </w:rPr>
            </w:pPr>
          </w:p>
        </w:tc>
        <w:tc>
          <w:tcPr>
            <w:tcW w:w="40" w:type="dxa"/>
            <w:vAlign w:val="bottom"/>
            <w:tcBorders>
              <w:top w:val="single" w:sz="8" w:color="585458"/>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2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Wholesale</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2,455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Retail</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5,502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Corporate and other</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2,184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Discontinued operations</w:t>
            </w:r>
          </w:p>
        </w:tc>
        <w:tc>
          <w:tcPr>
            <w:tcW w:w="220" w:type="dxa"/>
            <w:vAlign w:val="bottom"/>
            <w:tcBorders>
              <w:bottom w:val="single" w:sz="8" w:color="585454"/>
            </w:tcBorders>
          </w:tcPr>
          <w:p>
            <w:pPr>
              <w:spacing w:after="0"/>
              <w:rPr>
                <w:sz w:val="12"/>
                <w:szCs w:val="12"/>
                <w:color w:val="auto"/>
              </w:rPr>
            </w:pPr>
          </w:p>
        </w:tc>
        <w:tc>
          <w:tcPr>
            <w:tcW w:w="680" w:type="dxa"/>
            <w:vAlign w:val="bottom"/>
            <w:tcBorders>
              <w:bottom w:val="single" w:sz="8" w:color="585454"/>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585454"/>
            </w:tcBorders>
          </w:tcPr>
          <w:p>
            <w:pPr>
              <w:spacing w:after="0"/>
              <w:rPr>
                <w:sz w:val="12"/>
                <w:szCs w:val="12"/>
                <w:color w:val="auto"/>
              </w:rPr>
            </w:pPr>
          </w:p>
        </w:tc>
        <w:tc>
          <w:tcPr>
            <w:tcW w:w="300" w:type="dxa"/>
            <w:vAlign w:val="bottom"/>
            <w:tcBorders>
              <w:bottom w:val="single" w:sz="8" w:color="585454"/>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585454"/>
            </w:tcBorders>
          </w:tcPr>
          <w:p>
            <w:pPr>
              <w:spacing w:after="0"/>
              <w:rPr>
                <w:sz w:val="12"/>
                <w:szCs w:val="12"/>
                <w:color w:val="auto"/>
              </w:rPr>
            </w:pPr>
          </w:p>
        </w:tc>
        <w:tc>
          <w:tcPr>
            <w:tcW w:w="640" w:type="dxa"/>
            <w:vAlign w:val="bottom"/>
            <w:tcBorders>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1,266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8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Consolidated</w:t>
            </w:r>
          </w:p>
        </w:tc>
        <w:tc>
          <w:tcPr>
            <w:tcW w:w="240" w:type="dxa"/>
            <w:vAlign w:val="bottom"/>
            <w:gridSpan w:val="2"/>
          </w:tcPr>
          <w:p>
            <w:pPr>
              <w:spacing w:after="0"/>
              <w:rPr>
                <w:sz w:val="13"/>
                <w:szCs w:val="13"/>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9,918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10,141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11 ,309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Capital Expenditures</w:t>
            </w:r>
          </w:p>
        </w:tc>
        <w:tc>
          <w:tcPr>
            <w:tcW w:w="240" w:type="dxa"/>
            <w:vAlign w:val="bottom"/>
            <w:tcBorders>
              <w:top w:val="single" w:sz="8" w:color="646464"/>
            </w:tcBorders>
            <w:gridSpan w:val="2"/>
          </w:tcPr>
          <w:p>
            <w:pPr>
              <w:spacing w:after="0"/>
              <w:rPr>
                <w:sz w:val="24"/>
                <w:szCs w:val="24"/>
                <w:color w:val="auto"/>
              </w:rPr>
            </w:pPr>
          </w:p>
        </w:tc>
        <w:tc>
          <w:tcPr>
            <w:tcW w:w="680" w:type="dxa"/>
            <w:vAlign w:val="bottom"/>
            <w:tcBorders>
              <w:top w:val="single" w:sz="8" w:color="646464"/>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585458"/>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585454"/>
            </w:tcBorders>
          </w:tcPr>
          <w:p>
            <w:pPr>
              <w:spacing w:after="0"/>
              <w:rPr>
                <w:sz w:val="24"/>
                <w:szCs w:val="24"/>
                <w:color w:val="auto"/>
              </w:rPr>
            </w:pPr>
          </w:p>
        </w:tc>
        <w:tc>
          <w:tcPr>
            <w:tcW w:w="20" w:type="dxa"/>
            <w:vAlign w:val="bottom"/>
            <w:tcBorders>
              <w:top w:val="single" w:sz="8" w:color="585454"/>
            </w:tcBorders>
          </w:tcPr>
          <w:p>
            <w:pPr>
              <w:spacing w:after="0"/>
              <w:rPr>
                <w:sz w:val="24"/>
                <w:szCs w:val="24"/>
                <w:color w:val="auto"/>
              </w:rPr>
            </w:pPr>
          </w:p>
        </w:tc>
        <w:tc>
          <w:tcPr>
            <w:tcW w:w="260" w:type="dxa"/>
            <w:vAlign w:val="bottom"/>
            <w:tcBorders>
              <w:top w:val="single" w:sz="8" w:color="585454"/>
            </w:tcBorders>
          </w:tcPr>
          <w:p>
            <w:pPr>
              <w:spacing w:after="0"/>
              <w:rPr>
                <w:sz w:val="24"/>
                <w:szCs w:val="24"/>
                <w:color w:val="auto"/>
              </w:rPr>
            </w:pPr>
          </w:p>
        </w:tc>
        <w:tc>
          <w:tcPr>
            <w:tcW w:w="640" w:type="dxa"/>
            <w:vAlign w:val="bottom"/>
            <w:tcBorders>
              <w:top w:val="single" w:sz="8" w:color="585454"/>
            </w:tcBorders>
          </w:tcPr>
          <w:p>
            <w:pPr>
              <w:spacing w:after="0"/>
              <w:rPr>
                <w:sz w:val="24"/>
                <w:szCs w:val="24"/>
                <w:color w:val="auto"/>
              </w:rPr>
            </w:pPr>
          </w:p>
        </w:tc>
        <w:tc>
          <w:tcPr>
            <w:tcW w:w="40" w:type="dxa"/>
            <w:vAlign w:val="bottom"/>
            <w:tcBorders>
              <w:top w:val="single" w:sz="8" w:color="585454"/>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2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Wholesale</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2,295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Retail</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9,877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4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Corporate and other</w:t>
            </w:r>
          </w:p>
        </w:tc>
        <w:tc>
          <w:tcPr>
            <w:tcW w:w="220" w:type="dxa"/>
            <w:vAlign w:val="bottom"/>
            <w:tcBorders>
              <w:bottom w:val="single" w:sz="8" w:color="242020"/>
            </w:tcBorders>
          </w:tcPr>
          <w:p>
            <w:pPr>
              <w:spacing w:after="0"/>
              <w:rPr>
                <w:sz w:val="13"/>
                <w:szCs w:val="13"/>
                <w:color w:val="auto"/>
              </w:rPr>
            </w:pPr>
          </w:p>
        </w:tc>
        <w:tc>
          <w:tcPr>
            <w:tcW w:w="680" w:type="dxa"/>
            <w:vAlign w:val="bottom"/>
            <w:tcBorders>
              <w:bottom w:val="single" w:sz="8" w:color="242020"/>
            </w:tcBorders>
          </w:tcPr>
          <w:p>
            <w:pPr>
              <w:jc w:val="right"/>
              <w:spacing w:after="0"/>
              <w:rPr>
                <w:sz w:val="20"/>
                <w:szCs w:val="20"/>
                <w:color w:val="auto"/>
              </w:rPr>
            </w:pPr>
            <w:r>
              <w:rPr>
                <w:rFonts w:ascii="Times New Roman" w:cs="Times New Roman" w:eastAsia="Times New Roman" w:hAnsi="Times New Roman"/>
                <w:sz w:val="12"/>
                <w:szCs w:val="12"/>
                <w:color w:val="auto"/>
              </w:rPr>
              <w:t>1,344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bottom w:val="single" w:sz="8" w:color="201C20"/>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5,317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201C20"/>
            </w:tcBorders>
          </w:tcPr>
          <w:p>
            <w:pPr>
              <w:spacing w:after="0"/>
              <w:rPr>
                <w:sz w:val="13"/>
                <w:szCs w:val="13"/>
                <w:color w:val="auto"/>
              </w:rPr>
            </w:pPr>
          </w:p>
        </w:tc>
        <w:tc>
          <w:tcPr>
            <w:tcW w:w="64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12"/>
                <w:szCs w:val="12"/>
                <w:color w:val="auto"/>
              </w:rPr>
              <w:t>5,238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3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Consolidated</w:t>
            </w:r>
          </w:p>
        </w:tc>
        <w:tc>
          <w:tcPr>
            <w:tcW w:w="240" w:type="dxa"/>
            <w:vAlign w:val="bottom"/>
            <w:tcBorders>
              <w:bottom w:val="single" w:sz="8" w:color="3C383C"/>
            </w:tcBorders>
            <w:gridSpan w:val="2"/>
          </w:tcPr>
          <w:p>
            <w:pPr>
              <w:spacing w:after="0"/>
              <w:rPr>
                <w:sz w:val="11"/>
                <w:szCs w:val="11"/>
                <w:color w:val="auto"/>
              </w:rPr>
            </w:pPr>
          </w:p>
        </w:tc>
        <w:tc>
          <w:tcPr>
            <w:tcW w:w="680" w:type="dxa"/>
            <w:vAlign w:val="bottom"/>
            <w:tcBorders>
              <w:bottom w:val="single" w:sz="8" w:color="3C383C"/>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5,211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17,489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444444"/>
            </w:tcBorders>
          </w:tcPr>
          <w:p>
            <w:pPr>
              <w:spacing w:after="0"/>
              <w:rPr>
                <w:sz w:val="11"/>
                <w:szCs w:val="11"/>
                <w:color w:val="auto"/>
              </w:rPr>
            </w:pPr>
          </w:p>
        </w:tc>
        <w:tc>
          <w:tcPr>
            <w:tcW w:w="20" w:type="dxa"/>
            <w:vAlign w:val="bottom"/>
            <w:tcBorders>
              <w:bottom w:val="single" w:sz="8" w:color="444444"/>
            </w:tcBorders>
          </w:tcPr>
          <w:p>
            <w:pPr>
              <w:spacing w:after="0"/>
              <w:rPr>
                <w:sz w:val="11"/>
                <w:szCs w:val="11"/>
                <w:color w:val="auto"/>
              </w:rPr>
            </w:pPr>
          </w:p>
        </w:tc>
        <w:tc>
          <w:tcPr>
            <w:tcW w:w="260" w:type="dxa"/>
            <w:vAlign w:val="bottom"/>
            <w:tcBorders>
              <w:bottom w:val="single" w:sz="8" w:color="444444"/>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444444"/>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21 ,296</w:t>
            </w:r>
          </w:p>
        </w:tc>
        <w:tc>
          <w:tcPr>
            <w:tcW w:w="40" w:type="dxa"/>
            <w:vAlign w:val="bottom"/>
            <w:tcBorders>
              <w:bottom w:val="single" w:sz="8" w:color="444444"/>
            </w:tcBorders>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3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Identifiable Assets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62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Wholesale</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88,533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99,004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125 ,433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62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Retail</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158,084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166,604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162,222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4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Corporate and Other</w:t>
            </w:r>
          </w:p>
        </w:tc>
        <w:tc>
          <w:tcPr>
            <w:tcW w:w="220" w:type="dxa"/>
            <w:vAlign w:val="bottom"/>
            <w:tcBorders>
              <w:bottom w:val="single" w:sz="8" w:color="242020"/>
            </w:tcBorders>
          </w:tcPr>
          <w:p>
            <w:pPr>
              <w:spacing w:after="0"/>
              <w:rPr>
                <w:sz w:val="13"/>
                <w:szCs w:val="13"/>
                <w:color w:val="auto"/>
              </w:rPr>
            </w:pPr>
          </w:p>
        </w:tc>
        <w:tc>
          <w:tcPr>
            <w:tcW w:w="680" w:type="dxa"/>
            <w:vAlign w:val="bottom"/>
            <w:tcBorders>
              <w:bottom w:val="single" w:sz="8" w:color="242020"/>
            </w:tcBorders>
          </w:tcPr>
          <w:p>
            <w:pPr>
              <w:jc w:val="right"/>
              <w:spacing w:after="0"/>
              <w:rPr>
                <w:sz w:val="20"/>
                <w:szCs w:val="20"/>
                <w:color w:val="auto"/>
              </w:rPr>
            </w:pPr>
            <w:r>
              <w:rPr>
                <w:rFonts w:ascii="Times New Roman" w:cs="Times New Roman" w:eastAsia="Times New Roman" w:hAnsi="Times New Roman"/>
                <w:sz w:val="12"/>
                <w:szCs w:val="12"/>
                <w:color w:val="auto"/>
              </w:rPr>
              <w:t>94,553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104,816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201C20"/>
            </w:tcBorders>
          </w:tcPr>
          <w:p>
            <w:pPr>
              <w:spacing w:after="0"/>
              <w:rPr>
                <w:sz w:val="13"/>
                <w:szCs w:val="13"/>
                <w:color w:val="auto"/>
              </w:rPr>
            </w:pPr>
          </w:p>
        </w:tc>
        <w:tc>
          <w:tcPr>
            <w:tcW w:w="640" w:type="dxa"/>
            <w:vAlign w:val="bottom"/>
            <w:tcBorders>
              <w:bottom w:val="single" w:sz="8" w:color="201C20"/>
            </w:tcBorders>
          </w:tcPr>
          <w:p>
            <w:pPr>
              <w:jc w:val="right"/>
              <w:spacing w:after="0"/>
              <w:rPr>
                <w:sz w:val="20"/>
                <w:szCs w:val="20"/>
                <w:color w:val="auto"/>
              </w:rPr>
            </w:pPr>
            <w:r>
              <w:rPr>
                <w:rFonts w:ascii="Times New Roman" w:cs="Times New Roman" w:eastAsia="Times New Roman" w:hAnsi="Times New Roman"/>
                <w:sz w:val="12"/>
                <w:szCs w:val="12"/>
                <w:color w:val="auto"/>
              </w:rPr>
              <w:t>118,618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38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Consolidated</w:t>
            </w:r>
          </w:p>
        </w:tc>
        <w:tc>
          <w:tcPr>
            <w:tcW w:w="240" w:type="dxa"/>
            <w:vAlign w:val="bottom"/>
            <w:tcBorders>
              <w:bottom w:val="single" w:sz="8" w:color="3C3C3C"/>
            </w:tcBorders>
            <w:gridSpan w:val="2"/>
          </w:tcPr>
          <w:p>
            <w:pPr>
              <w:spacing w:after="0"/>
              <w:rPr>
                <w:sz w:val="11"/>
                <w:szCs w:val="11"/>
                <w:color w:val="auto"/>
              </w:rPr>
            </w:pPr>
          </w:p>
        </w:tc>
        <w:tc>
          <w:tcPr>
            <w:tcW w:w="680" w:type="dxa"/>
            <w:vAlign w:val="bottom"/>
            <w:tcBorders>
              <w:bottom w:val="single" w:sz="8" w:color="3C3C3C"/>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341 , 170</w:t>
            </w:r>
          </w:p>
        </w:tc>
        <w:tc>
          <w:tcPr>
            <w:tcW w:w="100" w:type="dxa"/>
            <w:vAlign w:val="bottom"/>
          </w:tcPr>
          <w:p>
            <w:pPr>
              <w:spacing w:after="0"/>
              <w:rPr>
                <w:sz w:val="11"/>
                <w:szCs w:val="11"/>
                <w:color w:val="auto"/>
              </w:rPr>
            </w:pPr>
          </w:p>
        </w:tc>
        <w:tc>
          <w:tcPr>
            <w:tcW w:w="20" w:type="dxa"/>
            <w:vAlign w:val="bottom"/>
            <w:tcBorders>
              <w:bottom w:val="single" w:sz="8" w:color="403C3C"/>
            </w:tcBorders>
          </w:tcPr>
          <w:p>
            <w:pPr>
              <w:spacing w:after="0"/>
              <w:rPr>
                <w:sz w:val="11"/>
                <w:szCs w:val="11"/>
                <w:color w:val="auto"/>
              </w:rPr>
            </w:pPr>
          </w:p>
        </w:tc>
        <w:tc>
          <w:tcPr>
            <w:tcW w:w="900" w:type="dxa"/>
            <w:vAlign w:val="bottom"/>
            <w:tcBorders>
              <w:bottom w:val="single" w:sz="8" w:color="403C3C"/>
            </w:tcBorders>
            <w:gridSpan w:val="2"/>
          </w:tcPr>
          <w:p>
            <w:pPr>
              <w:jc w:val="right"/>
              <w:spacing w:after="0" w:line="118" w:lineRule="exact"/>
              <w:rPr>
                <w:sz w:val="20"/>
                <w:szCs w:val="20"/>
                <w:color w:val="auto"/>
              </w:rPr>
            </w:pPr>
            <w:r>
              <w:rPr>
                <w:rFonts w:ascii="Times New Roman" w:cs="Times New Roman" w:eastAsia="Times New Roman" w:hAnsi="Times New Roman"/>
                <w:sz w:val="12"/>
                <w:szCs w:val="12"/>
                <w:color w:val="auto"/>
              </w:rPr>
              <w:t>370,424</w:t>
            </w:r>
          </w:p>
        </w:tc>
        <w:tc>
          <w:tcPr>
            <w:tcW w:w="20" w:type="dxa"/>
            <w:vAlign w:val="bottom"/>
            <w:tcBorders>
              <w:bottom w:val="single" w:sz="8" w:color="403C3C"/>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3C3838"/>
            </w:tcBorders>
          </w:tcPr>
          <w:p>
            <w:pPr>
              <w:spacing w:after="0"/>
              <w:rPr>
                <w:sz w:val="11"/>
                <w:szCs w:val="11"/>
                <w:color w:val="auto"/>
              </w:rPr>
            </w:pPr>
          </w:p>
        </w:tc>
        <w:tc>
          <w:tcPr>
            <w:tcW w:w="260" w:type="dxa"/>
            <w:vAlign w:val="bottom"/>
            <w:tcBorders>
              <w:bottom w:val="single" w:sz="8" w:color="3C3838"/>
            </w:tcBorders>
          </w:tcPr>
          <w:p>
            <w:pPr>
              <w:jc w:val="right"/>
              <w:ind w:right="143"/>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3C3838"/>
            </w:tcBorders>
          </w:tcPr>
          <w:p>
            <w:pPr>
              <w:jc w:val="right"/>
              <w:spacing w:after="0" w:line="118" w:lineRule="exact"/>
              <w:rPr>
                <w:sz w:val="20"/>
                <w:szCs w:val="20"/>
                <w:color w:val="auto"/>
              </w:rPr>
            </w:pPr>
            <w:r>
              <w:rPr>
                <w:rFonts w:ascii="Times New Roman" w:cs="Times New Roman" w:eastAsia="Times New Roman" w:hAnsi="Times New Roman"/>
                <w:sz w:val="12"/>
                <w:szCs w:val="12"/>
                <w:color w:val="auto"/>
              </w:rPr>
              <w:t>406,273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firstLine="3"/>
        <w:spacing w:after="0" w:line="256" w:lineRule="auto"/>
        <w:rPr>
          <w:sz w:val="20"/>
          <w:szCs w:val="20"/>
          <w:color w:val="auto"/>
        </w:rPr>
      </w:pPr>
      <w:r>
        <w:rPr>
          <w:rFonts w:ascii="Times New Roman" w:cs="Times New Roman" w:eastAsia="Times New Roman" w:hAnsi="Times New Roman"/>
          <w:sz w:val="12"/>
          <w:szCs w:val="12"/>
          <w:color w:val="auto"/>
        </w:rPr>
        <w:t>See Note 20 for disaggregated revenu e information regarding sales of furniture and accessories by product type for the wholesale and retail segments.</w:t>
      </w:r>
    </w:p>
    <w:p>
      <w:pPr>
        <w:spacing w:after="0" w:line="200" w:lineRule="exact"/>
        <w:rPr>
          <w:sz w:val="20"/>
          <w:szCs w:val="20"/>
          <w:color w:val="auto"/>
        </w:rPr>
      </w:pPr>
    </w:p>
    <w:p>
      <w:pPr>
        <w:sectPr>
          <w:pgSz w:w="15840" w:h="12240" w:orient="landscape"/>
          <w:cols w:equalWidth="0" w:num="2">
            <w:col w:w="7200" w:space="720"/>
            <w:col w:w="6440"/>
          </w:cols>
          <w:pgMar w:left="740" w:top="1440" w:right="740" w:bottom="898" w:gutter="0" w:footer="0" w:header="0"/>
        </w:sectPr>
      </w:pPr>
    </w:p>
    <w:p>
      <w:pPr>
        <w:spacing w:after="0" w:line="267"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47</w:t>
      </w:r>
      <w:r>
        <w:rPr>
          <w:sz w:val="20"/>
          <w:szCs w:val="20"/>
          <w:color w:val="auto"/>
        </w:rPr>
        <w:tab/>
      </w:r>
      <w:r>
        <w:rPr>
          <w:rFonts w:ascii="Times New Roman" w:cs="Times New Roman" w:eastAsia="Times New Roman" w:hAnsi="Times New Roman"/>
          <w:sz w:val="12"/>
          <w:szCs w:val="12"/>
          <w:color w:val="auto"/>
        </w:rPr>
        <w:t>48</w:t>
      </w:r>
    </w:p>
    <w:p>
      <w:pPr>
        <w:sectPr>
          <w:pgSz w:w="15840" w:h="12240" w:orient="landscape"/>
          <w:cols w:equalWidth="0" w:num="1">
            <w:col w:w="14360"/>
          </w:cols>
          <w:pgMar w:left="740" w:top="1440" w:right="740" w:bottom="898" w:gutter="0" w:footer="0" w:header="0"/>
          <w:type w:val="continuous"/>
        </w:sectPr>
      </w:pPr>
    </w:p>
    <w:bookmarkStart w:id="28" w:name="page29"/>
    <w:bookmarkEnd w:id="28"/>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thousands, except share and per share data)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20. Revenue Recognition</w:t>
      </w:r>
    </w:p>
    <w:p>
      <w:pPr>
        <w:spacing w:after="0" w:line="161" w:lineRule="exact"/>
        <w:rPr>
          <w:sz w:val="20"/>
          <w:szCs w:val="20"/>
          <w:color w:val="auto"/>
        </w:rPr>
      </w:pPr>
    </w:p>
    <w:p>
      <w:pPr>
        <w:ind w:right="780" w:firstLine="5"/>
        <w:spacing w:after="0" w:line="256" w:lineRule="auto"/>
        <w:rPr>
          <w:sz w:val="20"/>
          <w:szCs w:val="20"/>
          <w:color w:val="auto"/>
        </w:rPr>
      </w:pPr>
      <w:r>
        <w:rPr>
          <w:rFonts w:ascii="Times New Roman" w:cs="Times New Roman" w:eastAsia="Times New Roman" w:hAnsi="Times New Roman"/>
          <w:sz w:val="12"/>
          <w:szCs w:val="12"/>
          <w:color w:val="auto"/>
        </w:rPr>
        <w:t>Disaggregated revenue information for sales of furniture and accessories by product category for fi scal years 2024,2023 and 2022, excluding intercompany tran sactions between our segments,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04"/>
        </w:trPr>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585454"/>
            </w:tcBorders>
          </w:tcPr>
          <w:p>
            <w:pPr>
              <w:spacing w:after="0"/>
              <w:rPr>
                <w:sz w:val="9"/>
                <w:szCs w:val="9"/>
                <w:color w:val="auto"/>
              </w:rPr>
            </w:pPr>
          </w:p>
        </w:tc>
        <w:tc>
          <w:tcPr>
            <w:tcW w:w="360" w:type="dxa"/>
            <w:vAlign w:val="bottom"/>
            <w:tcBorders>
              <w:bottom w:val="single" w:sz="8" w:color="585454"/>
            </w:tcBorders>
          </w:tcPr>
          <w:p>
            <w:pPr>
              <w:spacing w:after="0"/>
              <w:rPr>
                <w:sz w:val="9"/>
                <w:szCs w:val="9"/>
                <w:color w:val="auto"/>
              </w:rPr>
            </w:pPr>
          </w:p>
        </w:tc>
        <w:tc>
          <w:tcPr>
            <w:tcW w:w="580" w:type="dxa"/>
            <w:vAlign w:val="bottom"/>
            <w:tcBorders>
              <w:bottom w:val="single" w:sz="8" w:color="585454"/>
            </w:tcBorders>
            <w:gridSpan w:val="2"/>
          </w:tcPr>
          <w:p>
            <w:pPr>
              <w:jc w:val="right"/>
              <w:ind w:right="16"/>
              <w:spacing w:after="0"/>
              <w:rPr>
                <w:sz w:val="20"/>
                <w:szCs w:val="20"/>
                <w:color w:val="auto"/>
              </w:rPr>
            </w:pPr>
            <w:r>
              <w:rPr>
                <w:rFonts w:ascii="Times New Roman" w:cs="Times New Roman" w:eastAsia="Times New Roman" w:hAnsi="Times New Roman"/>
                <w:sz w:val="9"/>
                <w:szCs w:val="9"/>
                <w:color w:val="auto"/>
              </w:rPr>
              <w:t>2024</w:t>
            </w:r>
          </w:p>
        </w:tc>
        <w:tc>
          <w:tcPr>
            <w:tcW w:w="300" w:type="dxa"/>
            <w:vAlign w:val="bottom"/>
            <w:tcBorders>
              <w:bottom w:val="single" w:sz="8" w:color="585454"/>
            </w:tcBorders>
          </w:tcPr>
          <w:p>
            <w:pPr>
              <w:spacing w:after="0"/>
              <w:rPr>
                <w:sz w:val="9"/>
                <w:szCs w:val="9"/>
                <w:color w:val="auto"/>
              </w:rPr>
            </w:pPr>
          </w:p>
        </w:tc>
        <w:tc>
          <w:tcPr>
            <w:tcW w:w="400" w:type="dxa"/>
            <w:vAlign w:val="bottom"/>
            <w:tcBorders>
              <w:bottom w:val="single" w:sz="8" w:color="585454"/>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585454"/>
            </w:tcBorders>
          </w:tcPr>
          <w:p>
            <w:pPr>
              <w:spacing w:after="0"/>
              <w:rPr>
                <w:sz w:val="9"/>
                <w:szCs w:val="9"/>
                <w:color w:val="auto"/>
              </w:rPr>
            </w:pPr>
          </w:p>
        </w:tc>
        <w:tc>
          <w:tcPr>
            <w:tcW w:w="360" w:type="dxa"/>
            <w:vAlign w:val="bottom"/>
            <w:tcBorders>
              <w:bottom w:val="single" w:sz="8" w:color="585454"/>
            </w:tcBorders>
          </w:tcPr>
          <w:p>
            <w:pPr>
              <w:spacing w:after="0"/>
              <w:rPr>
                <w:sz w:val="9"/>
                <w:szCs w:val="9"/>
                <w:color w:val="auto"/>
              </w:rPr>
            </w:pPr>
          </w:p>
        </w:tc>
        <w:tc>
          <w:tcPr>
            <w:tcW w:w="580" w:type="dxa"/>
            <w:vAlign w:val="bottom"/>
            <w:tcBorders>
              <w:bottom w:val="single" w:sz="8" w:color="585454"/>
            </w:tcBorders>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2023</w:t>
            </w:r>
          </w:p>
        </w:tc>
        <w:tc>
          <w:tcPr>
            <w:tcW w:w="300" w:type="dxa"/>
            <w:vAlign w:val="bottom"/>
            <w:tcBorders>
              <w:bottom w:val="single" w:sz="8" w:color="585454"/>
            </w:tcBorders>
          </w:tcPr>
          <w:p>
            <w:pPr>
              <w:spacing w:after="0"/>
              <w:rPr>
                <w:sz w:val="9"/>
                <w:szCs w:val="9"/>
                <w:color w:val="auto"/>
              </w:rPr>
            </w:pPr>
          </w:p>
        </w:tc>
        <w:tc>
          <w:tcPr>
            <w:tcW w:w="380" w:type="dxa"/>
            <w:vAlign w:val="bottom"/>
            <w:tcBorders>
              <w:bottom w:val="single" w:sz="8" w:color="585454"/>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585454"/>
            </w:tcBorders>
          </w:tcPr>
          <w:p>
            <w:pPr>
              <w:spacing w:after="0"/>
              <w:rPr>
                <w:sz w:val="9"/>
                <w:szCs w:val="9"/>
                <w:color w:val="auto"/>
              </w:rPr>
            </w:pPr>
          </w:p>
        </w:tc>
        <w:tc>
          <w:tcPr>
            <w:tcW w:w="360" w:type="dxa"/>
            <w:vAlign w:val="bottom"/>
            <w:tcBorders>
              <w:bottom w:val="single" w:sz="8" w:color="585454"/>
            </w:tcBorders>
          </w:tcPr>
          <w:p>
            <w:pPr>
              <w:spacing w:after="0"/>
              <w:rPr>
                <w:sz w:val="9"/>
                <w:szCs w:val="9"/>
                <w:color w:val="auto"/>
              </w:rPr>
            </w:pPr>
          </w:p>
        </w:tc>
        <w:tc>
          <w:tcPr>
            <w:tcW w:w="540" w:type="dxa"/>
            <w:vAlign w:val="bottom"/>
            <w:tcBorders>
              <w:bottom w:val="single" w:sz="8" w:color="585454"/>
            </w:tcBorders>
            <w:gridSpan w:val="2"/>
          </w:tcPr>
          <w:p>
            <w:pPr>
              <w:jc w:val="right"/>
              <w:ind w:right="13"/>
              <w:spacing w:after="0"/>
              <w:rPr>
                <w:sz w:val="20"/>
                <w:szCs w:val="20"/>
                <w:color w:val="auto"/>
              </w:rPr>
            </w:pPr>
            <w:r>
              <w:rPr>
                <w:rFonts w:ascii="Times New Roman" w:cs="Times New Roman" w:eastAsia="Times New Roman" w:hAnsi="Times New Roman"/>
                <w:sz w:val="9"/>
                <w:szCs w:val="9"/>
                <w:color w:val="auto"/>
              </w:rPr>
              <w:t>2022</w:t>
            </w:r>
          </w:p>
        </w:tc>
        <w:tc>
          <w:tcPr>
            <w:tcW w:w="300" w:type="dxa"/>
            <w:vAlign w:val="bottom"/>
            <w:tcBorders>
              <w:bottom w:val="single" w:sz="8" w:color="585454"/>
            </w:tcBorders>
          </w:tcPr>
          <w:p>
            <w:pPr>
              <w:spacing w:after="0"/>
              <w:rPr>
                <w:sz w:val="9"/>
                <w:szCs w:val="9"/>
                <w:color w:val="auto"/>
              </w:rPr>
            </w:pPr>
          </w:p>
        </w:tc>
        <w:tc>
          <w:tcPr>
            <w:tcW w:w="400" w:type="dxa"/>
            <w:vAlign w:val="bottom"/>
            <w:tcBorders>
              <w:bottom w:val="single" w:sz="8" w:color="585454"/>
            </w:tcBorders>
          </w:tcPr>
          <w:p>
            <w:pPr>
              <w:spacing w:after="0"/>
              <w:rPr>
                <w:sz w:val="9"/>
                <w:szCs w:val="9"/>
                <w:color w:val="auto"/>
              </w:rPr>
            </w:pPr>
          </w:p>
        </w:tc>
      </w:tr>
      <w:tr>
        <w:trPr>
          <w:trHeight w:val="106"/>
        </w:trPr>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auto"/>
              </w:rPr>
              <w:t>Corporate</w:t>
            </w: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auto"/>
              </w:rPr>
              <w:t>Corporate</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Corporate</w:t>
            </w:r>
          </w:p>
        </w:tc>
        <w:tc>
          <w:tcPr>
            <w:tcW w:w="400" w:type="dxa"/>
            <w:vAlign w:val="bottom"/>
          </w:tcPr>
          <w:p>
            <w:pPr>
              <w:spacing w:after="0"/>
              <w:rPr>
                <w:sz w:val="9"/>
                <w:szCs w:val="9"/>
                <w:color w:val="auto"/>
              </w:rPr>
            </w:pPr>
          </w:p>
        </w:tc>
      </w:tr>
      <w:tr>
        <w:trPr>
          <w:trHeight w:val="126"/>
        </w:trPr>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Wholesale</w:t>
            </w:r>
          </w:p>
        </w:tc>
        <w:tc>
          <w:tcPr>
            <w:tcW w:w="4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Retail</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&amp;Other Gl</w:t>
            </w:r>
          </w:p>
        </w:tc>
        <w:tc>
          <w:tcPr>
            <w:tcW w:w="40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Total</w:t>
            </w:r>
          </w:p>
        </w:tc>
        <w:tc>
          <w:tcPr>
            <w:tcW w:w="40" w:type="dxa"/>
            <w:vAlign w:val="bottom"/>
          </w:tcPr>
          <w:p>
            <w:pPr>
              <w:spacing w:after="0"/>
              <w:rPr>
                <w:sz w:val="10"/>
                <w:szCs w:val="10"/>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Wholesale</w:t>
            </w:r>
          </w:p>
        </w:tc>
        <w:tc>
          <w:tcPr>
            <w:tcW w:w="40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Retail</w:t>
            </w:r>
          </w:p>
        </w:tc>
        <w:tc>
          <w:tcPr>
            <w:tcW w:w="48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9"/>
                <w:szCs w:val="9"/>
                <w:color w:val="auto"/>
              </w:rPr>
              <w:t>&amp; Other&lt;</w:t>
            </w:r>
            <w:r>
              <w:rPr>
                <w:rFonts w:ascii="Times New Roman" w:cs="Times New Roman" w:eastAsia="Times New Roman" w:hAnsi="Times New Roman"/>
                <w:sz w:val="12"/>
                <w:szCs w:val="12"/>
                <w:color w:val="auto"/>
                <w:vertAlign w:val="superscript"/>
              </w:rPr>
              <w:t>2</w:t>
            </w:r>
            <w:r>
              <w:rPr>
                <w:rFonts w:ascii="Times New Roman" w:cs="Times New Roman" w:eastAsia="Times New Roman" w:hAnsi="Times New Roman"/>
                <w:sz w:val="9"/>
                <w:szCs w:val="9"/>
                <w:color w:val="auto"/>
              </w:rPr>
              <w:t>l</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auto"/>
              </w:rPr>
              <w:t>Total</w:t>
            </w:r>
          </w:p>
        </w:tc>
        <w:tc>
          <w:tcPr>
            <w:tcW w:w="44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Wholesale</w:t>
            </w: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Retail</w:t>
            </w:r>
          </w:p>
        </w:tc>
        <w:tc>
          <w:tcPr>
            <w:tcW w:w="440" w:type="dxa"/>
            <w:vAlign w:val="bottom"/>
            <w:gridSpan w:val="2"/>
          </w:tcPr>
          <w:p>
            <w:pPr>
              <w:jc w:val="right"/>
              <w:ind w:right="13"/>
              <w:spacing w:after="0"/>
              <w:rPr>
                <w:sz w:val="20"/>
                <w:szCs w:val="20"/>
                <w:color w:val="auto"/>
              </w:rPr>
            </w:pPr>
            <w:r>
              <w:rPr>
                <w:rFonts w:ascii="Times New Roman" w:cs="Times New Roman" w:eastAsia="Times New Roman" w:hAnsi="Times New Roman"/>
                <w:sz w:val="9"/>
                <w:szCs w:val="9"/>
                <w:color w:val="auto"/>
              </w:rPr>
              <w:t>&amp; Other</w:t>
            </w: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Total</w:t>
            </w:r>
          </w:p>
        </w:tc>
      </w:tr>
      <w:tr>
        <w:trPr>
          <w:trHeight w:val="104"/>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Bassett Custom Upholstery</w:t>
            </w:r>
          </w:p>
        </w:tc>
        <w:tc>
          <w:tcPr>
            <w:tcW w:w="8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79,344</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3"/>
              </w:rPr>
              <w:t>$ 111 ,943</w:t>
            </w:r>
          </w:p>
        </w:tc>
        <w:tc>
          <w:tcPr>
            <w:tcW w:w="16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3"/>
              </w:rPr>
              <w:t>$ 19 1,287</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89,005</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9"/>
              </w:rPr>
              <w:t>$ 134,000</w:t>
            </w:r>
          </w:p>
        </w:tc>
        <w:tc>
          <w:tcPr>
            <w:tcW w:w="180" w:type="dxa"/>
            <w:vAlign w:val="bottom"/>
          </w:tcPr>
          <w:p>
            <w:pPr>
              <w:ind w:left="4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20"/>
              <w:spacing w:after="0"/>
              <w:rPr>
                <w:sz w:val="20"/>
                <w:szCs w:val="20"/>
                <w:color w:val="auto"/>
              </w:rPr>
            </w:pPr>
            <w:r>
              <w:rPr>
                <w:rFonts w:ascii="Times New Roman" w:cs="Times New Roman" w:eastAsia="Times New Roman" w:hAnsi="Times New Roman"/>
                <w:sz w:val="9"/>
                <w:szCs w:val="9"/>
                <w:color w:val="auto"/>
              </w:rPr>
              <w:t>$223,005</w:t>
            </w:r>
          </w:p>
        </w:tc>
        <w:tc>
          <w:tcPr>
            <w:tcW w:w="60" w:type="dxa"/>
            <w:vAlign w:val="bottom"/>
          </w:tcPr>
          <w:p>
            <w:pPr>
              <w:spacing w:after="0"/>
              <w:rPr>
                <w:sz w:val="9"/>
                <w:szCs w:val="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124,565</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9"/>
              </w:rPr>
              <w:t>$ 163,755</w:t>
            </w:r>
          </w:p>
        </w:tc>
        <w:tc>
          <w:tcPr>
            <w:tcW w:w="14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$288,320</w:t>
            </w:r>
          </w:p>
        </w:tc>
      </w:tr>
      <w:tr>
        <w:trPr>
          <w:trHeight w:val="13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Bassett Leather</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15,705</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4,990</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20,695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26,70 1</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1,951</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9"/>
                <w:szCs w:val="9"/>
                <w:color w:val="auto"/>
                <w:w w:val="96"/>
              </w:rPr>
              <w:t>28,652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35,953</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1,707</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37,660</w:t>
            </w:r>
          </w:p>
        </w:tc>
      </w:tr>
      <w:tr>
        <w:trPr>
          <w:trHeight w:val="13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Bassett Custom Wood</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14,075</w:t>
            </w: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32,201</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46,276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17,357</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36,732</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9"/>
                <w:szCs w:val="9"/>
                <w:color w:val="auto"/>
              </w:rPr>
              <w:t>54,089</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22,534</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43,208</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65,742</w:t>
            </w:r>
          </w:p>
        </w:tc>
      </w:tr>
      <w:tr>
        <w:trPr>
          <w:trHeight w:val="13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Bassett Casegoods</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11 ,3 17</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26,179</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37,496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12,329</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32,252</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9"/>
                <w:szCs w:val="9"/>
                <w:color w:val="auto"/>
                <w:w w:val="96"/>
              </w:rPr>
              <w:t>44,581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15,628</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40,146</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55,774</w:t>
            </w:r>
          </w:p>
        </w:tc>
      </w:tr>
      <w:tr>
        <w:trPr>
          <w:trHeight w:val="134"/>
        </w:trPr>
        <w:tc>
          <w:tcPr>
            <w:tcW w:w="120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Accessories, mattresses and</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2"/>
        </w:trPr>
        <w:tc>
          <w:tcPr>
            <w:tcW w:w="120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9"/>
                <w:szCs w:val="9"/>
                <w:color w:val="auto"/>
              </w:rPr>
              <w:t>other&lt;</w:t>
            </w:r>
            <w:r>
              <w:rPr>
                <w:rFonts w:ascii="Times New Roman" w:cs="Times New Roman" w:eastAsia="Times New Roman" w:hAnsi="Times New Roman"/>
                <w:sz w:val="12"/>
                <w:szCs w:val="12"/>
                <w:color w:val="auto"/>
                <w:vertAlign w:val="superscript"/>
              </w:rPr>
              <w:t>1</w:t>
            </w:r>
            <w:r>
              <w:rPr>
                <w:rFonts w:ascii="Times New Roman" w:cs="Times New Roman" w:eastAsia="Times New Roman" w:hAnsi="Times New Roman"/>
                <w:sz w:val="9"/>
                <w:szCs w:val="9"/>
                <w:color w:val="auto"/>
              </w:rPr>
              <w:t>l</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29,250</w:t>
            </w:r>
          </w:p>
        </w:tc>
        <w:tc>
          <w:tcPr>
            <w:tcW w:w="1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4,919</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34, 169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31,005</w:t>
            </w:r>
          </w:p>
        </w:tc>
        <w:tc>
          <w:tcPr>
            <w:tcW w:w="180" w:type="dxa"/>
            <w:vAlign w:val="bottom"/>
          </w:tcPr>
          <w:p>
            <w:pPr>
              <w:spacing w:after="0"/>
              <w:rPr>
                <w:sz w:val="11"/>
                <w:szCs w:val="11"/>
                <w:color w:val="auto"/>
              </w:rPr>
            </w:pPr>
          </w:p>
        </w:tc>
        <w:tc>
          <w:tcPr>
            <w:tcW w:w="3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8,804</w:t>
            </w:r>
          </w:p>
        </w:tc>
        <w:tc>
          <w:tcPr>
            <w:tcW w:w="44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39,809</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36,303</w:t>
            </w:r>
          </w:p>
        </w:tc>
        <w:tc>
          <w:tcPr>
            <w:tcW w:w="1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1,802</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38, 105</w:t>
            </w:r>
          </w:p>
        </w:tc>
      </w:tr>
      <w:tr>
        <w:trPr>
          <w:trHeight w:val="107"/>
        </w:trPr>
        <w:tc>
          <w:tcPr>
            <w:tcW w:w="120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Consolidated Furniture and</w:t>
            </w:r>
          </w:p>
        </w:tc>
        <w:tc>
          <w:tcPr>
            <w:tcW w:w="80" w:type="dxa"/>
            <w:vAlign w:val="bottom"/>
            <w:tcBorders>
              <w:top w:val="single" w:sz="8" w:color="3C383C"/>
            </w:tcBorders>
          </w:tcPr>
          <w:p>
            <w:pPr>
              <w:spacing w:after="0"/>
              <w:rPr>
                <w:sz w:val="9"/>
                <w:szCs w:val="9"/>
                <w:color w:val="auto"/>
              </w:rPr>
            </w:pPr>
          </w:p>
        </w:tc>
        <w:tc>
          <w:tcPr>
            <w:tcW w:w="360" w:type="dxa"/>
            <w:vAlign w:val="bottom"/>
            <w:tcBorders>
              <w:top w:val="single" w:sz="8" w:color="3C383C"/>
            </w:tcBorders>
          </w:tcPr>
          <w:p>
            <w:pPr>
              <w:spacing w:after="0"/>
              <w:rPr>
                <w:sz w:val="9"/>
                <w:szCs w:val="9"/>
                <w:color w:val="auto"/>
              </w:rPr>
            </w:pPr>
          </w:p>
        </w:tc>
        <w:tc>
          <w:tcPr>
            <w:tcW w:w="420" w:type="dxa"/>
            <w:vAlign w:val="bottom"/>
            <w:tcBorders>
              <w:top w:val="single" w:sz="8" w:color="3C383C"/>
            </w:tcBorders>
          </w:tcPr>
          <w:p>
            <w:pPr>
              <w:spacing w:after="0"/>
              <w:rPr>
                <w:sz w:val="9"/>
                <w:szCs w:val="9"/>
                <w:color w:val="auto"/>
              </w:rPr>
            </w:pPr>
          </w:p>
        </w:tc>
        <w:tc>
          <w:tcPr>
            <w:tcW w:w="160" w:type="dxa"/>
            <w:vAlign w:val="bottom"/>
            <w:tcBorders>
              <w:top w:val="single" w:sz="8" w:color="3C383C"/>
            </w:tcBorders>
          </w:tcPr>
          <w:p>
            <w:pPr>
              <w:spacing w:after="0"/>
              <w:rPr>
                <w:sz w:val="9"/>
                <w:szCs w:val="9"/>
                <w:color w:val="auto"/>
              </w:rPr>
            </w:pPr>
          </w:p>
        </w:tc>
        <w:tc>
          <w:tcPr>
            <w:tcW w:w="300" w:type="dxa"/>
            <w:vAlign w:val="bottom"/>
            <w:tcBorders>
              <w:top w:val="single" w:sz="8" w:color="3C383C"/>
            </w:tcBorders>
          </w:tcPr>
          <w:p>
            <w:pPr>
              <w:spacing w:after="0"/>
              <w:rPr>
                <w:sz w:val="9"/>
                <w:szCs w:val="9"/>
                <w:color w:val="auto"/>
              </w:rPr>
            </w:pPr>
          </w:p>
        </w:tc>
        <w:tc>
          <w:tcPr>
            <w:tcW w:w="400" w:type="dxa"/>
            <w:vAlign w:val="bottom"/>
            <w:tcBorders>
              <w:top w:val="single" w:sz="8" w:color="3C383C"/>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3C383C"/>
            </w:tcBorders>
          </w:tcPr>
          <w:p>
            <w:pPr>
              <w:spacing w:after="0"/>
              <w:rPr>
                <w:sz w:val="9"/>
                <w:szCs w:val="9"/>
                <w:color w:val="auto"/>
              </w:rPr>
            </w:pPr>
          </w:p>
        </w:tc>
        <w:tc>
          <w:tcPr>
            <w:tcW w:w="360" w:type="dxa"/>
            <w:vAlign w:val="bottom"/>
            <w:tcBorders>
              <w:top w:val="single" w:sz="8" w:color="3C383C"/>
            </w:tcBorders>
          </w:tcPr>
          <w:p>
            <w:pPr>
              <w:spacing w:after="0"/>
              <w:rPr>
                <w:sz w:val="9"/>
                <w:szCs w:val="9"/>
                <w:color w:val="auto"/>
              </w:rPr>
            </w:pPr>
          </w:p>
        </w:tc>
        <w:tc>
          <w:tcPr>
            <w:tcW w:w="400" w:type="dxa"/>
            <w:vAlign w:val="bottom"/>
            <w:tcBorders>
              <w:top w:val="single" w:sz="8" w:color="3C383C"/>
            </w:tcBorders>
          </w:tcPr>
          <w:p>
            <w:pPr>
              <w:spacing w:after="0"/>
              <w:rPr>
                <w:sz w:val="9"/>
                <w:szCs w:val="9"/>
                <w:color w:val="auto"/>
              </w:rPr>
            </w:pPr>
          </w:p>
        </w:tc>
        <w:tc>
          <w:tcPr>
            <w:tcW w:w="180" w:type="dxa"/>
            <w:vAlign w:val="bottom"/>
            <w:tcBorders>
              <w:top w:val="single" w:sz="8" w:color="3C383C"/>
            </w:tcBorders>
          </w:tcPr>
          <w:p>
            <w:pPr>
              <w:spacing w:after="0"/>
              <w:rPr>
                <w:sz w:val="9"/>
                <w:szCs w:val="9"/>
                <w:color w:val="auto"/>
              </w:rPr>
            </w:pPr>
          </w:p>
        </w:tc>
        <w:tc>
          <w:tcPr>
            <w:tcW w:w="300" w:type="dxa"/>
            <w:vAlign w:val="bottom"/>
            <w:tcBorders>
              <w:top w:val="single" w:sz="8" w:color="3C383C"/>
            </w:tcBorders>
          </w:tcPr>
          <w:p>
            <w:pPr>
              <w:spacing w:after="0"/>
              <w:rPr>
                <w:sz w:val="9"/>
                <w:szCs w:val="9"/>
                <w:color w:val="auto"/>
              </w:rPr>
            </w:pPr>
          </w:p>
        </w:tc>
        <w:tc>
          <w:tcPr>
            <w:tcW w:w="380" w:type="dxa"/>
            <w:vAlign w:val="bottom"/>
            <w:tcBorders>
              <w:top w:val="single" w:sz="8" w:color="3C383C"/>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3C383C"/>
            </w:tcBorders>
          </w:tcPr>
          <w:p>
            <w:pPr>
              <w:spacing w:after="0"/>
              <w:rPr>
                <w:sz w:val="9"/>
                <w:szCs w:val="9"/>
                <w:color w:val="auto"/>
              </w:rPr>
            </w:pPr>
          </w:p>
        </w:tc>
        <w:tc>
          <w:tcPr>
            <w:tcW w:w="360" w:type="dxa"/>
            <w:vAlign w:val="bottom"/>
            <w:tcBorders>
              <w:top w:val="single" w:sz="8" w:color="3C383C"/>
            </w:tcBorders>
          </w:tcPr>
          <w:p>
            <w:pPr>
              <w:spacing w:after="0"/>
              <w:rPr>
                <w:sz w:val="9"/>
                <w:szCs w:val="9"/>
                <w:color w:val="auto"/>
              </w:rPr>
            </w:pPr>
          </w:p>
        </w:tc>
        <w:tc>
          <w:tcPr>
            <w:tcW w:w="400" w:type="dxa"/>
            <w:vAlign w:val="bottom"/>
            <w:tcBorders>
              <w:top w:val="single" w:sz="8" w:color="3C383C"/>
            </w:tcBorders>
          </w:tcPr>
          <w:p>
            <w:pPr>
              <w:spacing w:after="0"/>
              <w:rPr>
                <w:sz w:val="9"/>
                <w:szCs w:val="9"/>
                <w:color w:val="auto"/>
              </w:rPr>
            </w:pPr>
          </w:p>
        </w:tc>
        <w:tc>
          <w:tcPr>
            <w:tcW w:w="140" w:type="dxa"/>
            <w:vAlign w:val="bottom"/>
            <w:tcBorders>
              <w:top w:val="single" w:sz="8" w:color="3C383C"/>
            </w:tcBorders>
          </w:tcPr>
          <w:p>
            <w:pPr>
              <w:spacing w:after="0"/>
              <w:rPr>
                <w:sz w:val="9"/>
                <w:szCs w:val="9"/>
                <w:color w:val="auto"/>
              </w:rPr>
            </w:pPr>
          </w:p>
        </w:tc>
        <w:tc>
          <w:tcPr>
            <w:tcW w:w="300" w:type="dxa"/>
            <w:vAlign w:val="bottom"/>
            <w:tcBorders>
              <w:top w:val="single" w:sz="8" w:color="3C383C"/>
            </w:tcBorders>
          </w:tcPr>
          <w:p>
            <w:pPr>
              <w:spacing w:after="0"/>
              <w:rPr>
                <w:sz w:val="9"/>
                <w:szCs w:val="9"/>
                <w:color w:val="auto"/>
              </w:rPr>
            </w:pPr>
          </w:p>
        </w:tc>
        <w:tc>
          <w:tcPr>
            <w:tcW w:w="400" w:type="dxa"/>
            <w:vAlign w:val="bottom"/>
            <w:tcBorders>
              <w:top w:val="single" w:sz="8" w:color="3C383C"/>
            </w:tcBorders>
          </w:tcPr>
          <w:p>
            <w:pPr>
              <w:spacing w:after="0"/>
              <w:rPr>
                <w:sz w:val="9"/>
                <w:szCs w:val="9"/>
                <w:color w:val="auto"/>
              </w:rPr>
            </w:pPr>
          </w:p>
        </w:tc>
      </w:tr>
      <w:tr>
        <w:trPr>
          <w:trHeight w:val="104"/>
        </w:trPr>
        <w:tc>
          <w:tcPr>
            <w:tcW w:w="1180" w:type="dxa"/>
            <w:vAlign w:val="bottom"/>
          </w:tcPr>
          <w:p>
            <w:pPr>
              <w:ind w:left="40"/>
              <w:spacing w:after="0"/>
              <w:rPr>
                <w:sz w:val="20"/>
                <w:szCs w:val="20"/>
                <w:color w:val="auto"/>
              </w:rPr>
            </w:pPr>
            <w:r>
              <w:rPr>
                <w:rFonts w:ascii="Times New Roman" w:cs="Times New Roman" w:eastAsia="Times New Roman" w:hAnsi="Times New Roman"/>
                <w:sz w:val="9"/>
                <w:szCs w:val="9"/>
                <w:color w:val="auto"/>
              </w:rPr>
              <w:t>Accessories revenue</w:t>
            </w:r>
          </w:p>
        </w:tc>
        <w:tc>
          <w:tcPr>
            <w:tcW w:w="20" w:type="dxa"/>
            <w:vAlign w:val="bottom"/>
            <w:tcBorders>
              <w:bottom w:val="single" w:sz="8" w:color="585454"/>
            </w:tcBorders>
          </w:tcPr>
          <w:p>
            <w:pPr>
              <w:spacing w:after="0"/>
              <w:rPr>
                <w:sz w:val="9"/>
                <w:szCs w:val="9"/>
                <w:color w:val="auto"/>
              </w:rPr>
            </w:pPr>
          </w:p>
        </w:tc>
        <w:tc>
          <w:tcPr>
            <w:tcW w:w="80" w:type="dxa"/>
            <w:vAlign w:val="bottom"/>
            <w:tcBorders>
              <w:bottom w:val="single" w:sz="8" w:color="585454"/>
            </w:tcBorders>
          </w:tcPr>
          <w:p>
            <w:pPr>
              <w:spacing w:after="0" w:line="66"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Borders>
              <w:bottom w:val="single" w:sz="8" w:color="585454"/>
            </w:tcBorders>
          </w:tcPr>
          <w:p>
            <w:pPr>
              <w:jc w:val="right"/>
              <w:spacing w:after="0" w:line="66" w:lineRule="exact"/>
              <w:rPr>
                <w:sz w:val="20"/>
                <w:szCs w:val="20"/>
                <w:color w:val="auto"/>
              </w:rPr>
            </w:pPr>
            <w:r>
              <w:rPr>
                <w:rFonts w:ascii="Times New Roman" w:cs="Times New Roman" w:eastAsia="Times New Roman" w:hAnsi="Times New Roman"/>
                <w:sz w:val="7"/>
                <w:szCs w:val="7"/>
                <w:color w:val="auto"/>
              </w:rPr>
              <w:t>120,441</w:t>
            </w:r>
          </w:p>
        </w:tc>
        <w:tc>
          <w:tcPr>
            <w:tcW w:w="420" w:type="dxa"/>
            <w:vAlign w:val="bottom"/>
            <w:tcBorders>
              <w:bottom w:val="single" w:sz="8" w:color="585454"/>
            </w:tcBorders>
          </w:tcPr>
          <w:p>
            <w:pPr>
              <w:jc w:val="right"/>
              <w:spacing w:after="0" w:line="66" w:lineRule="exact"/>
              <w:rPr>
                <w:sz w:val="20"/>
                <w:szCs w:val="20"/>
                <w:color w:val="auto"/>
              </w:rPr>
            </w:pPr>
            <w:r>
              <w:rPr>
                <w:rFonts w:ascii="Times New Roman" w:cs="Times New Roman" w:eastAsia="Times New Roman" w:hAnsi="Times New Roman"/>
                <w:sz w:val="7"/>
                <w:szCs w:val="7"/>
                <w:color w:val="auto"/>
              </w:rPr>
              <w:t>$204,563</w:t>
            </w:r>
          </w:p>
        </w:tc>
        <w:tc>
          <w:tcPr>
            <w:tcW w:w="160" w:type="dxa"/>
            <w:vAlign w:val="bottom"/>
            <w:tcBorders>
              <w:bottom w:val="single" w:sz="8" w:color="585454"/>
            </w:tcBorders>
          </w:tcPr>
          <w:p>
            <w:pPr>
              <w:ind w:left="20"/>
              <w:spacing w:after="0" w:line="66"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Borders>
              <w:bottom w:val="single" w:sz="8" w:color="585454"/>
            </w:tcBorders>
          </w:tcPr>
          <w:p>
            <w:pPr>
              <w:jc w:val="right"/>
              <w:spacing w:after="0" w:line="66" w:lineRule="exact"/>
              <w:rPr>
                <w:sz w:val="20"/>
                <w:szCs w:val="20"/>
                <w:color w:val="auto"/>
              </w:rPr>
            </w:pPr>
            <w:r>
              <w:rPr>
                <w:rFonts w:ascii="Times New Roman" w:cs="Times New Roman" w:eastAsia="Times New Roman" w:hAnsi="Times New Roman"/>
                <w:sz w:val="7"/>
                <w:szCs w:val="7"/>
                <w:color w:val="auto"/>
              </w:rPr>
              <w:t>4,9 19</w:t>
            </w:r>
          </w:p>
        </w:tc>
        <w:tc>
          <w:tcPr>
            <w:tcW w:w="400" w:type="dxa"/>
            <w:vAlign w:val="bottom"/>
            <w:tcBorders>
              <w:bottom w:val="single" w:sz="8" w:color="585454"/>
            </w:tcBorders>
          </w:tcPr>
          <w:p>
            <w:pPr>
              <w:jc w:val="right"/>
              <w:spacing w:after="0" w:line="66" w:lineRule="exact"/>
              <w:rPr>
                <w:sz w:val="20"/>
                <w:szCs w:val="20"/>
                <w:color w:val="auto"/>
              </w:rPr>
            </w:pPr>
            <w:r>
              <w:rPr>
                <w:rFonts w:ascii="Times New Roman" w:cs="Times New Roman" w:eastAsia="Times New Roman" w:hAnsi="Times New Roman"/>
                <w:sz w:val="7"/>
                <w:szCs w:val="7"/>
                <w:color w:val="auto"/>
              </w:rPr>
              <w:t>$329,923</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145,392</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$235,940</w:t>
            </w:r>
          </w:p>
        </w:tc>
        <w:tc>
          <w:tcPr>
            <w:tcW w:w="180" w:type="dxa"/>
            <w:vAlign w:val="bottom"/>
          </w:tcPr>
          <w:p>
            <w:pPr>
              <w:ind w:left="4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8,804</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$390,136</w:t>
            </w:r>
          </w:p>
        </w:tc>
        <w:tc>
          <w:tcPr>
            <w:tcW w:w="8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198,680</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9"/>
              </w:rPr>
              <w:t>$285, 119</w:t>
            </w:r>
          </w:p>
        </w:tc>
        <w:tc>
          <w:tcPr>
            <w:tcW w:w="14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1,802</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$485,601</w:t>
            </w:r>
          </w:p>
        </w:tc>
      </w:tr>
    </w:tbl>
    <w:p>
      <w:pPr>
        <w:spacing w:after="0" w:line="177" w:lineRule="exact"/>
        <w:rPr>
          <w:sz w:val="20"/>
          <w:szCs w:val="20"/>
          <w:color w:val="auto"/>
        </w:rPr>
      </w:pPr>
    </w:p>
    <w:p>
      <w:pPr>
        <w:ind w:left="480" w:right="760" w:hanging="231"/>
        <w:spacing w:after="0" w:line="254" w:lineRule="auto"/>
        <w:tabs>
          <w:tab w:leader="none" w:pos="460" w:val="left"/>
        </w:tabs>
        <w:rPr>
          <w:sz w:val="20"/>
          <w:szCs w:val="20"/>
          <w:color w:val="auto"/>
        </w:rPr>
      </w:pPr>
      <w:r>
        <w:rPr>
          <w:rFonts w:ascii="Times New Roman" w:cs="Times New Roman" w:eastAsia="Times New Roman" w:hAnsi="Times New Roman"/>
          <w:sz w:val="12"/>
          <w:szCs w:val="12"/>
          <w:color w:val="auto"/>
        </w:rPr>
        <w:t>(I)</w:t>
        <w:tab/>
        <w:t>Includes the sale of goods other than Bassett-branded products, such as accessories and bedding, and also includes the sale of furniture protection plans.</w:t>
      </w:r>
    </w:p>
    <w:p>
      <w:pPr>
        <w:spacing w:after="0" w:line="1" w:lineRule="exact"/>
        <w:rPr>
          <w:sz w:val="20"/>
          <w:szCs w:val="20"/>
          <w:color w:val="auto"/>
        </w:rPr>
      </w:pPr>
    </w:p>
    <w:p>
      <w:pPr>
        <w:ind w:left="480" w:right="760" w:hanging="237"/>
        <w:spacing w:after="0" w:line="256" w:lineRule="auto"/>
        <w:tabs>
          <w:tab w:leader="none" w:pos="484"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Beginning with the fourth quarter of fiscal 2022, our Corporate and other reconciling category includes the sales of Noa Home, which was acquired on September 2, 2022 (see Note 3).</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5"/>
          <w:szCs w:val="15"/>
          <w:color w:val="auto"/>
        </w:rPr>
        <w:t>Bassett Furniture Industries,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-5498465</wp:posOffset>
            </wp:positionH>
            <wp:positionV relativeFrom="paragraph">
              <wp:posOffset>-1156335</wp:posOffset>
            </wp:positionV>
            <wp:extent cx="10058400" cy="7772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spacing w:after="0" w:line="14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2"/>
          <w:szCs w:val="12"/>
          <w:color w:val="auto"/>
        </w:rPr>
        <w:t>Schedule II</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Analysis of Valuation and Qualifying Accounts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For the Years Ended November 30, 2024, November 25, 2023 and November 26, 2022</w:t>
      </w:r>
    </w:p>
    <w:p>
      <w:pPr>
        <w:spacing w:after="0" w:line="1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2"/>
          <w:szCs w:val="12"/>
          <w:i w:val="1"/>
          <w:iCs w:val="1"/>
          <w:color w:val="auto"/>
        </w:rPr>
        <w:t>(amounts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Balance</w:t>
            </w:r>
          </w:p>
        </w:tc>
        <w:tc>
          <w:tcPr>
            <w:tcW w:w="120" w:type="dxa"/>
            <w:vAlign w:val="bottom"/>
          </w:tcPr>
          <w:p>
            <w:pPr>
              <w:spacing w:after="0"/>
              <w:rPr>
                <w:sz w:val="12"/>
                <w:szCs w:val="12"/>
                <w:color w:val="auto"/>
              </w:rPr>
            </w:pPr>
          </w:p>
        </w:tc>
        <w:tc>
          <w:tcPr>
            <w:tcW w:w="64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Additions</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Beginning</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Charged to</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Balance</w:t>
            </w:r>
          </w:p>
        </w:tc>
      </w:tr>
      <w:tr>
        <w:trPr>
          <w:trHeight w:val="149"/>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of</w:t>
            </w:r>
          </w:p>
        </w:tc>
        <w:tc>
          <w:tcPr>
            <w:tcW w:w="120" w:type="dxa"/>
            <w:vAlign w:val="bottom"/>
          </w:tcPr>
          <w:p>
            <w:pPr>
              <w:spacing w:after="0"/>
              <w:rPr>
                <w:sz w:val="12"/>
                <w:szCs w:val="12"/>
                <w:color w:val="auto"/>
              </w:rPr>
            </w:pPr>
          </w:p>
        </w:tc>
        <w:tc>
          <w:tcPr>
            <w:tcW w:w="64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rPr>
              <w:t>Cost and</w:t>
            </w:r>
          </w:p>
        </w:tc>
        <w:tc>
          <w:tcPr>
            <w:tcW w:w="80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Deductions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rPr>
              <w:t>End</w:t>
            </w:r>
          </w:p>
        </w:tc>
      </w:tr>
      <w:tr>
        <w:trPr>
          <w:trHeight w:val="151"/>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ind w:right="118"/>
              <w:spacing w:after="0"/>
              <w:rPr>
                <w:sz w:val="20"/>
                <w:szCs w:val="20"/>
                <w:color w:val="auto"/>
              </w:rPr>
            </w:pPr>
            <w:r>
              <w:rPr>
                <w:rFonts w:ascii="Times New Roman" w:cs="Times New Roman" w:eastAsia="Times New Roman" w:hAnsi="Times New Roman"/>
                <w:sz w:val="12"/>
                <w:szCs w:val="12"/>
                <w:color w:val="auto"/>
              </w:rPr>
              <w:t>Period</w:t>
            </w:r>
          </w:p>
        </w:tc>
        <w:tc>
          <w:tcPr>
            <w:tcW w:w="120" w:type="dxa"/>
            <w:vAlign w:val="bottom"/>
          </w:tcPr>
          <w:p>
            <w:pPr>
              <w:spacing w:after="0"/>
              <w:rPr>
                <w:sz w:val="13"/>
                <w:szCs w:val="13"/>
                <w:color w:val="auto"/>
              </w:rPr>
            </w:pPr>
          </w:p>
        </w:tc>
        <w:tc>
          <w:tcPr>
            <w:tcW w:w="64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rPr>
              <w:t>Expenses</w:t>
            </w:r>
          </w:p>
        </w:tc>
        <w:tc>
          <w:tcPr>
            <w:tcW w:w="220" w:type="dxa"/>
            <w:vAlign w:val="bottom"/>
          </w:tcPr>
          <w:p>
            <w:pPr>
              <w:spacing w:after="0"/>
              <w:rPr>
                <w:sz w:val="13"/>
                <w:szCs w:val="13"/>
                <w:color w:val="auto"/>
              </w:rPr>
            </w:pPr>
          </w:p>
        </w:tc>
        <w:tc>
          <w:tcPr>
            <w:tcW w:w="58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rPr>
              <w:t>(I)</w:t>
            </w:r>
          </w:p>
        </w:tc>
        <w:tc>
          <w:tcPr>
            <w:tcW w:w="16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Other</w:t>
            </w:r>
          </w:p>
        </w:tc>
        <w:tc>
          <w:tcPr>
            <w:tcW w:w="80" w:type="dxa"/>
            <w:vAlign w:val="bottom"/>
          </w:tcPr>
          <w:p>
            <w:pPr>
              <w:spacing w:after="0"/>
              <w:rPr>
                <w:sz w:val="13"/>
                <w:szCs w:val="13"/>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of Period</w:t>
            </w:r>
          </w:p>
        </w:tc>
      </w:tr>
      <w:tr>
        <w:trPr>
          <w:trHeight w:val="146"/>
        </w:trPr>
        <w:tc>
          <w:tcPr>
            <w:tcW w:w="2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 the Year Ended November 26, 2022:</w:t>
            </w:r>
          </w:p>
        </w:tc>
        <w:tc>
          <w:tcPr>
            <w:tcW w:w="100" w:type="dxa"/>
            <w:vAlign w:val="bottom"/>
            <w:tcBorders>
              <w:top w:val="single" w:sz="8" w:color="6C6868"/>
            </w:tcBorders>
          </w:tcPr>
          <w:p>
            <w:pPr>
              <w:spacing w:after="0"/>
              <w:rPr>
                <w:sz w:val="12"/>
                <w:szCs w:val="12"/>
                <w:color w:val="auto"/>
              </w:rPr>
            </w:pPr>
          </w:p>
        </w:tc>
        <w:tc>
          <w:tcPr>
            <w:tcW w:w="620" w:type="dxa"/>
            <w:vAlign w:val="bottom"/>
            <w:tcBorders>
              <w:top w:val="single" w:sz="8" w:color="6C6868"/>
            </w:tcBorders>
          </w:tcPr>
          <w:p>
            <w:pPr>
              <w:spacing w:after="0"/>
              <w:rPr>
                <w:sz w:val="12"/>
                <w:szCs w:val="12"/>
                <w:color w:val="auto"/>
              </w:rPr>
            </w:pPr>
          </w:p>
        </w:tc>
        <w:tc>
          <w:tcPr>
            <w:tcW w:w="120" w:type="dxa"/>
            <w:vAlign w:val="bottom"/>
            <w:tcBorders>
              <w:top w:val="single" w:sz="8" w:color="6C6868"/>
            </w:tcBorders>
          </w:tcPr>
          <w:p>
            <w:pPr>
              <w:spacing w:after="0"/>
              <w:rPr>
                <w:sz w:val="12"/>
                <w:szCs w:val="12"/>
                <w:color w:val="auto"/>
              </w:rPr>
            </w:pPr>
          </w:p>
        </w:tc>
        <w:tc>
          <w:tcPr>
            <w:tcW w:w="640" w:type="dxa"/>
            <w:vAlign w:val="bottom"/>
            <w:tcBorders>
              <w:top w:val="single" w:sz="8" w:color="6C6868"/>
            </w:tcBorders>
          </w:tcPr>
          <w:p>
            <w:pPr>
              <w:spacing w:after="0"/>
              <w:rPr>
                <w:sz w:val="12"/>
                <w:szCs w:val="12"/>
                <w:color w:val="auto"/>
              </w:rPr>
            </w:pPr>
          </w:p>
        </w:tc>
        <w:tc>
          <w:tcPr>
            <w:tcW w:w="220" w:type="dxa"/>
            <w:vAlign w:val="bottom"/>
            <w:tcBorders>
              <w:top w:val="single" w:sz="8" w:color="6C6868"/>
            </w:tcBorders>
          </w:tcPr>
          <w:p>
            <w:pPr>
              <w:spacing w:after="0"/>
              <w:rPr>
                <w:sz w:val="12"/>
                <w:szCs w:val="12"/>
                <w:color w:val="auto"/>
              </w:rPr>
            </w:pPr>
          </w:p>
        </w:tc>
        <w:tc>
          <w:tcPr>
            <w:tcW w:w="580" w:type="dxa"/>
            <w:vAlign w:val="bottom"/>
            <w:tcBorders>
              <w:top w:val="single" w:sz="8" w:color="6C6868"/>
            </w:tcBorders>
          </w:tcPr>
          <w:p>
            <w:pPr>
              <w:spacing w:after="0"/>
              <w:rPr>
                <w:sz w:val="12"/>
                <w:szCs w:val="12"/>
                <w:color w:val="auto"/>
              </w:rPr>
            </w:pPr>
          </w:p>
        </w:tc>
        <w:tc>
          <w:tcPr>
            <w:tcW w:w="160" w:type="dxa"/>
            <w:vAlign w:val="bottom"/>
            <w:tcBorders>
              <w:top w:val="single" w:sz="8" w:color="6C6868"/>
            </w:tcBorders>
          </w:tcPr>
          <w:p>
            <w:pPr>
              <w:spacing w:after="0"/>
              <w:rPr>
                <w:sz w:val="12"/>
                <w:szCs w:val="12"/>
                <w:color w:val="auto"/>
              </w:rPr>
            </w:pPr>
          </w:p>
        </w:tc>
        <w:tc>
          <w:tcPr>
            <w:tcW w:w="520" w:type="dxa"/>
            <w:vAlign w:val="bottom"/>
            <w:tcBorders>
              <w:top w:val="single" w:sz="8" w:color="6C6868"/>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Reserve deducted from assets to which it applies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05"/>
        </w:trPr>
        <w:tc>
          <w:tcPr>
            <w:tcW w:w="2640" w:type="dxa"/>
            <w:vAlign w:val="bottom"/>
          </w:tcPr>
          <w:p>
            <w:pPr>
              <w:spacing w:after="0"/>
              <w:rPr>
                <w:sz w:val="20"/>
                <w:szCs w:val="20"/>
                <w:color w:val="auto"/>
              </w:rPr>
            </w:pPr>
            <w:r>
              <w:rPr>
                <w:rFonts w:ascii="Times New Roman" w:cs="Times New Roman" w:eastAsia="Times New Roman" w:hAnsi="Times New Roman"/>
                <w:sz w:val="12"/>
                <w:szCs w:val="12"/>
                <w:color w:val="auto"/>
              </w:rPr>
              <w:t>Allowance for doubtful accounts</w:t>
            </w:r>
          </w:p>
        </w:tc>
        <w:tc>
          <w:tcPr>
            <w:tcW w:w="100" w:type="dxa"/>
            <w:vAlign w:val="bottom"/>
          </w:tcPr>
          <w:p>
            <w:pPr>
              <w:spacing w:after="0"/>
              <w:rPr>
                <w:sz w:val="24"/>
                <w:szCs w:val="24"/>
                <w:color w:val="auto"/>
              </w:rPr>
            </w:pP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567</w:t>
            </w:r>
          </w:p>
        </w:tc>
        <w:tc>
          <w:tcPr>
            <w:tcW w:w="120" w:type="dxa"/>
            <w:vAlign w:val="bottom"/>
          </w:tcPr>
          <w:p>
            <w:pPr>
              <w:spacing w:after="0"/>
              <w:rPr>
                <w:sz w:val="24"/>
                <w:szCs w:val="24"/>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761</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w w:val="86"/>
              </w:rPr>
              <w:t>1,26 1</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2"/>
                <w:szCs w:val="12"/>
                <w:color w:val="auto"/>
              </w:rPr>
              <w:t>Notes receivable va luation reserves</w:t>
            </w:r>
          </w:p>
        </w:tc>
        <w:tc>
          <w:tcPr>
            <w:tcW w:w="100" w:type="dxa"/>
            <w:vAlign w:val="bottom"/>
            <w:tcBorders>
              <w:top w:val="single" w:sz="8" w:color="585454"/>
              <w:bottom w:val="single" w:sz="8" w:color="585454"/>
            </w:tcBorders>
          </w:tcPr>
          <w:p>
            <w:pPr>
              <w:spacing w:after="0"/>
              <w:rPr>
                <w:sz w:val="24"/>
                <w:szCs w:val="24"/>
                <w:color w:val="auto"/>
              </w:rPr>
            </w:pPr>
          </w:p>
        </w:tc>
        <w:tc>
          <w:tcPr>
            <w:tcW w:w="620" w:type="dxa"/>
            <w:vAlign w:val="bottom"/>
            <w:tcBorders>
              <w:top w:val="single" w:sz="8" w:color="585454"/>
              <w:bottom w:val="single" w:sz="8" w:color="585454"/>
            </w:tcBorders>
          </w:tcPr>
          <w:p>
            <w:pPr>
              <w:jc w:val="right"/>
              <w:ind w:right="18"/>
              <w:spacing w:after="0"/>
              <w:rPr>
                <w:sz w:val="20"/>
                <w:szCs w:val="20"/>
                <w:color w:val="auto"/>
              </w:rPr>
            </w:pPr>
            <w:r>
              <w:rPr>
                <w:rFonts w:ascii="Times New Roman" w:cs="Times New Roman" w:eastAsia="Times New Roman" w:hAnsi="Times New Roman"/>
                <w:sz w:val="12"/>
                <w:szCs w:val="12"/>
                <w:color w:val="auto"/>
              </w:rPr>
              <w:t>359</w:t>
            </w:r>
          </w:p>
        </w:tc>
        <w:tc>
          <w:tcPr>
            <w:tcW w:w="120" w:type="dxa"/>
            <w:vAlign w:val="bottom"/>
            <w:tcBorders>
              <w:top w:val="single" w:sz="8" w:color="585454"/>
              <w:bottom w:val="single" w:sz="8" w:color="585454"/>
            </w:tcBorders>
          </w:tcPr>
          <w:p>
            <w:pPr>
              <w:spacing w:after="0"/>
              <w:rPr>
                <w:sz w:val="24"/>
                <w:szCs w:val="24"/>
                <w:color w:val="auto"/>
              </w:rPr>
            </w:pPr>
          </w:p>
        </w:tc>
        <w:tc>
          <w:tcPr>
            <w:tcW w:w="640" w:type="dxa"/>
            <w:vAlign w:val="bottom"/>
            <w:tcBorders>
              <w:top w:val="single" w:sz="8" w:color="585454"/>
              <w:bottom w:val="single" w:sz="8" w:color="585454"/>
            </w:tcBorders>
          </w:tcPr>
          <w:p>
            <w:pPr>
              <w:spacing w:after="0"/>
              <w:rPr>
                <w:sz w:val="24"/>
                <w:szCs w:val="24"/>
                <w:color w:val="auto"/>
              </w:rPr>
            </w:pPr>
          </w:p>
        </w:tc>
        <w:tc>
          <w:tcPr>
            <w:tcW w:w="220" w:type="dxa"/>
            <w:vAlign w:val="bottom"/>
            <w:tcBorders>
              <w:top w:val="single" w:sz="8" w:color="585454"/>
              <w:bottom w:val="single" w:sz="8" w:color="585454"/>
            </w:tcBorders>
          </w:tcPr>
          <w:p>
            <w:pPr>
              <w:spacing w:after="0"/>
              <w:rPr>
                <w:sz w:val="24"/>
                <w:szCs w:val="24"/>
                <w:color w:val="auto"/>
              </w:rPr>
            </w:pPr>
          </w:p>
        </w:tc>
        <w:tc>
          <w:tcPr>
            <w:tcW w:w="580" w:type="dxa"/>
            <w:vAlign w:val="bottom"/>
            <w:tcBorders>
              <w:top w:val="single" w:sz="8" w:color="585454"/>
              <w:bottom w:val="single" w:sz="8" w:color="585454"/>
            </w:tcBorders>
          </w:tcPr>
          <w:p>
            <w:pPr>
              <w:jc w:val="right"/>
              <w:spacing w:after="0"/>
              <w:rPr>
                <w:sz w:val="20"/>
                <w:szCs w:val="20"/>
                <w:color w:val="auto"/>
              </w:rPr>
            </w:pPr>
            <w:r>
              <w:rPr>
                <w:rFonts w:ascii="Times New Roman" w:cs="Times New Roman" w:eastAsia="Times New Roman" w:hAnsi="Times New Roman"/>
                <w:sz w:val="12"/>
                <w:szCs w:val="12"/>
                <w:color w:val="auto"/>
              </w:rPr>
              <w:t>(359)</w:t>
            </w:r>
          </w:p>
        </w:tc>
        <w:tc>
          <w:tcPr>
            <w:tcW w:w="160" w:type="dxa"/>
            <w:vAlign w:val="bottom"/>
            <w:tcBorders>
              <w:top w:val="single" w:sz="8" w:color="585454"/>
              <w:bottom w:val="single" w:sz="8" w:color="585454"/>
            </w:tcBorders>
          </w:tcPr>
          <w:p>
            <w:pPr>
              <w:spacing w:after="0"/>
              <w:rPr>
                <w:sz w:val="24"/>
                <w:szCs w:val="24"/>
                <w:color w:val="auto"/>
              </w:rPr>
            </w:pPr>
          </w:p>
        </w:tc>
        <w:tc>
          <w:tcPr>
            <w:tcW w:w="520" w:type="dxa"/>
            <w:vAlign w:val="bottom"/>
            <w:tcBorders>
              <w:top w:val="single" w:sz="8" w:color="585454"/>
              <w:bottom w:val="single" w:sz="8" w:color="585454"/>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646464"/>
              <w:bottom w:val="single" w:sz="8" w:color="585454"/>
            </w:tcBorders>
          </w:tcPr>
          <w:p>
            <w:pPr>
              <w:spacing w:after="0"/>
              <w:rPr>
                <w:sz w:val="24"/>
                <w:szCs w:val="24"/>
                <w:color w:val="auto"/>
              </w:rPr>
            </w:pPr>
          </w:p>
        </w:tc>
        <w:tc>
          <w:tcPr>
            <w:tcW w:w="560" w:type="dxa"/>
            <w:vAlign w:val="bottom"/>
            <w:tcBorders>
              <w:top w:val="single" w:sz="8" w:color="646464"/>
              <w:bottom w:val="single" w:sz="8" w:color="585454"/>
            </w:tcBorders>
          </w:tcPr>
          <w:p>
            <w:pPr>
              <w:spacing w:after="0"/>
              <w:rPr>
                <w:sz w:val="24"/>
                <w:szCs w:val="24"/>
                <w:color w:val="auto"/>
              </w:rPr>
            </w:pPr>
          </w:p>
        </w:tc>
        <w:tc>
          <w:tcPr>
            <w:tcW w:w="20" w:type="dxa"/>
            <w:vAlign w:val="bottom"/>
          </w:tcPr>
          <w:p>
            <w:pPr>
              <w:spacing w:after="0"/>
              <w:rPr>
                <w:sz w:val="24"/>
                <w:szCs w:val="24"/>
                <w:color w:val="auto"/>
              </w:rPr>
            </w:pPr>
          </w:p>
        </w:tc>
      </w:tr>
      <w:tr>
        <w:trPr>
          <w:trHeight w:val="306"/>
        </w:trPr>
        <w:tc>
          <w:tcPr>
            <w:tcW w:w="2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Income tax va luation allowance</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1,339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w w:val="96"/>
              </w:rPr>
              <w:t>1,339</w:t>
            </w:r>
          </w:p>
        </w:tc>
      </w:tr>
      <w:tr>
        <w:trPr>
          <w:trHeight w:val="453"/>
        </w:trPr>
        <w:tc>
          <w:tcPr>
            <w:tcW w:w="2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 the Year Ended November 25, 2023:</w:t>
            </w:r>
          </w:p>
        </w:tc>
        <w:tc>
          <w:tcPr>
            <w:tcW w:w="100" w:type="dxa"/>
            <w:vAlign w:val="bottom"/>
            <w:tcBorders>
              <w:top w:val="single" w:sz="8" w:color="4C484C"/>
            </w:tcBorders>
          </w:tcPr>
          <w:p>
            <w:pPr>
              <w:spacing w:after="0"/>
              <w:rPr>
                <w:sz w:val="24"/>
                <w:szCs w:val="24"/>
                <w:color w:val="auto"/>
              </w:rPr>
            </w:pPr>
          </w:p>
        </w:tc>
        <w:tc>
          <w:tcPr>
            <w:tcW w:w="620" w:type="dxa"/>
            <w:vAlign w:val="bottom"/>
            <w:tcBorders>
              <w:top w:val="single" w:sz="8" w:color="4C484C"/>
            </w:tcBorders>
          </w:tcPr>
          <w:p>
            <w:pPr>
              <w:spacing w:after="0"/>
              <w:rPr>
                <w:sz w:val="24"/>
                <w:szCs w:val="24"/>
                <w:color w:val="auto"/>
              </w:rPr>
            </w:pPr>
          </w:p>
        </w:tc>
        <w:tc>
          <w:tcPr>
            <w:tcW w:w="120" w:type="dxa"/>
            <w:vAlign w:val="bottom"/>
            <w:tcBorders>
              <w:top w:val="single" w:sz="8" w:color="4C484C"/>
            </w:tcBorders>
          </w:tcPr>
          <w:p>
            <w:pPr>
              <w:spacing w:after="0"/>
              <w:rPr>
                <w:sz w:val="24"/>
                <w:szCs w:val="24"/>
                <w:color w:val="auto"/>
              </w:rPr>
            </w:pPr>
          </w:p>
        </w:tc>
        <w:tc>
          <w:tcPr>
            <w:tcW w:w="640" w:type="dxa"/>
            <w:vAlign w:val="bottom"/>
            <w:tcBorders>
              <w:top w:val="single" w:sz="8" w:color="4C484C"/>
            </w:tcBorders>
          </w:tcPr>
          <w:p>
            <w:pPr>
              <w:spacing w:after="0"/>
              <w:rPr>
                <w:sz w:val="24"/>
                <w:szCs w:val="24"/>
                <w:color w:val="auto"/>
              </w:rPr>
            </w:pPr>
          </w:p>
        </w:tc>
        <w:tc>
          <w:tcPr>
            <w:tcW w:w="220" w:type="dxa"/>
            <w:vAlign w:val="bottom"/>
            <w:tcBorders>
              <w:top w:val="single" w:sz="8" w:color="4C484C"/>
            </w:tcBorders>
          </w:tcPr>
          <w:p>
            <w:pPr>
              <w:spacing w:after="0"/>
              <w:rPr>
                <w:sz w:val="24"/>
                <w:szCs w:val="24"/>
                <w:color w:val="auto"/>
              </w:rPr>
            </w:pPr>
          </w:p>
        </w:tc>
        <w:tc>
          <w:tcPr>
            <w:tcW w:w="580" w:type="dxa"/>
            <w:vAlign w:val="bottom"/>
            <w:tcBorders>
              <w:top w:val="single" w:sz="8" w:color="4C484C"/>
            </w:tcBorders>
          </w:tcPr>
          <w:p>
            <w:pPr>
              <w:spacing w:after="0"/>
              <w:rPr>
                <w:sz w:val="24"/>
                <w:szCs w:val="24"/>
                <w:color w:val="auto"/>
              </w:rPr>
            </w:pPr>
          </w:p>
        </w:tc>
        <w:tc>
          <w:tcPr>
            <w:tcW w:w="160" w:type="dxa"/>
            <w:vAlign w:val="bottom"/>
            <w:tcBorders>
              <w:top w:val="single" w:sz="8" w:color="4C484C"/>
            </w:tcBorders>
          </w:tcPr>
          <w:p>
            <w:pPr>
              <w:spacing w:after="0"/>
              <w:rPr>
                <w:sz w:val="24"/>
                <w:szCs w:val="24"/>
                <w:color w:val="auto"/>
              </w:rPr>
            </w:pPr>
          </w:p>
        </w:tc>
        <w:tc>
          <w:tcPr>
            <w:tcW w:w="520" w:type="dxa"/>
            <w:vAlign w:val="bottom"/>
            <w:tcBorders>
              <w:top w:val="single" w:sz="8" w:color="4C484C"/>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4C484C"/>
            </w:tcBorders>
          </w:tcPr>
          <w:p>
            <w:pPr>
              <w:spacing w:after="0"/>
              <w:rPr>
                <w:sz w:val="24"/>
                <w:szCs w:val="24"/>
                <w:color w:val="auto"/>
              </w:rPr>
            </w:pPr>
          </w:p>
        </w:tc>
        <w:tc>
          <w:tcPr>
            <w:tcW w:w="560" w:type="dxa"/>
            <w:vAlign w:val="bottom"/>
            <w:tcBorders>
              <w:top w:val="single" w:sz="8" w:color="4C484C"/>
            </w:tcBorders>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Reserve deducted from assets to which it applies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2640" w:type="dxa"/>
            <w:vAlign w:val="bottom"/>
          </w:tcPr>
          <w:p>
            <w:pPr>
              <w:spacing w:after="0"/>
              <w:rPr>
                <w:sz w:val="13"/>
                <w:szCs w:val="13"/>
                <w:color w:val="auto"/>
              </w:rPr>
            </w:pPr>
          </w:p>
        </w:tc>
        <w:tc>
          <w:tcPr>
            <w:tcW w:w="100" w:type="dxa"/>
            <w:vAlign w:val="bottom"/>
            <w:tcBorders>
              <w:bottom w:val="single" w:sz="8" w:color="585454"/>
            </w:tcBorders>
          </w:tcPr>
          <w:p>
            <w:pPr>
              <w:spacing w:after="0"/>
              <w:rPr>
                <w:sz w:val="13"/>
                <w:szCs w:val="13"/>
                <w:color w:val="auto"/>
              </w:rPr>
            </w:pPr>
          </w:p>
        </w:tc>
        <w:tc>
          <w:tcPr>
            <w:tcW w:w="620" w:type="dxa"/>
            <w:vAlign w:val="bottom"/>
            <w:tcBorders>
              <w:bottom w:val="single" w:sz="8" w:color="585454"/>
            </w:tcBorders>
          </w:tcPr>
          <w:p>
            <w:pPr>
              <w:spacing w:after="0"/>
              <w:rPr>
                <w:sz w:val="13"/>
                <w:szCs w:val="13"/>
                <w:color w:val="auto"/>
              </w:rPr>
            </w:pPr>
          </w:p>
        </w:tc>
        <w:tc>
          <w:tcPr>
            <w:tcW w:w="120" w:type="dxa"/>
            <w:vAlign w:val="bottom"/>
            <w:tcBorders>
              <w:bottom w:val="single" w:sz="8" w:color="585454"/>
            </w:tcBorders>
          </w:tcPr>
          <w:p>
            <w:pPr>
              <w:spacing w:after="0"/>
              <w:rPr>
                <w:sz w:val="13"/>
                <w:szCs w:val="13"/>
                <w:color w:val="auto"/>
              </w:rPr>
            </w:pPr>
          </w:p>
        </w:tc>
        <w:tc>
          <w:tcPr>
            <w:tcW w:w="640" w:type="dxa"/>
            <w:vAlign w:val="bottom"/>
            <w:tcBorders>
              <w:bottom w:val="single" w:sz="8" w:color="585454"/>
            </w:tcBorders>
          </w:tcPr>
          <w:p>
            <w:pPr>
              <w:spacing w:after="0"/>
              <w:rPr>
                <w:sz w:val="13"/>
                <w:szCs w:val="13"/>
                <w:color w:val="auto"/>
              </w:rPr>
            </w:pPr>
          </w:p>
        </w:tc>
        <w:tc>
          <w:tcPr>
            <w:tcW w:w="220" w:type="dxa"/>
            <w:vAlign w:val="bottom"/>
            <w:tcBorders>
              <w:bottom w:val="single" w:sz="8" w:color="585454"/>
            </w:tcBorders>
          </w:tcPr>
          <w:p>
            <w:pPr>
              <w:spacing w:after="0"/>
              <w:rPr>
                <w:sz w:val="13"/>
                <w:szCs w:val="13"/>
                <w:color w:val="auto"/>
              </w:rPr>
            </w:pPr>
          </w:p>
        </w:tc>
        <w:tc>
          <w:tcPr>
            <w:tcW w:w="580" w:type="dxa"/>
            <w:vAlign w:val="bottom"/>
            <w:tcBorders>
              <w:bottom w:val="single" w:sz="8" w:color="585454"/>
            </w:tcBorders>
          </w:tcPr>
          <w:p>
            <w:pPr>
              <w:spacing w:after="0"/>
              <w:rPr>
                <w:sz w:val="13"/>
                <w:szCs w:val="13"/>
                <w:color w:val="auto"/>
              </w:rPr>
            </w:pPr>
          </w:p>
        </w:tc>
        <w:tc>
          <w:tcPr>
            <w:tcW w:w="160" w:type="dxa"/>
            <w:vAlign w:val="bottom"/>
            <w:tcBorders>
              <w:bottom w:val="single" w:sz="8" w:color="585454"/>
            </w:tcBorders>
          </w:tcPr>
          <w:p>
            <w:pPr>
              <w:spacing w:after="0"/>
              <w:rPr>
                <w:sz w:val="13"/>
                <w:szCs w:val="13"/>
                <w:color w:val="auto"/>
              </w:rPr>
            </w:pPr>
          </w:p>
        </w:tc>
        <w:tc>
          <w:tcPr>
            <w:tcW w:w="520" w:type="dxa"/>
            <w:vAlign w:val="bottom"/>
            <w:tcBorders>
              <w:bottom w:val="single" w:sz="8" w:color="585454"/>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585454"/>
            </w:tcBorders>
          </w:tcPr>
          <w:p>
            <w:pPr>
              <w:spacing w:after="0"/>
              <w:rPr>
                <w:sz w:val="13"/>
                <w:szCs w:val="13"/>
                <w:color w:val="auto"/>
              </w:rPr>
            </w:pPr>
          </w:p>
        </w:tc>
        <w:tc>
          <w:tcPr>
            <w:tcW w:w="560" w:type="dxa"/>
            <w:vAlign w:val="bottom"/>
            <w:tcBorders>
              <w:bottom w:val="single" w:sz="8" w:color="585454"/>
            </w:tcBorders>
          </w:tcPr>
          <w:p>
            <w:pPr>
              <w:spacing w:after="0"/>
              <w:rPr>
                <w:sz w:val="13"/>
                <w:szCs w:val="13"/>
                <w:color w:val="auto"/>
              </w:rPr>
            </w:pPr>
          </w:p>
        </w:tc>
        <w:tc>
          <w:tcPr>
            <w:tcW w:w="20" w:type="dxa"/>
            <w:vAlign w:val="bottom"/>
            <w:tcBorders>
              <w:bottom w:val="single" w:sz="8" w:color="585454"/>
            </w:tcBorders>
          </w:tcPr>
          <w:p>
            <w:pPr>
              <w:spacing w:after="0"/>
              <w:rPr>
                <w:sz w:val="13"/>
                <w:szCs w:val="13"/>
                <w:color w:val="auto"/>
              </w:rPr>
            </w:pPr>
          </w:p>
        </w:tc>
      </w:tr>
      <w:tr>
        <w:trPr>
          <w:trHeight w:val="151"/>
        </w:trPr>
        <w:tc>
          <w:tcPr>
            <w:tcW w:w="2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Allowance for doubtful accounts</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1,26 1</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219</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(945)</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ind w:left="380"/>
              <w:spacing w:after="0"/>
              <w:rPr>
                <w:sz w:val="20"/>
                <w:szCs w:val="20"/>
                <w:color w:val="auto"/>
              </w:rPr>
            </w:pPr>
            <w:r>
              <w:rPr>
                <w:rFonts w:ascii="Times New Roman" w:cs="Times New Roman" w:eastAsia="Times New Roman" w:hAnsi="Times New Roman"/>
                <w:sz w:val="12"/>
                <w:szCs w:val="12"/>
                <w:color w:val="auto"/>
                <w:w w:val="88"/>
              </w:rPr>
              <w:t>535</w:t>
            </w:r>
          </w:p>
        </w:tc>
        <w:tc>
          <w:tcPr>
            <w:tcW w:w="20" w:type="dxa"/>
            <w:vAlign w:val="bottom"/>
          </w:tcPr>
          <w:p>
            <w:pPr>
              <w:spacing w:after="0"/>
              <w:rPr>
                <w:sz w:val="13"/>
                <w:szCs w:val="13"/>
                <w:color w:val="auto"/>
              </w:rPr>
            </w:pPr>
          </w:p>
        </w:tc>
      </w:tr>
      <w:tr>
        <w:trPr>
          <w:trHeight w:val="475"/>
        </w:trPr>
        <w:tc>
          <w:tcPr>
            <w:tcW w:w="2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Income tax valuation allowance</w:t>
            </w:r>
          </w:p>
        </w:tc>
        <w:tc>
          <w:tcPr>
            <w:tcW w:w="100" w:type="dxa"/>
            <w:vAlign w:val="bottom"/>
          </w:tcPr>
          <w:p>
            <w:pPr>
              <w:spacing w:after="0"/>
              <w:rPr>
                <w:sz w:val="20"/>
                <w:szCs w:val="20"/>
                <w:color w:val="auto"/>
              </w:rPr>
            </w:pPr>
            <w:r>
              <w:rPr>
                <w:rFonts w:ascii="Arial" w:cs="Arial" w:eastAsia="Arial" w:hAnsi="Arial"/>
                <w:sz w:val="11"/>
                <w:szCs w:val="11"/>
                <w:color w:val="auto"/>
              </w:rPr>
              <w:t>&gt;</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1,339</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452</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ind w:left="48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w w:val="86"/>
              </w:rPr>
              <w:t>1,79 1</w:t>
            </w:r>
          </w:p>
        </w:tc>
      </w:tr>
      <w:tr>
        <w:trPr>
          <w:trHeight w:val="326"/>
        </w:trPr>
        <w:tc>
          <w:tcPr>
            <w:tcW w:w="2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 the Year Ended November 30, 2024:</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Reserve deducted from assets to which it applies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96"/>
        </w:trPr>
        <w:tc>
          <w:tcPr>
            <w:tcW w:w="2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Allowance for doubtful accounts</w:t>
            </w:r>
          </w:p>
        </w:tc>
        <w:tc>
          <w:tcPr>
            <w:tcW w:w="100" w:type="dxa"/>
            <w:vAlign w:val="bottom"/>
          </w:tcPr>
          <w:p>
            <w:pPr>
              <w:spacing w:after="0"/>
              <w:rPr>
                <w:sz w:val="24"/>
                <w:szCs w:val="24"/>
                <w:color w:val="auto"/>
              </w:rPr>
            </w:pP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535</w:t>
            </w:r>
          </w:p>
        </w:tc>
        <w:tc>
          <w:tcPr>
            <w:tcW w:w="120" w:type="dxa"/>
            <w:vAlign w:val="bottom"/>
          </w:tcPr>
          <w:p>
            <w:pPr>
              <w:spacing w:after="0"/>
              <w:rPr>
                <w:sz w:val="24"/>
                <w:szCs w:val="24"/>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624</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w w:val="96"/>
              </w:rPr>
              <w:t>1,097</w:t>
            </w:r>
          </w:p>
        </w:tc>
      </w:tr>
      <w:tr>
        <w:trPr>
          <w:trHeight w:val="20"/>
        </w:trPr>
        <w:tc>
          <w:tcPr>
            <w:tcW w:w="2640" w:type="dxa"/>
            <w:vAlign w:val="bottom"/>
            <w:tcBorders>
              <w:right w:val="single" w:sz="8" w:color="242020"/>
            </w:tcBorders>
          </w:tcPr>
          <w:p>
            <w:pPr>
              <w:spacing w:after="0" w:line="20" w:lineRule="exact"/>
              <w:rPr>
                <w:sz w:val="1"/>
                <w:szCs w:val="1"/>
                <w:color w:val="auto"/>
              </w:rPr>
            </w:pPr>
          </w:p>
        </w:tc>
        <w:tc>
          <w:tcPr>
            <w:tcW w:w="100" w:type="dxa"/>
            <w:vAlign w:val="bottom"/>
            <w:shd w:val="clear" w:color="auto" w:fill="242020"/>
          </w:tcPr>
          <w:p>
            <w:pPr>
              <w:spacing w:after="0" w:line="20" w:lineRule="exact"/>
              <w:rPr>
                <w:sz w:val="1"/>
                <w:szCs w:val="1"/>
                <w:color w:val="auto"/>
              </w:rPr>
            </w:pPr>
          </w:p>
        </w:tc>
        <w:tc>
          <w:tcPr>
            <w:tcW w:w="620" w:type="dxa"/>
            <w:vAlign w:val="bottom"/>
            <w:shd w:val="clear" w:color="auto" w:fill="242020"/>
          </w:tcPr>
          <w:p>
            <w:pPr>
              <w:spacing w:after="0" w:line="20" w:lineRule="exact"/>
              <w:rPr>
                <w:sz w:val="1"/>
                <w:szCs w:val="1"/>
                <w:color w:val="auto"/>
              </w:rPr>
            </w:pPr>
          </w:p>
        </w:tc>
        <w:tc>
          <w:tcPr>
            <w:tcW w:w="120" w:type="dxa"/>
            <w:vAlign w:val="bottom"/>
            <w:shd w:val="clear" w:color="auto" w:fill="242020"/>
          </w:tcPr>
          <w:p>
            <w:pPr>
              <w:spacing w:after="0" w:line="20" w:lineRule="exact"/>
              <w:rPr>
                <w:sz w:val="1"/>
                <w:szCs w:val="1"/>
                <w:color w:val="auto"/>
              </w:rPr>
            </w:pPr>
          </w:p>
        </w:tc>
        <w:tc>
          <w:tcPr>
            <w:tcW w:w="640" w:type="dxa"/>
            <w:vAlign w:val="bottom"/>
            <w:shd w:val="clear" w:color="auto" w:fill="242020"/>
          </w:tcPr>
          <w:p>
            <w:pPr>
              <w:spacing w:after="0" w:line="20" w:lineRule="exact"/>
              <w:rPr>
                <w:sz w:val="1"/>
                <w:szCs w:val="1"/>
                <w:color w:val="auto"/>
              </w:rPr>
            </w:pPr>
          </w:p>
        </w:tc>
        <w:tc>
          <w:tcPr>
            <w:tcW w:w="220" w:type="dxa"/>
            <w:vAlign w:val="bottom"/>
            <w:shd w:val="clear" w:color="auto" w:fill="242020"/>
          </w:tcPr>
          <w:p>
            <w:pPr>
              <w:spacing w:after="0" w:line="20" w:lineRule="exact"/>
              <w:rPr>
                <w:sz w:val="1"/>
                <w:szCs w:val="1"/>
                <w:color w:val="auto"/>
              </w:rPr>
            </w:pPr>
          </w:p>
        </w:tc>
        <w:tc>
          <w:tcPr>
            <w:tcW w:w="580" w:type="dxa"/>
            <w:vAlign w:val="bottom"/>
            <w:shd w:val="clear" w:color="auto" w:fill="242020"/>
          </w:tcPr>
          <w:p>
            <w:pPr>
              <w:spacing w:after="0" w:line="20" w:lineRule="exact"/>
              <w:rPr>
                <w:sz w:val="1"/>
                <w:szCs w:val="1"/>
                <w:color w:val="auto"/>
              </w:rPr>
            </w:pPr>
          </w:p>
        </w:tc>
        <w:tc>
          <w:tcPr>
            <w:tcW w:w="160" w:type="dxa"/>
            <w:vAlign w:val="bottom"/>
            <w:shd w:val="clear" w:color="auto" w:fill="242020"/>
          </w:tcPr>
          <w:p>
            <w:pPr>
              <w:spacing w:after="0" w:line="20" w:lineRule="exact"/>
              <w:rPr>
                <w:sz w:val="1"/>
                <w:szCs w:val="1"/>
                <w:color w:val="auto"/>
              </w:rPr>
            </w:pPr>
          </w:p>
        </w:tc>
        <w:tc>
          <w:tcPr>
            <w:tcW w:w="520" w:type="dxa"/>
            <w:vAlign w:val="bottom"/>
            <w:shd w:val="clear" w:color="auto" w:fill="2420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201C20"/>
          </w:tcPr>
          <w:p>
            <w:pPr>
              <w:spacing w:after="0" w:line="20" w:lineRule="exact"/>
              <w:rPr>
                <w:sz w:val="1"/>
                <w:szCs w:val="1"/>
                <w:color w:val="auto"/>
              </w:rPr>
            </w:pPr>
          </w:p>
        </w:tc>
        <w:tc>
          <w:tcPr>
            <w:tcW w:w="560" w:type="dxa"/>
            <w:vAlign w:val="bottom"/>
            <w:shd w:val="clear" w:color="auto" w:fill="201C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9"/>
        </w:trPr>
        <w:tc>
          <w:tcPr>
            <w:tcW w:w="2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Income tax valuation allowance</w:t>
            </w:r>
          </w:p>
        </w:tc>
        <w:tc>
          <w:tcPr>
            <w:tcW w:w="10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1,791</w:t>
            </w:r>
          </w:p>
        </w:tc>
        <w:tc>
          <w:tcPr>
            <w:tcW w:w="120" w:type="dxa"/>
            <w:vAlign w:val="bottom"/>
          </w:tcPr>
          <w:p>
            <w:pPr>
              <w:spacing w:after="0"/>
              <w:rPr>
                <w:sz w:val="24"/>
                <w:szCs w:val="24"/>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473</w:t>
            </w:r>
          </w:p>
        </w:tc>
        <w:tc>
          <w:tcPr>
            <w:tcW w:w="220" w:type="dxa"/>
            <w:vAlign w:val="bottom"/>
          </w:tcPr>
          <w:p>
            <w:pPr>
              <w:spacing w:after="0"/>
              <w:rPr>
                <w:sz w:val="24"/>
                <w:szCs w:val="24"/>
                <w:color w:val="auto"/>
              </w:rPr>
            </w:pP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2,264</w:t>
            </w:r>
          </w:p>
        </w:tc>
      </w:tr>
      <w:tr>
        <w:trPr>
          <w:trHeight w:val="26"/>
        </w:trPr>
        <w:tc>
          <w:tcPr>
            <w:tcW w:w="2640" w:type="dxa"/>
            <w:vAlign w:val="bottom"/>
            <w:tcBorders>
              <w:right w:val="single" w:sz="8" w:color="3C3838"/>
            </w:tcBorders>
          </w:tcPr>
          <w:p>
            <w:pPr>
              <w:spacing w:after="0"/>
              <w:rPr>
                <w:sz w:val="2"/>
                <w:szCs w:val="2"/>
                <w:color w:val="auto"/>
              </w:rPr>
            </w:pPr>
          </w:p>
        </w:tc>
        <w:tc>
          <w:tcPr>
            <w:tcW w:w="100" w:type="dxa"/>
            <w:vAlign w:val="bottom"/>
            <w:shd w:val="clear" w:color="auto" w:fill="3C3838"/>
          </w:tcPr>
          <w:p>
            <w:pPr>
              <w:spacing w:after="0"/>
              <w:rPr>
                <w:sz w:val="2"/>
                <w:szCs w:val="2"/>
                <w:color w:val="auto"/>
              </w:rPr>
            </w:pPr>
          </w:p>
        </w:tc>
        <w:tc>
          <w:tcPr>
            <w:tcW w:w="620" w:type="dxa"/>
            <w:vAlign w:val="bottom"/>
            <w:shd w:val="clear" w:color="auto" w:fill="3C3838"/>
          </w:tcPr>
          <w:p>
            <w:pPr>
              <w:spacing w:after="0"/>
              <w:rPr>
                <w:sz w:val="2"/>
                <w:szCs w:val="2"/>
                <w:color w:val="auto"/>
              </w:rPr>
            </w:pPr>
          </w:p>
        </w:tc>
        <w:tc>
          <w:tcPr>
            <w:tcW w:w="120" w:type="dxa"/>
            <w:vAlign w:val="bottom"/>
            <w:shd w:val="clear" w:color="auto" w:fill="3C3838"/>
          </w:tcPr>
          <w:p>
            <w:pPr>
              <w:spacing w:after="0"/>
              <w:rPr>
                <w:sz w:val="2"/>
                <w:szCs w:val="2"/>
                <w:color w:val="auto"/>
              </w:rPr>
            </w:pPr>
          </w:p>
        </w:tc>
        <w:tc>
          <w:tcPr>
            <w:tcW w:w="640" w:type="dxa"/>
            <w:vAlign w:val="bottom"/>
            <w:shd w:val="clear" w:color="auto" w:fill="3C3838"/>
          </w:tcPr>
          <w:p>
            <w:pPr>
              <w:spacing w:after="0"/>
              <w:rPr>
                <w:sz w:val="2"/>
                <w:szCs w:val="2"/>
                <w:color w:val="auto"/>
              </w:rPr>
            </w:pPr>
          </w:p>
        </w:tc>
        <w:tc>
          <w:tcPr>
            <w:tcW w:w="220" w:type="dxa"/>
            <w:vAlign w:val="bottom"/>
            <w:shd w:val="clear" w:color="auto" w:fill="3C3838"/>
          </w:tcPr>
          <w:p>
            <w:pPr>
              <w:spacing w:after="0"/>
              <w:rPr>
                <w:sz w:val="2"/>
                <w:szCs w:val="2"/>
                <w:color w:val="auto"/>
              </w:rPr>
            </w:pPr>
          </w:p>
        </w:tc>
        <w:tc>
          <w:tcPr>
            <w:tcW w:w="580" w:type="dxa"/>
            <w:vAlign w:val="bottom"/>
            <w:shd w:val="clear" w:color="auto" w:fill="3C3838"/>
          </w:tcPr>
          <w:p>
            <w:pPr>
              <w:spacing w:after="0"/>
              <w:rPr>
                <w:sz w:val="2"/>
                <w:szCs w:val="2"/>
                <w:color w:val="auto"/>
              </w:rPr>
            </w:pPr>
          </w:p>
        </w:tc>
        <w:tc>
          <w:tcPr>
            <w:tcW w:w="160" w:type="dxa"/>
            <w:vAlign w:val="bottom"/>
            <w:shd w:val="clear" w:color="auto" w:fill="3C3838"/>
          </w:tcPr>
          <w:p>
            <w:pPr>
              <w:spacing w:after="0"/>
              <w:rPr>
                <w:sz w:val="2"/>
                <w:szCs w:val="2"/>
                <w:color w:val="auto"/>
              </w:rPr>
            </w:pPr>
          </w:p>
        </w:tc>
        <w:tc>
          <w:tcPr>
            <w:tcW w:w="520" w:type="dxa"/>
            <w:vAlign w:val="bottom"/>
            <w:shd w:val="clear" w:color="auto" w:fill="3C3838"/>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3C3C3C"/>
          </w:tcPr>
          <w:p>
            <w:pPr>
              <w:spacing w:after="0"/>
              <w:rPr>
                <w:sz w:val="2"/>
                <w:szCs w:val="2"/>
                <w:color w:val="auto"/>
              </w:rPr>
            </w:pPr>
          </w:p>
        </w:tc>
        <w:tc>
          <w:tcPr>
            <w:tcW w:w="560" w:type="dxa"/>
            <w:vAlign w:val="bottom"/>
            <w:shd w:val="clear" w:color="auto" w:fill="3C3C3C"/>
          </w:tcPr>
          <w:p>
            <w:pPr>
              <w:spacing w:after="0"/>
              <w:rPr>
                <w:sz w:val="2"/>
                <w:szCs w:val="2"/>
                <w:color w:val="auto"/>
              </w:rPr>
            </w:pPr>
          </w:p>
        </w:tc>
        <w:tc>
          <w:tcPr>
            <w:tcW w:w="20" w:type="dxa"/>
            <w:vAlign w:val="bottom"/>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Deductions are for the purpose for which the reserve was created.</w:t>
      </w:r>
    </w:p>
    <w:p>
      <w:pPr>
        <w:spacing w:after="0" w:line="200" w:lineRule="exact"/>
        <w:rPr>
          <w:sz w:val="20"/>
          <w:szCs w:val="20"/>
          <w:color w:val="auto"/>
        </w:rPr>
      </w:pPr>
    </w:p>
    <w:p>
      <w:pPr>
        <w:sectPr>
          <w:pgSz w:w="15840" w:h="12240" w:orient="landscape"/>
          <w:cols w:equalWidth="0" w:num="2">
            <w:col w:w="7200" w:space="720"/>
            <w:col w:w="6380"/>
          </w:cols>
          <w:pgMar w:left="740" w:top="1440" w:right="800" w:bottom="8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49</w:t>
      </w:r>
      <w:r>
        <w:rPr>
          <w:sz w:val="20"/>
          <w:szCs w:val="20"/>
          <w:color w:val="auto"/>
        </w:rPr>
        <w:tab/>
      </w:r>
      <w:r>
        <w:rPr>
          <w:rFonts w:ascii="Times New Roman" w:cs="Times New Roman" w:eastAsia="Times New Roman" w:hAnsi="Times New Roman"/>
          <w:sz w:val="12"/>
          <w:szCs w:val="12"/>
          <w:color w:val="auto"/>
        </w:rPr>
        <w:t>50</w:t>
      </w:r>
    </w:p>
    <w:p>
      <w:pPr>
        <w:sectPr>
          <w:pgSz w:w="15840" w:h="12240" w:orient="landscape"/>
          <w:cols w:equalWidth="0" w:num="1">
            <w:col w:w="14300"/>
          </w:cols>
          <w:pgMar w:left="740" w:top="1440" w:right="800" w:bottom="897" w:gutter="0" w:footer="0" w:header="0"/>
          <w:type w:val="continuous"/>
        </w:sectPr>
      </w:pPr>
    </w:p>
    <w:bookmarkStart w:id="29" w:name="page30"/>
    <w:bookmarkEnd w:id="29"/>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0058400" cy="7772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2"/>
          <w:szCs w:val="12"/>
          <w:b w:val="1"/>
          <w:bCs w:val="1"/>
          <w:color w:val="auto"/>
        </w:rPr>
        <w:t>Management's Report of Internal Control over Financial Reporting</w:t>
      </w:r>
    </w:p>
    <w:p>
      <w:pPr>
        <w:spacing w:after="0" w:line="165" w:lineRule="exact"/>
        <w:rPr>
          <w:sz w:val="20"/>
          <w:szCs w:val="20"/>
          <w:color w:val="auto"/>
        </w:rPr>
      </w:pPr>
    </w:p>
    <w:p>
      <w:pPr>
        <w:jc w:val="both"/>
        <w:ind w:right="760" w:firstLine="2"/>
        <w:spacing w:after="0" w:line="259" w:lineRule="auto"/>
        <w:rPr>
          <w:sz w:val="20"/>
          <w:szCs w:val="20"/>
          <w:color w:val="auto"/>
        </w:rPr>
      </w:pPr>
      <w:r>
        <w:rPr>
          <w:rFonts w:ascii="Times New Roman" w:cs="Times New Roman" w:eastAsia="Times New Roman" w:hAnsi="Times New Roman"/>
          <w:sz w:val="12"/>
          <w:szCs w:val="12"/>
          <w:color w:val="auto"/>
        </w:rPr>
        <w:t>As of the end of the period covered by thi s Annual Report on Form 10-K, our principal executive officer and principal financial officer have eva luated the effecti veness of our "disclosure controls and procedures" (" Disclosure Controls"). Disclosure Controls, as defmed in Rule 13a-15(e) of the Securities Exchange Act of 1934, as amended (the "Exchange Act"), are procedures that are designed to provide reasonable assurance that information required to be di sclosed in our reports filed under the Exchange Act, such as this Annual Report, is recorded, processed, summari zed and reported within the time periods specified in the Securities and Exchange Commission's rules and form s. Disclosure Controls are also designed with the objective of ensuring that such information is accumulated and communicated to our management, including the CEO and CFO, as appropriate to allow timely decisions regarding required disclosure. Our management, including the CEO and CFO, does not expect that our Disclosure Controls will prevent all error and all fraud. A control system , no matter how well conceived and operated, can provide only reasonable, not abso lute, assurance that the objectives of the control system are met. Further, the design of a control system must reflect the fact that there are resource constraints, and the benefits of controls must be considered relati 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 and that breakdowns can occur because of simple error or mistake. The design of any system of controls also is based in part upon certain assumptions about the likelihood of future events, and there can be no assurance that any design will succeed in achieving its stated goals under all potential future conditions.</w:t>
      </w:r>
    </w:p>
    <w:p>
      <w:pPr>
        <w:spacing w:after="0" w:line="296" w:lineRule="exact"/>
        <w:rPr>
          <w:sz w:val="20"/>
          <w:szCs w:val="20"/>
          <w:color w:val="auto"/>
        </w:rPr>
      </w:pPr>
    </w:p>
    <w:p>
      <w:pPr>
        <w:jc w:val="both"/>
        <w:ind w:right="760" w:firstLine="5"/>
        <w:spacing w:after="0" w:line="254" w:lineRule="auto"/>
        <w:rPr>
          <w:sz w:val="20"/>
          <w:szCs w:val="20"/>
          <w:color w:val="auto"/>
        </w:rPr>
      </w:pPr>
      <w:r>
        <w:rPr>
          <w:rFonts w:ascii="Times New Roman" w:cs="Times New Roman" w:eastAsia="Times New Roman" w:hAnsi="Times New Roman"/>
          <w:sz w:val="12"/>
          <w:szCs w:val="12"/>
          <w:color w:val="auto"/>
        </w:rPr>
        <w:t>Based upon their controls evaluation, our CEO and CFO have concluded that our Disclosure Controls are effective at a reasonable assurance leve l.</w:t>
      </w:r>
    </w:p>
    <w:p>
      <w:pPr>
        <w:spacing w:after="0" w:line="159" w:lineRule="exact"/>
        <w:rPr>
          <w:sz w:val="20"/>
          <w:szCs w:val="20"/>
          <w:color w:val="auto"/>
        </w:rPr>
      </w:pPr>
    </w:p>
    <w:p>
      <w:pPr>
        <w:jc w:val="both"/>
        <w:ind w:right="760" w:firstLine="8"/>
        <w:spacing w:after="0" w:line="258" w:lineRule="auto"/>
        <w:rPr>
          <w:sz w:val="20"/>
          <w:szCs w:val="20"/>
          <w:color w:val="auto"/>
        </w:rPr>
      </w:pPr>
      <w:r>
        <w:rPr>
          <w:rFonts w:ascii="Times New Roman" w:cs="Times New Roman" w:eastAsia="Times New Roman" w:hAnsi="Times New Roman"/>
          <w:sz w:val="12"/>
          <w:szCs w:val="12"/>
          <w:color w:val="auto"/>
        </w:rPr>
        <w:t xml:space="preserve">We are responsible for establishing and maintaining adequate internal control over financial reporting in accordance with Exchange Act Rule 13a-15. With the participation of our CEO and CFO, our management conducted an evaluation of the effectiveness of our internal control over financial reporting as of November 30, 2024 based on the criteria established in </w:t>
      </w:r>
      <w:r>
        <w:rPr>
          <w:rFonts w:ascii="Times New Roman" w:cs="Times New Roman" w:eastAsia="Times New Roman" w:hAnsi="Times New Roman"/>
          <w:sz w:val="12"/>
          <w:szCs w:val="12"/>
          <w:i w:val="1"/>
          <w:iCs w:val="1"/>
          <w:color w:val="auto"/>
        </w:rPr>
        <w:t xml:space="preserve">Internal Control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Integrated Framework </w:t>
      </w:r>
      <w:r>
        <w:rPr>
          <w:rFonts w:ascii="Times New Roman" w:cs="Times New Roman" w:eastAsia="Times New Roman" w:hAnsi="Times New Roman"/>
          <w:sz w:val="12"/>
          <w:szCs w:val="12"/>
          <w:color w:val="auto"/>
        </w:rPr>
        <w:t>issued by the Committee of Sponsoring Organizations of the Treadway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Commission . Based on thi s evaluation, management concluded that our internal control over financial reporting was effective as of November 30, 2024, based on those criteria . A control system , no matter how we ll conceived and operated, can provide only reasonable, not absolute, assurance that the </w:t>
      </w:r>
      <w:r>
        <w:rPr>
          <w:rFonts w:ascii="Arial" w:cs="Arial" w:eastAsia="Arial" w:hAnsi="Arial"/>
          <w:sz w:val="9"/>
          <w:szCs w:val="9"/>
          <w:color w:val="auto"/>
        </w:rPr>
        <w:t>o~jectives</w:t>
      </w:r>
      <w:r>
        <w:rPr>
          <w:rFonts w:ascii="Times New Roman" w:cs="Times New Roman" w:eastAsia="Times New Roman" w:hAnsi="Times New Roman"/>
          <w:sz w:val="12"/>
          <w:szCs w:val="12"/>
          <w:color w:val="auto"/>
        </w:rPr>
        <w:t xml:space="preserve"> of the control system are met. Because of the inherent limitations in all control systems, no evaluation of controls can provide absolute assurance that all control issues and instances of fraud, if any, within the Company have been detected.</w:t>
      </w:r>
    </w:p>
    <w:p>
      <w:pPr>
        <w:spacing w:after="0" w:line="301" w:lineRule="exact"/>
        <w:rPr>
          <w:sz w:val="20"/>
          <w:szCs w:val="20"/>
          <w:color w:val="auto"/>
        </w:rPr>
      </w:pPr>
    </w:p>
    <w:p>
      <w:pPr>
        <w:jc w:val="both"/>
        <w:ind w:right="760" w:firstLine="5"/>
        <w:spacing w:after="0" w:line="254" w:lineRule="auto"/>
        <w:rPr>
          <w:sz w:val="20"/>
          <w:szCs w:val="20"/>
          <w:color w:val="auto"/>
        </w:rPr>
      </w:pPr>
      <w:r>
        <w:rPr>
          <w:rFonts w:ascii="Times New Roman" w:cs="Times New Roman" w:eastAsia="Times New Roman" w:hAnsi="Times New Roman"/>
          <w:sz w:val="12"/>
          <w:szCs w:val="12"/>
          <w:color w:val="auto"/>
        </w:rPr>
        <w:t xml:space="preserve">Ernst </w:t>
      </w:r>
      <w:r>
        <w:rPr>
          <w:rFonts w:ascii="Arial" w:cs="Arial" w:eastAsia="Arial" w:hAnsi="Arial"/>
          <w:sz w:val="11"/>
          <w:szCs w:val="11"/>
          <w:color w:val="auto"/>
        </w:rPr>
        <w:t>&amp;</w:t>
      </w:r>
      <w:r>
        <w:rPr>
          <w:rFonts w:ascii="Times New Roman" w:cs="Times New Roman" w:eastAsia="Times New Roman" w:hAnsi="Times New Roman"/>
          <w:sz w:val="12"/>
          <w:szCs w:val="12"/>
          <w:color w:val="auto"/>
        </w:rPr>
        <w:t xml:space="preserve"> Young LLP, the Company ' s independent regi stered public accounting firm, has iss ued an attestation report on the effectiveness of the Company ' s internal control over financial reporting.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165" w:lineRule="exact"/>
        <w:rPr>
          <w:sz w:val="20"/>
          <w:szCs w:val="20"/>
          <w:color w:val="auto"/>
        </w:rPr>
      </w:pPr>
    </w:p>
    <w:p>
      <w:pPr>
        <w:jc w:val="both"/>
        <w:ind w:right="760"/>
        <w:spacing w:after="0" w:line="247" w:lineRule="auto"/>
        <w:rPr>
          <w:sz w:val="20"/>
          <w:szCs w:val="20"/>
          <w:color w:val="auto"/>
        </w:rPr>
      </w:pPr>
      <w:r>
        <w:rPr>
          <w:rFonts w:ascii="Times New Roman" w:cs="Times New Roman" w:eastAsia="Times New Roman" w:hAnsi="Times New Roman"/>
          <w:sz w:val="12"/>
          <w:szCs w:val="12"/>
          <w:color w:val="auto"/>
        </w:rPr>
        <w:t>There have been no changes in our internal controls over financial reporting during our fourth</w:t>
      </w:r>
      <w:r>
        <w:rPr>
          <w:sz w:val="20"/>
          <w:szCs w:val="20"/>
          <w:color w:val="auto"/>
        </w:rPr>
        <w:t xml:space="preserve"> </w:t>
      </w:r>
      <w:r>
        <w:rPr>
          <w:rFonts w:ascii="Times New Roman" w:cs="Times New Roman" w:eastAsia="Times New Roman" w:hAnsi="Times New Roman"/>
          <w:sz w:val="12"/>
          <w:szCs w:val="12"/>
          <w:color w:val="auto"/>
        </w:rPr>
        <w:t>fi scal quarter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2"/>
          <w:szCs w:val="12"/>
          <w:color w:val="auto"/>
        </w:rPr>
        <w:t>Report of Independent Registered Public Accounting Firm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Stockholders and the Board of Directors of Bassett Furniture Industries, Incorporated and Subsidiaries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Opinion on the Financial Statements</w:t>
      </w:r>
    </w:p>
    <w:p>
      <w:pPr>
        <w:spacing w:after="0" w:line="165" w:lineRule="exact"/>
        <w:rPr>
          <w:sz w:val="20"/>
          <w:szCs w:val="20"/>
          <w:color w:val="auto"/>
        </w:rPr>
      </w:pPr>
    </w:p>
    <w:p>
      <w:pPr>
        <w:jc w:val="both"/>
        <w:ind w:firstLine="6"/>
        <w:spacing w:after="0" w:line="259"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Bassett Furniture Industries, Incorporated and subsidiaries (the Company) as of November 30, 2024 and November 25 , 2023, the related consolidated statements of operations, comprehensive income (loss), stockholders' equity and cash flows for each of the three years in the period ended November 30, 2024, and the related notes and financial statement schedule listed in the Index at Item 15(a)(2) (collectively referred to as the "conso lidated financial statements") . In our opinion, the consolidated fmancial statements present fairly , in all material respects, the fmancial position of the Company at November 30, 2024 and November 25 , 2023 , and the results of its operations and its cash flows for each of the three years in the period ended November 30, 2024, in conformity with U.S. generally accepted accounting principles.</w:t>
      </w:r>
    </w:p>
    <w:p>
      <w:pPr>
        <w:spacing w:after="0" w:line="297" w:lineRule="exact"/>
        <w:rPr>
          <w:sz w:val="20"/>
          <w:szCs w:val="20"/>
          <w:color w:val="auto"/>
        </w:rPr>
      </w:pPr>
    </w:p>
    <w:p>
      <w:pPr>
        <w:jc w:val="both"/>
        <w:ind w:firstLine="6"/>
        <w:spacing w:after="0" w:line="257" w:lineRule="auto"/>
        <w:rPr>
          <w:sz w:val="20"/>
          <w:szCs w:val="20"/>
          <w:color w:val="auto"/>
        </w:rPr>
      </w:pPr>
      <w:r>
        <w:rPr>
          <w:rFonts w:ascii="Times New Roman" w:cs="Times New Roman" w:eastAsia="Times New Roman" w:hAnsi="Times New Roman"/>
          <w:sz w:val="12"/>
          <w:szCs w:val="12"/>
          <w:color w:val="auto"/>
        </w:rPr>
        <w:t>We also have audited, in accordance with the standards of the Public Company Accounting Oversight Board (United States) (PCAOB), the Company's internal control over financial reporting as ofNovember 30, 2024, based on criteria established in Internal Control- Integrated Framework iss ued by the Committee of Sponsoring Organizations of the Treadway Commission (2013 framework), and our report dated February 10, 2025 expressed an unqualified opinion thereon.</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These financial statements are the responsibility of the Company's management. Our responsibility is to express an opinion on the Company ' s financial statements based on our audits . We are a public accounting firm registered with the PCAOB and are required to be independent with respect to the Company in accordance with the U.S . federal sec urities laws and the applicable rules and regulations of the Securities and Exchange Commission and the PCAOB .</w:t>
      </w:r>
    </w:p>
    <w:p>
      <w:pPr>
        <w:spacing w:after="0" w:line="153" w:lineRule="exact"/>
        <w:rPr>
          <w:sz w:val="20"/>
          <w:szCs w:val="20"/>
          <w:color w:val="auto"/>
        </w:rPr>
      </w:pPr>
    </w:p>
    <w:p>
      <w:pPr>
        <w:jc w:val="both"/>
        <w:ind w:firstLine="6"/>
        <w:spacing w:after="0" w:line="258"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 Those standards require that we plan and perform the audit to obtain reasonable assurance about whether the financial statements are free of material mi sstatement, whether due to error or fraud .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 sclosures in the financial statements. Our audits also included evaluating the accounting principles used and significant estimates made by management, as we ll as evaluating the overall presentation of the financial statements. We believe that our audits provide a reasonable basis for our opinion .</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Critical Audit Matter</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critical audit matter communicated below is a matter arising from the current period audit of the financial statements that was communicated or required to be communicated to the audit committee and that: (1) relates to accounts or di sclosures that are material to the financial statements and (2) in vo lve d our especially challenging, subjective or complex judgments. The communication of th e critical audit matter does not alter in any way our opinion on the consolidated financial statements, taken as a whole, and we are not, by communicating the critical audit matter below, providing a separate opinion on the critical audit matter or on the account or di sclosures to which it relates.</w:t>
      </w:r>
    </w:p>
    <w:p>
      <w:pPr>
        <w:spacing w:after="0" w:line="200" w:lineRule="exact"/>
        <w:rPr>
          <w:sz w:val="20"/>
          <w:szCs w:val="20"/>
          <w:color w:val="auto"/>
        </w:rPr>
      </w:pPr>
    </w:p>
    <w:p>
      <w:pPr>
        <w:sectPr>
          <w:pgSz w:w="15840" w:h="12240" w:orient="landscape"/>
          <w:cols w:equalWidth="0" w:num="2">
            <w:col w:w="7200" w:space="720"/>
            <w:col w:w="6440"/>
          </w:cols>
          <w:pgMar w:left="740" w:top="1440" w:right="740" w:bottom="8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51</w:t>
      </w:r>
      <w:r>
        <w:rPr>
          <w:sz w:val="20"/>
          <w:szCs w:val="20"/>
          <w:color w:val="auto"/>
        </w:rPr>
        <w:tab/>
      </w:r>
      <w:r>
        <w:rPr>
          <w:rFonts w:ascii="Times New Roman" w:cs="Times New Roman" w:eastAsia="Times New Roman" w:hAnsi="Times New Roman"/>
          <w:sz w:val="12"/>
          <w:szCs w:val="12"/>
          <w:color w:val="auto"/>
        </w:rPr>
        <w:t>52</w:t>
      </w:r>
    </w:p>
    <w:p>
      <w:pPr>
        <w:sectPr>
          <w:pgSz w:w="15840" w:h="12240" w:orient="landscape"/>
          <w:cols w:equalWidth="0" w:num="1">
            <w:col w:w="14360"/>
          </w:cols>
          <w:pgMar w:left="740" w:top="1440" w:right="740" w:bottom="897" w:gutter="0" w:footer="0" w:header="0"/>
          <w:type w:val="continuous"/>
        </w:sectPr>
      </w:pPr>
    </w:p>
    <w:bookmarkStart w:id="30" w:name="page31"/>
    <w:bookmarkEnd w:id="30"/>
    <w:p>
      <w:pPr>
        <w:spacing w:after="0" w:line="2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i w:val="1"/>
          <w:iCs w:val="1"/>
          <w:color w:val="auto"/>
        </w:rPr>
        <w:t>Measurement of Wlwlesale Reserves for Excess and Obsolete Inventories</w:t>
      </w:r>
    </w:p>
    <w:p>
      <w:pPr>
        <w:spacing w:after="0" w:line="150"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3"/>
          <w:szCs w:val="13"/>
          <w:i w:val="1"/>
          <w:iCs w:val="1"/>
          <w:color w:val="auto"/>
        </w:rPr>
        <w:t>Description of</w:t>
      </w:r>
      <w:r>
        <w:rPr>
          <w:sz w:val="20"/>
          <w:szCs w:val="20"/>
          <w:color w:val="auto"/>
        </w:rPr>
        <w:tab/>
      </w:r>
      <w:r>
        <w:rPr>
          <w:rFonts w:ascii="Times New Roman" w:cs="Times New Roman" w:eastAsia="Times New Roman" w:hAnsi="Times New Roman"/>
          <w:sz w:val="12"/>
          <w:szCs w:val="12"/>
          <w:color w:val="auto"/>
        </w:rPr>
        <w:t>At November 30, 2024, the Company's inventories were $54.9 million. As di scussed in Note 2 and Note</w:t>
      </w:r>
    </w:p>
    <w:p>
      <w:pPr>
        <w:spacing w:after="0" w:line="11" w:lineRule="exact"/>
        <w:rPr>
          <w:sz w:val="20"/>
          <w:szCs w:val="20"/>
          <w:color w:val="auto"/>
        </w:rPr>
      </w:pPr>
    </w:p>
    <w:p>
      <w:pPr>
        <w:jc w:val="both"/>
        <w:ind w:left="980" w:right="780" w:hanging="964"/>
        <w:spacing w:after="0" w:line="259" w:lineRule="auto"/>
        <w:tabs>
          <w:tab w:leader="none" w:pos="960" w:val="left"/>
        </w:tabs>
        <w:rPr>
          <w:sz w:val="20"/>
          <w:szCs w:val="20"/>
          <w:color w:val="auto"/>
        </w:rPr>
      </w:pPr>
      <w:r>
        <w:rPr>
          <w:rFonts w:ascii="Times New Roman" w:cs="Times New Roman" w:eastAsia="Times New Roman" w:hAnsi="Times New Roman"/>
          <w:sz w:val="12"/>
          <w:szCs w:val="12"/>
          <w:i w:val="1"/>
          <w:iCs w:val="1"/>
          <w:color w:val="auto"/>
        </w:rPr>
        <w:t>the Matter</w:t>
      </w:r>
      <w:r>
        <w:rPr>
          <w:sz w:val="20"/>
          <w:szCs w:val="20"/>
          <w:color w:val="auto"/>
        </w:rPr>
        <w:tab/>
      </w:r>
      <w:r>
        <w:rPr>
          <w:rFonts w:ascii="Times New Roman" w:cs="Times New Roman" w:eastAsia="Times New Roman" w:hAnsi="Times New Roman"/>
          <w:sz w:val="12"/>
          <w:szCs w:val="12"/>
          <w:color w:val="auto"/>
        </w:rPr>
        <w:t>6 to the consolidated fmancial statements, cost for wholesale, domestic manufactured furniture in ventories is determined using the last-in , first-out (" LIFO") method and are stated at the lower of cost or market. The cost of imported inventories and domestic outdoor furniture products is determined using the first-in, first-out ("FIFO") method and stated at the lower of cost or net realizable value. Wholesale reserves for excess and obsolete inventories are determined based upon specific identification, historical write-offs, recent and projected sales trends, and , for domestic manufactured furniture, the respective valuations at LIFO.</w:t>
      </w:r>
    </w:p>
    <w:p>
      <w:pPr>
        <w:spacing w:after="0" w:line="297" w:lineRule="exact"/>
        <w:rPr>
          <w:sz w:val="20"/>
          <w:szCs w:val="20"/>
          <w:color w:val="auto"/>
        </w:rPr>
      </w:pPr>
    </w:p>
    <w:p>
      <w:pPr>
        <w:jc w:val="both"/>
        <w:ind w:left="980" w:right="780" w:firstLine="2"/>
        <w:spacing w:after="0" w:line="267" w:lineRule="auto"/>
        <w:rPr>
          <w:sz w:val="20"/>
          <w:szCs w:val="20"/>
          <w:color w:val="auto"/>
        </w:rPr>
      </w:pPr>
      <w:r>
        <w:rPr>
          <w:rFonts w:ascii="Times New Roman" w:cs="Times New Roman" w:eastAsia="Times New Roman" w:hAnsi="Times New Roman"/>
          <w:sz w:val="12"/>
          <w:szCs w:val="12"/>
          <w:color w:val="auto"/>
        </w:rPr>
        <w:t>Auditing management's who lesale excess or obsolete in ventories was complex due to the highl y judgmental nature and estimation uncertainty in determining reserve percentages based on specific identification.</w:t>
      </w:r>
    </w:p>
    <w:p>
      <w:pPr>
        <w:spacing w:after="0" w:line="276"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3"/>
          <w:szCs w:val="13"/>
          <w:i w:val="1"/>
          <w:iCs w:val="1"/>
          <w:color w:val="auto"/>
        </w:rPr>
        <w:t>How We</w:t>
      </w:r>
      <w:r>
        <w:rPr>
          <w:sz w:val="20"/>
          <w:szCs w:val="20"/>
          <w:color w:val="auto"/>
        </w:rPr>
        <w:tab/>
      </w:r>
      <w:r>
        <w:rPr>
          <w:rFonts w:ascii="Times New Roman" w:cs="Times New Roman" w:eastAsia="Times New Roman" w:hAnsi="Times New Roman"/>
          <w:sz w:val="12"/>
          <w:szCs w:val="12"/>
          <w:color w:val="auto"/>
        </w:rPr>
        <w:t>We obtained an understanding, evaluated the design, and tested the operating effecti veness of controls</w:t>
      </w:r>
    </w:p>
    <w:p>
      <w:pPr>
        <w:spacing w:after="0" w:line="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2"/>
          <w:szCs w:val="12"/>
          <w:i w:val="1"/>
          <w:iCs w:val="1"/>
          <w:color w:val="auto"/>
        </w:rPr>
        <w:t>Addressed the</w:t>
      </w:r>
      <w:r>
        <w:rPr>
          <w:sz w:val="20"/>
          <w:szCs w:val="20"/>
          <w:color w:val="auto"/>
        </w:rPr>
        <w:tab/>
      </w:r>
      <w:r>
        <w:rPr>
          <w:rFonts w:ascii="Times New Roman" w:cs="Times New Roman" w:eastAsia="Times New Roman" w:hAnsi="Times New Roman"/>
          <w:sz w:val="12"/>
          <w:szCs w:val="12"/>
          <w:color w:val="auto"/>
        </w:rPr>
        <w:t>over the  Company's determination of the wholesa le reserves for  excess and obsolete inventories. For</w:t>
      </w:r>
    </w:p>
    <w:p>
      <w:pPr>
        <w:spacing w:after="0" w:line="6"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3"/>
          <w:szCs w:val="13"/>
          <w:i w:val="1"/>
          <w:iCs w:val="1"/>
          <w:color w:val="auto"/>
        </w:rPr>
        <w:t>Matter in Our</w:t>
      </w:r>
      <w:r>
        <w:rPr>
          <w:sz w:val="20"/>
          <w:szCs w:val="20"/>
          <w:color w:val="auto"/>
        </w:rPr>
        <w:tab/>
      </w:r>
      <w:r>
        <w:rPr>
          <w:rFonts w:ascii="Times New Roman" w:cs="Times New Roman" w:eastAsia="Times New Roman" w:hAnsi="Times New Roman"/>
          <w:sz w:val="12"/>
          <w:szCs w:val="12"/>
          <w:color w:val="auto"/>
        </w:rPr>
        <w:t>example, we tested the control over management's review of the calculation of wholesale reserves for</w:t>
      </w:r>
    </w:p>
    <w:p>
      <w:pPr>
        <w:spacing w:after="0" w:line="6" w:lineRule="exact"/>
        <w:rPr>
          <w:sz w:val="20"/>
          <w:szCs w:val="20"/>
          <w:color w:val="auto"/>
        </w:rPr>
      </w:pPr>
    </w:p>
    <w:p>
      <w:pPr>
        <w:ind w:left="980" w:right="800" w:hanging="979"/>
        <w:spacing w:after="0" w:line="247" w:lineRule="auto"/>
        <w:tabs>
          <w:tab w:leader="none" w:pos="960" w:val="left"/>
        </w:tabs>
        <w:rPr>
          <w:sz w:val="20"/>
          <w:szCs w:val="20"/>
          <w:color w:val="auto"/>
        </w:rPr>
      </w:pPr>
      <w:r>
        <w:rPr>
          <w:rFonts w:ascii="Times New Roman" w:cs="Times New Roman" w:eastAsia="Times New Roman" w:hAnsi="Times New Roman"/>
          <w:sz w:val="12"/>
          <w:szCs w:val="12"/>
          <w:i w:val="1"/>
          <w:iCs w:val="1"/>
          <w:color w:val="auto"/>
        </w:rPr>
        <w:t>Audit</w:t>
      </w:r>
      <w:r>
        <w:rPr>
          <w:sz w:val="20"/>
          <w:szCs w:val="20"/>
          <w:color w:val="auto"/>
        </w:rPr>
        <w:tab/>
      </w:r>
      <w:r>
        <w:rPr>
          <w:rFonts w:ascii="Times New Roman" w:cs="Times New Roman" w:eastAsia="Times New Roman" w:hAnsi="Times New Roman"/>
          <w:sz w:val="12"/>
          <w:szCs w:val="12"/>
          <w:color w:val="auto"/>
        </w:rPr>
        <w:t>excess and obsolete in ventories, which included their review of the significant assumption s described above .</w:t>
      </w:r>
    </w:p>
    <w:p>
      <w:pPr>
        <w:spacing w:after="0" w:line="304" w:lineRule="exact"/>
        <w:rPr>
          <w:sz w:val="20"/>
          <w:szCs w:val="20"/>
          <w:color w:val="auto"/>
        </w:rPr>
      </w:pPr>
    </w:p>
    <w:p>
      <w:pPr>
        <w:jc w:val="both"/>
        <w:ind w:left="980" w:right="780"/>
        <w:spacing w:after="0" w:line="258" w:lineRule="auto"/>
        <w:rPr>
          <w:sz w:val="20"/>
          <w:szCs w:val="20"/>
          <w:color w:val="auto"/>
        </w:rPr>
      </w:pPr>
      <w:r>
        <w:rPr>
          <w:rFonts w:ascii="Times New Roman" w:cs="Times New Roman" w:eastAsia="Times New Roman" w:hAnsi="Times New Roman"/>
          <w:sz w:val="12"/>
          <w:szCs w:val="12"/>
          <w:color w:val="auto"/>
        </w:rPr>
        <w:t>Our audit procedures to test the reserves for wholesa le excess and obsolete inventories included, among others, testing the completeness and accuracy of the underly ing data used in management's analyses, including the specific identification of in ventory categories. We evaluated the reasonableness of management's assumptions by performing a retrospective review of historical assumptions to actual acti v ity, including write-off hi story and changes in on-hand in ventory quantities. We al so evaluated the Company' s reserve for wholesale excess and obso lete in ventories as compared to the wholesale inventory valuation at LIFO. We held discussions with senior fmancial and operational management to determine whether any strategic or operational changes in the business wou ld impact expected demand for or related carrying va lue of inventory. We also performed substantive analytical procedures designed to predict the ending in ventory reserve balance using hi storical reserve percentages adjusted for our knowledge of current year sales and in ventory leve ls. We searched for and evaluated information that corroborated or contradicted the Company's assumption s.</w:t>
      </w:r>
    </w:p>
    <w:p>
      <w:pPr>
        <w:spacing w:after="0" w:line="340" w:lineRule="exact"/>
        <w:rPr>
          <w:sz w:val="20"/>
          <w:szCs w:val="20"/>
          <w:color w:val="auto"/>
        </w:rPr>
      </w:pPr>
    </w:p>
    <w:p>
      <w:pPr>
        <w:ind w:left="80"/>
        <w:spacing w:after="0"/>
        <w:rPr>
          <w:sz w:val="20"/>
          <w:szCs w:val="20"/>
          <w:color w:val="auto"/>
        </w:rPr>
      </w:pPr>
      <w:r>
        <w:rPr>
          <w:rFonts w:ascii="Arial" w:cs="Arial" w:eastAsia="Arial" w:hAnsi="Arial"/>
          <w:sz w:val="20"/>
          <w:szCs w:val="20"/>
          <w:color w:val="auto"/>
        </w:rPr>
        <w:t>~--~-~LLP</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We have served as the Company's auditor since 2002.</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Richmond, Virginia</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 xml:space="preserve">February </w:t>
      </w:r>
      <w:r>
        <w:rPr>
          <w:rFonts w:ascii="Arial" w:cs="Arial" w:eastAsia="Arial" w:hAnsi="Arial"/>
          <w:sz w:val="11"/>
          <w:szCs w:val="11"/>
          <w:color w:val="auto"/>
        </w:rPr>
        <w:t>I</w:t>
      </w:r>
      <w:r>
        <w:rPr>
          <w:rFonts w:ascii="Times New Roman" w:cs="Times New Roman" w:eastAsia="Times New Roman" w:hAnsi="Times New Roman"/>
          <w:sz w:val="12"/>
          <w:szCs w:val="12"/>
          <w:color w:val="auto"/>
        </w:rPr>
        <w:t xml:space="preserve"> 0, 2025</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2"/>
          <w:szCs w:val="12"/>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-5498465</wp:posOffset>
            </wp:positionH>
            <wp:positionV relativeFrom="paragraph">
              <wp:posOffset>-1137285</wp:posOffset>
            </wp:positionV>
            <wp:extent cx="10058400" cy="7772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Stockholders and the Board of Directors of Bassett Furniture Industries, Incorporated and Subsidiaries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Opinion on Internal Control over Financial Reporting</w:t>
      </w:r>
    </w:p>
    <w:p>
      <w:pPr>
        <w:spacing w:after="0" w:line="162" w:lineRule="exact"/>
        <w:rPr>
          <w:sz w:val="20"/>
          <w:szCs w:val="20"/>
          <w:color w:val="auto"/>
        </w:rPr>
      </w:pPr>
    </w:p>
    <w:p>
      <w:pPr>
        <w:jc w:val="both"/>
        <w:ind w:firstLine="5"/>
        <w:spacing w:after="0" w:line="257" w:lineRule="auto"/>
        <w:rPr>
          <w:sz w:val="20"/>
          <w:szCs w:val="20"/>
          <w:color w:val="auto"/>
        </w:rPr>
      </w:pPr>
      <w:r>
        <w:rPr>
          <w:rFonts w:ascii="Times New Roman" w:cs="Times New Roman" w:eastAsia="Times New Roman" w:hAnsi="Times New Roman"/>
          <w:sz w:val="12"/>
          <w:szCs w:val="12"/>
          <w:color w:val="auto"/>
        </w:rPr>
        <w:t>We have audited Bassett Furniture Industries, Incorporated and subsidiaries' internal contro l over financial reporting as of November 30, 2024, based on criteria established in Internal Control- Integrated Framework issued by the Committee of Sponsoring Organizations of the Treadway Commission (20 13 framework) (the COSO criteria). In our opinion, Bassett Furniture Industries, Incorporated and subsidiaries (the Company) maintained, in all material respects, effecti ve internal control over fmancial reporting as ofNovember 30, 2024, based on the COSO criteria.</w:t>
      </w:r>
    </w:p>
    <w:p>
      <w:pPr>
        <w:spacing w:after="0" w:line="154" w:lineRule="exact"/>
        <w:rPr>
          <w:sz w:val="20"/>
          <w:szCs w:val="20"/>
          <w:color w:val="auto"/>
        </w:rPr>
      </w:pPr>
    </w:p>
    <w:p>
      <w:pPr>
        <w:jc w:val="both"/>
        <w:ind w:right="20" w:firstLine="9"/>
        <w:spacing w:after="0" w:line="259" w:lineRule="auto"/>
        <w:rPr>
          <w:sz w:val="20"/>
          <w:szCs w:val="20"/>
          <w:color w:val="auto"/>
        </w:rPr>
      </w:pPr>
      <w:r>
        <w:rPr>
          <w:rFonts w:ascii="Times New Roman" w:cs="Times New Roman" w:eastAsia="Times New Roman" w:hAnsi="Times New Roman"/>
          <w:sz w:val="12"/>
          <w:szCs w:val="12"/>
          <w:color w:val="auto"/>
        </w:rPr>
        <w:t>We al so have audited, in accordance with the standards of the Public Company Accounting Oversight Board (United States) (PCAOB), the consolidated balance sheets of the Company as of November 30, 2024 and November 25, 2023, the related consolidated statements of operations, comprehensive income (loss), stockholders' equity and cash flows for each of the three years in the period ended November 30, 2024, and the related notes and financial statement schedule listed in the Index at Item 15(a)(2) and our report dated February 10,2025 expressed an unqualified opinion thereon.</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Basis for Opinion</w:t>
      </w:r>
    </w:p>
    <w:p>
      <w:pPr>
        <w:spacing w:after="0" w:line="15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2"/>
          <w:szCs w:val="12"/>
          <w:color w:val="auto"/>
        </w:rPr>
        <w:t>The Company's management is responsible for maintaining effective internal control over financial reporting and for its assessment of the effectiveness of internal control over financial reporting included in the accompanying Management' s Report on Internal Control over Financial Reporting. Our responsibility is to express an opinion on the Company' s internal control over financial reporting based on our audit. We are a public accounting firm regi 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jc w:val="both"/>
        <w:ind w:right="40" w:firstLine="6"/>
        <w:spacing w:after="0" w:line="256" w:lineRule="auto"/>
        <w:rPr>
          <w:sz w:val="20"/>
          <w:szCs w:val="20"/>
          <w:color w:val="auto"/>
        </w:rPr>
      </w:pPr>
      <w:r>
        <w:rPr>
          <w:rFonts w:ascii="Times New Roman" w:cs="Times New Roman" w:eastAsia="Times New Roman" w:hAnsi="Times New Roman"/>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Our audit included obtaining an understanding of internal control over financial reporting, assessing the ri sk that a material weakness exists, testing and evaluating the design and operating effectiveness of internal control based on the assessed risk, and performing such other procedures as we considered necessary in the circumstances . We believe that our audit provides a reasonable basis for our opinion .</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Definition and Limitations of Internal Control Over Financial Reporting</w:t>
      </w:r>
    </w:p>
    <w:p>
      <w:pPr>
        <w:spacing w:after="0" w:line="162" w:lineRule="exact"/>
        <w:rPr>
          <w:sz w:val="20"/>
          <w:szCs w:val="20"/>
          <w:color w:val="auto"/>
        </w:rPr>
      </w:pPr>
    </w:p>
    <w:p>
      <w:pPr>
        <w:jc w:val="both"/>
        <w:ind w:right="20" w:firstLine="1"/>
        <w:spacing w:after="0" w:line="258" w:lineRule="auto"/>
        <w:rPr>
          <w:sz w:val="20"/>
          <w:szCs w:val="20"/>
          <w:color w:val="auto"/>
        </w:rPr>
      </w:pPr>
      <w:r>
        <w:rPr>
          <w:rFonts w:ascii="Times New Roman" w:cs="Times New Roman" w:eastAsia="Times New Roman" w:hAnsi="Times New Roman"/>
          <w:sz w:val="12"/>
          <w:szCs w:val="12"/>
          <w:color w:val="auto"/>
        </w:rPr>
        <w:t>A company' s internal control over financial reporting is a process designed to provide reasonable assurance regarding the reliabi lity of financial reporting and the preparation of financial statements for external purposes in accordance with generally accepted accounting principles . A company ' s internal control over financial reporting includes those policies and procedures that ( I) pertain to the maintenance of records that, in reasonable detail, accurately and fairl y reflect the transactions and dispositions of the assets of the company; (2) provide reasonabl e assurance that tran 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 e company's assets that could have a material effect on th e financial statements.</w:t>
      </w:r>
    </w:p>
    <w:p>
      <w:pPr>
        <w:spacing w:after="0" w:line="153" w:lineRule="exact"/>
        <w:rPr>
          <w:sz w:val="20"/>
          <w:szCs w:val="20"/>
          <w:color w:val="auto"/>
        </w:rPr>
      </w:pPr>
    </w:p>
    <w:p>
      <w:pPr>
        <w:jc w:val="both"/>
        <w:ind w:right="20" w:firstLine="4"/>
        <w:spacing w:after="0" w:line="256"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 ents. Also, proj ection s of any eva luation of effectiveness to future periods are subject to the ri sk that controls may become inadequate because of changes in conditions, or that the degree of compliance with the policies or procedures may deteriorate.</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20"/>
          <w:szCs w:val="20"/>
          <w:color w:val="auto"/>
        </w:rPr>
        <w:t>~--~-~LLP</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Richmond, Virginia</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 xml:space="preserve">February </w:t>
      </w:r>
      <w:r>
        <w:rPr>
          <w:rFonts w:ascii="Arial" w:cs="Arial" w:eastAsia="Arial" w:hAnsi="Arial"/>
          <w:sz w:val="11"/>
          <w:szCs w:val="11"/>
          <w:color w:val="auto"/>
        </w:rPr>
        <w:t>I</w:t>
      </w:r>
      <w:r>
        <w:rPr>
          <w:rFonts w:ascii="Times New Roman" w:cs="Times New Roman" w:eastAsia="Times New Roman" w:hAnsi="Times New Roman"/>
          <w:sz w:val="12"/>
          <w:szCs w:val="12"/>
          <w:color w:val="auto"/>
        </w:rPr>
        <w:t xml:space="preserve"> 0, 2025</w:t>
      </w:r>
    </w:p>
    <w:p>
      <w:pPr>
        <w:spacing w:after="0" w:line="200" w:lineRule="exact"/>
        <w:rPr>
          <w:sz w:val="20"/>
          <w:szCs w:val="20"/>
          <w:color w:val="auto"/>
        </w:rPr>
      </w:pPr>
    </w:p>
    <w:p>
      <w:pPr>
        <w:sectPr>
          <w:pgSz w:w="15840" w:h="12240" w:orient="landscape"/>
          <w:cols w:equalWidth="0" w:num="2">
            <w:col w:w="7200" w:space="720"/>
            <w:col w:w="6460"/>
          </w:cols>
          <w:pgMar w:left="740" w:top="1440" w:right="720" w:bottom="897" w:gutter="0" w:footer="0" w:header="0"/>
        </w:sectPr>
      </w:pPr>
    </w:p>
    <w:p>
      <w:pPr>
        <w:spacing w:after="0" w:line="166" w:lineRule="exact"/>
        <w:rPr>
          <w:sz w:val="20"/>
          <w:szCs w:val="20"/>
          <w:color w:val="auto"/>
        </w:rPr>
      </w:pPr>
    </w:p>
    <w:p>
      <w:pPr>
        <w:ind w:left="3160"/>
        <w:spacing w:after="0"/>
        <w:tabs>
          <w:tab w:leader="none" w:pos="11060" w:val="left"/>
        </w:tabs>
        <w:rPr>
          <w:sz w:val="20"/>
          <w:szCs w:val="20"/>
          <w:color w:val="auto"/>
        </w:rPr>
      </w:pPr>
      <w:r>
        <w:rPr>
          <w:rFonts w:ascii="Times New Roman" w:cs="Times New Roman" w:eastAsia="Times New Roman" w:hAnsi="Times New Roman"/>
          <w:sz w:val="12"/>
          <w:szCs w:val="12"/>
          <w:color w:val="auto"/>
        </w:rPr>
        <w:t>53</w:t>
      </w:r>
      <w:r>
        <w:rPr>
          <w:sz w:val="20"/>
          <w:szCs w:val="20"/>
          <w:color w:val="auto"/>
        </w:rPr>
        <w:tab/>
      </w:r>
      <w:r>
        <w:rPr>
          <w:rFonts w:ascii="Times New Roman" w:cs="Times New Roman" w:eastAsia="Times New Roman" w:hAnsi="Times New Roman"/>
          <w:sz w:val="12"/>
          <w:szCs w:val="12"/>
          <w:color w:val="auto"/>
        </w:rPr>
        <w:t>54</w:t>
      </w:r>
    </w:p>
    <w:p>
      <w:pPr>
        <w:sectPr>
          <w:pgSz w:w="15840" w:h="12240" w:orient="landscape"/>
          <w:cols w:equalWidth="0" w:num="1">
            <w:col w:w="14380"/>
          </w:cols>
          <w:pgMar w:left="740" w:top="1440" w:right="720" w:bottom="897" w:gutter="0" w:footer="0" w:header="0"/>
          <w:type w:val="continuous"/>
        </w:sectPr>
      </w:pPr>
    </w:p>
    <w:bookmarkStart w:id="31" w:name="page32"/>
    <w:bookmarkEnd w:id="31"/>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9"/>
          <w:szCs w:val="19"/>
          <w:color w:val="auto"/>
        </w:rPr>
        <w:t>INVESTOR INFORMATION</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Internet Site</w:t>
      </w:r>
    </w:p>
    <w:p>
      <w:pPr>
        <w:spacing w:after="0" w:line="63" w:lineRule="exact"/>
        <w:rPr>
          <w:sz w:val="20"/>
          <w:szCs w:val="20"/>
          <w:color w:val="auto"/>
        </w:rPr>
      </w:pPr>
    </w:p>
    <w:p>
      <w:pPr>
        <w:ind w:right="40" w:firstLine="4"/>
        <w:spacing w:after="0" w:line="389" w:lineRule="auto"/>
        <w:rPr>
          <w:sz w:val="20"/>
          <w:szCs w:val="20"/>
          <w:color w:val="auto"/>
        </w:rPr>
      </w:pPr>
      <w:r>
        <w:rPr>
          <w:rFonts w:ascii="Arial" w:cs="Arial" w:eastAsia="Arial" w:hAnsi="Arial"/>
          <w:sz w:val="9"/>
          <w:szCs w:val="9"/>
          <w:color w:val="auto"/>
        </w:rPr>
        <w:t>Our site on the Internet has been updated recently and is filled with information about Bassett Furniture, including this annual report. detailed financial information and updates. information about our home furnishings products. and a dealer locator of Bassett stores and other stores that feature Bassett products. Visit us at bassettfurniture.com</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1"/>
          <w:szCs w:val="11"/>
          <w:color w:val="auto"/>
        </w:rPr>
        <w:t>Forwa rd Looking Statements</w:t>
      </w:r>
    </w:p>
    <w:p>
      <w:pPr>
        <w:spacing w:after="0" w:line="63" w:lineRule="exact"/>
        <w:rPr>
          <w:sz w:val="20"/>
          <w:szCs w:val="20"/>
          <w:color w:val="auto"/>
        </w:rPr>
      </w:pPr>
    </w:p>
    <w:p>
      <w:pPr>
        <w:ind w:firstLine="2"/>
        <w:spacing w:after="0" w:line="384" w:lineRule="auto"/>
        <w:rPr>
          <w:sz w:val="20"/>
          <w:szCs w:val="20"/>
          <w:color w:val="auto"/>
        </w:rPr>
      </w:pPr>
      <w:r>
        <w:rPr>
          <w:rFonts w:ascii="Arial" w:cs="Arial" w:eastAsia="Arial" w:hAnsi="Arial"/>
          <w:sz w:val="9"/>
          <w:szCs w:val="9"/>
          <w:color w:val="auto"/>
        </w:rPr>
        <w:t xml:space="preserve">This Annual Report contains forward-looking statements as defined in the Private Securities Litigation and Reform Act of1995 and within the meaning of Sections </w:t>
      </w:r>
      <w:r>
        <w:rPr>
          <w:rFonts w:ascii="Times New Roman" w:cs="Times New Roman" w:eastAsia="Times New Roman" w:hAnsi="Times New Roman"/>
          <w:sz w:val="10"/>
          <w:szCs w:val="10"/>
          <w:i w:val="1"/>
          <w:iCs w:val="1"/>
          <w:color w:val="auto"/>
        </w:rPr>
        <w:t>'Z7</w:t>
      </w:r>
      <w:r>
        <w:rPr>
          <w:rFonts w:ascii="Arial" w:cs="Arial" w:eastAsia="Arial" w:hAnsi="Arial"/>
          <w:sz w:val="9"/>
          <w:szCs w:val="9"/>
          <w:color w:val="auto"/>
        </w:rPr>
        <w:t xml:space="preserve"> A of the Securities Exchange Act of 1933, as amended, and Section 21E of the Securities Exchange Act of 1934, as amended. When used in this Annual Report the words ·hope." ·believe." ·expect." •plan" or •planned." ·intend." ·anticipate." •potential" and similar expressions are intended to identify forward -looking statements. Readers are cautioned against placing undue reliance on these statements. Such statements, including but not limited to those regarding increases in sales. improving gross margins, growth in earnings per share, and the operating performance of licensed Bassett stores are based upon managemenfs beliefs. as well as assumptions made </w:t>
      </w:r>
      <w:r>
        <w:rPr>
          <w:rFonts w:ascii="Arial" w:cs="Arial" w:eastAsia="Arial" w:hAnsi="Arial"/>
          <w:sz w:val="10"/>
          <w:szCs w:val="10"/>
          <w:color w:val="auto"/>
        </w:rPr>
        <w:t>by</w:t>
      </w:r>
      <w:r>
        <w:rPr>
          <w:rFonts w:ascii="Arial" w:cs="Arial" w:eastAsia="Arial" w:hAnsi="Arial"/>
          <w:sz w:val="9"/>
          <w:szCs w:val="9"/>
          <w:color w:val="auto"/>
        </w:rPr>
        <w:t xml:space="preserve"> and information currently available to management. and involve various risks and uncertainties, certain of which are beyond the Company'scontrol. The Company'sactual results could differ materially from those expressed in any forward -looking statement made by or on behalf of the Company.</w:t>
      </w:r>
    </w:p>
    <w:p>
      <w:pPr>
        <w:spacing w:after="0" w:line="174" w:lineRule="exact"/>
        <w:rPr>
          <w:sz w:val="20"/>
          <w:szCs w:val="20"/>
          <w:color w:val="auto"/>
        </w:rPr>
      </w:pPr>
    </w:p>
    <w:p>
      <w:pPr>
        <w:ind w:left="20" w:right="180"/>
        <w:spacing w:after="0" w:line="389" w:lineRule="auto"/>
        <w:rPr>
          <w:sz w:val="20"/>
          <w:szCs w:val="20"/>
          <w:color w:val="auto"/>
        </w:rPr>
      </w:pPr>
      <w:r>
        <w:rPr>
          <w:rFonts w:ascii="Arial" w:cs="Arial" w:eastAsia="Arial" w:hAnsi="Arial"/>
          <w:sz w:val="9"/>
          <w:szCs w:val="9"/>
          <w:color w:val="auto"/>
        </w:rPr>
        <w:t>If the Company does not attain its goals, its business and results of operations might be adversely affected. For a discussion of factors that may impair the Company'sability to achieve its goals. please see the cautionary statements in the Managemenfs Discussion and Analysis section of this Annual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Corporate Information and Investor Inquiries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-2564765</wp:posOffset>
            </wp:positionH>
            <wp:positionV relativeFrom="paragraph">
              <wp:posOffset>-1298575</wp:posOffset>
            </wp:positionV>
            <wp:extent cx="10058400" cy="7772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058400" cy="777240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9"/>
          <w:szCs w:val="9"/>
          <w:color w:val="auto"/>
        </w:rPr>
        <w:t>Our annual report and proxy statement together</w:t>
      </w:r>
    </w:p>
    <w:p>
      <w:pPr>
        <w:spacing w:after="0" w:line="65" w:lineRule="exact"/>
        <w:rPr>
          <w:sz w:val="20"/>
          <w:szCs w:val="20"/>
          <w:color w:val="auto"/>
        </w:rPr>
      </w:pPr>
    </w:p>
    <w:p>
      <w:pPr>
        <w:spacing w:after="0"/>
        <w:rPr>
          <w:sz w:val="20"/>
          <w:szCs w:val="20"/>
          <w:color w:val="auto"/>
        </w:rPr>
      </w:pPr>
      <w:r>
        <w:rPr>
          <w:rFonts w:ascii="Arial" w:cs="Arial" w:eastAsia="Arial" w:hAnsi="Arial"/>
          <w:sz w:val="9"/>
          <w:szCs w:val="9"/>
          <w:color w:val="auto"/>
        </w:rPr>
        <w:t>contain much of the information presented in the</w:t>
      </w:r>
    </w:p>
    <w:p>
      <w:pPr>
        <w:spacing w:after="0" w:line="65" w:lineRule="exact"/>
        <w:rPr>
          <w:sz w:val="20"/>
          <w:szCs w:val="20"/>
          <w:color w:val="auto"/>
        </w:rPr>
      </w:pPr>
    </w:p>
    <w:p>
      <w:pPr>
        <w:ind w:right="1456"/>
        <w:spacing w:after="0" w:line="389" w:lineRule="auto"/>
        <w:rPr>
          <w:sz w:val="20"/>
          <w:szCs w:val="20"/>
          <w:color w:val="auto"/>
        </w:rPr>
      </w:pPr>
      <w:r>
        <w:rPr>
          <w:rFonts w:ascii="Arial" w:cs="Arial" w:eastAsia="Arial" w:hAnsi="Arial"/>
          <w:sz w:val="9"/>
          <w:szCs w:val="9"/>
          <w:color w:val="auto"/>
        </w:rPr>
        <w:t>Form 10-K report filed with the Securities and Exchange Commission. Individuals who wish to receive the Form 10-K or other corporate literature should visit our website at bassettfurniture.com or contact Investor Relations. at 'Z76.629.6000</w:t>
      </w:r>
    </w:p>
    <w:p>
      <w:pPr>
        <w:spacing w:after="0" w:line="224" w:lineRule="exact"/>
        <w:rPr>
          <w:sz w:val="20"/>
          <w:szCs w:val="20"/>
          <w:color w:val="auto"/>
        </w:rPr>
      </w:pPr>
    </w:p>
    <w:p>
      <w:pPr>
        <w:spacing w:after="0"/>
        <w:rPr>
          <w:sz w:val="20"/>
          <w:szCs w:val="20"/>
          <w:color w:val="auto"/>
        </w:rPr>
      </w:pPr>
      <w:r>
        <w:rPr>
          <w:rFonts w:ascii="Arial" w:cs="Arial" w:eastAsia="Arial" w:hAnsi="Arial"/>
          <w:sz w:val="11"/>
          <w:szCs w:val="11"/>
          <w:color w:val="auto"/>
        </w:rPr>
        <w:t>Transfer Agent- Stockholder Inquiries</w:t>
      </w:r>
    </w:p>
    <w:p>
      <w:pPr>
        <w:spacing w:after="0" w:line="63" w:lineRule="exact"/>
        <w:rPr>
          <w:sz w:val="20"/>
          <w:szCs w:val="20"/>
          <w:color w:val="auto"/>
        </w:rPr>
      </w:pPr>
    </w:p>
    <w:p>
      <w:pPr>
        <w:spacing w:after="0"/>
        <w:rPr>
          <w:sz w:val="20"/>
          <w:szCs w:val="20"/>
          <w:color w:val="auto"/>
        </w:rPr>
      </w:pPr>
      <w:r>
        <w:rPr>
          <w:rFonts w:ascii="Arial" w:cs="Arial" w:eastAsia="Arial" w:hAnsi="Arial"/>
          <w:sz w:val="9"/>
          <w:szCs w:val="9"/>
          <w:color w:val="auto"/>
        </w:rPr>
        <w:t>Stockholders with inquiries relating to stockholder</w:t>
      </w:r>
    </w:p>
    <w:p>
      <w:pPr>
        <w:spacing w:after="0" w:line="65" w:lineRule="exact"/>
        <w:rPr>
          <w:sz w:val="20"/>
          <w:szCs w:val="20"/>
          <w:color w:val="auto"/>
        </w:rPr>
      </w:pPr>
    </w:p>
    <w:p>
      <w:pPr>
        <w:ind w:right="1696"/>
        <w:spacing w:after="0" w:line="390" w:lineRule="auto"/>
        <w:rPr>
          <w:sz w:val="20"/>
          <w:szCs w:val="20"/>
          <w:color w:val="auto"/>
        </w:rPr>
      </w:pPr>
      <w:r>
        <w:rPr>
          <w:rFonts w:ascii="Arial" w:cs="Arial" w:eastAsia="Arial" w:hAnsi="Arial"/>
          <w:sz w:val="9"/>
          <w:szCs w:val="9"/>
          <w:color w:val="auto"/>
        </w:rPr>
        <w:t>records. stock transfers, change of ownership, change of address or dividend payments should write to:</w:t>
      </w:r>
    </w:p>
    <w:p>
      <w:pPr>
        <w:spacing w:after="0" w:line="172" w:lineRule="exact"/>
        <w:rPr>
          <w:sz w:val="20"/>
          <w:szCs w:val="20"/>
          <w:color w:val="auto"/>
        </w:rPr>
      </w:pPr>
    </w:p>
    <w:p>
      <w:pPr>
        <w:spacing w:after="0"/>
        <w:rPr>
          <w:sz w:val="20"/>
          <w:szCs w:val="20"/>
          <w:color w:val="auto"/>
        </w:rPr>
      </w:pPr>
      <w:r>
        <w:rPr>
          <w:rFonts w:ascii="Arial" w:cs="Arial" w:eastAsia="Arial" w:hAnsi="Arial"/>
          <w:sz w:val="9"/>
          <w:szCs w:val="9"/>
          <w:color w:val="auto"/>
        </w:rPr>
        <w:t>Equiniti Trust Company, L..LC iEQ"JEQ Shareholder Services Call Center</w:t>
      </w:r>
    </w:p>
    <w:p>
      <w:pPr>
        <w:spacing w:after="0" w:line="65" w:lineRule="exact"/>
        <w:rPr>
          <w:sz w:val="20"/>
          <w:szCs w:val="20"/>
          <w:color w:val="auto"/>
        </w:rPr>
      </w:pPr>
    </w:p>
    <w:p>
      <w:pPr>
        <w:spacing w:after="0"/>
        <w:rPr>
          <w:sz w:val="20"/>
          <w:szCs w:val="20"/>
          <w:color w:val="auto"/>
        </w:rPr>
      </w:pPr>
      <w:r>
        <w:rPr>
          <w:rFonts w:ascii="Arial" w:cs="Arial" w:eastAsia="Arial" w:hAnsi="Arial"/>
          <w:sz w:val="9"/>
          <w:szCs w:val="9"/>
          <w:color w:val="auto"/>
        </w:rPr>
        <w:t>48 Wall Street. Roar 23</w:t>
      </w:r>
    </w:p>
    <w:p>
      <w:pPr>
        <w:spacing w:after="0" w:line="65" w:lineRule="exact"/>
        <w:rPr>
          <w:sz w:val="20"/>
          <w:szCs w:val="20"/>
          <w:color w:val="auto"/>
        </w:rPr>
      </w:pPr>
    </w:p>
    <w:p>
      <w:pPr>
        <w:spacing w:after="0"/>
        <w:rPr>
          <w:sz w:val="20"/>
          <w:szCs w:val="20"/>
          <w:color w:val="auto"/>
        </w:rPr>
      </w:pPr>
      <w:r>
        <w:rPr>
          <w:rFonts w:ascii="Arial" w:cs="Arial" w:eastAsia="Arial" w:hAnsi="Arial"/>
          <w:sz w:val="9"/>
          <w:szCs w:val="9"/>
          <w:color w:val="auto"/>
        </w:rPr>
        <w:t>New York. NY 10005</w:t>
      </w:r>
    </w:p>
    <w:p>
      <w:pPr>
        <w:spacing w:after="0" w:line="45" w:lineRule="exact"/>
        <w:rPr>
          <w:sz w:val="20"/>
          <w:szCs w:val="20"/>
          <w:color w:val="auto"/>
        </w:rPr>
      </w:pPr>
    </w:p>
    <w:p>
      <w:pPr>
        <w:spacing w:after="0"/>
        <w:rPr>
          <w:sz w:val="20"/>
          <w:szCs w:val="20"/>
          <w:color w:val="auto"/>
        </w:rPr>
      </w:pPr>
      <w:r>
        <w:rPr>
          <w:rFonts w:ascii="Arial" w:cs="Arial" w:eastAsia="Arial" w:hAnsi="Arial"/>
          <w:sz w:val="9"/>
          <w:szCs w:val="9"/>
          <w:color w:val="auto"/>
        </w:rPr>
        <w:t>Toll Free: 800.937.5449</w:t>
      </w:r>
    </w:p>
    <w:p>
      <w:pPr>
        <w:spacing w:after="0" w:line="69" w:lineRule="exact"/>
        <w:rPr>
          <w:sz w:val="20"/>
          <w:szCs w:val="20"/>
          <w:color w:val="auto"/>
        </w:rPr>
      </w:pPr>
    </w:p>
    <w:p>
      <w:pPr>
        <w:spacing w:after="0"/>
        <w:rPr>
          <w:sz w:val="20"/>
          <w:szCs w:val="20"/>
          <w:color w:val="auto"/>
        </w:rPr>
      </w:pPr>
      <w:r>
        <w:rPr>
          <w:rFonts w:ascii="Arial" w:cs="Arial" w:eastAsia="Arial" w:hAnsi="Arial"/>
          <w:sz w:val="9"/>
          <w:szCs w:val="9"/>
          <w:color w:val="auto"/>
        </w:rPr>
        <w:t>Local &amp; International: 718-921-8124</w:t>
      </w:r>
    </w:p>
    <w:p>
      <w:pPr>
        <w:spacing w:after="0" w:line="65" w:lineRule="exact"/>
        <w:rPr>
          <w:sz w:val="20"/>
          <w:szCs w:val="20"/>
          <w:color w:val="auto"/>
        </w:rPr>
      </w:pPr>
    </w:p>
    <w:p>
      <w:pPr>
        <w:spacing w:after="0"/>
        <w:rPr>
          <w:sz w:val="20"/>
          <w:szCs w:val="20"/>
          <w:color w:val="auto"/>
        </w:rPr>
      </w:pPr>
      <w:r>
        <w:rPr>
          <w:rFonts w:ascii="Arial" w:cs="Arial" w:eastAsia="Arial" w:hAnsi="Arial"/>
          <w:sz w:val="9"/>
          <w:szCs w:val="9"/>
          <w:color w:val="auto"/>
        </w:rPr>
        <w:t>Hours: 8 a.m.- 8 p.m. IT Monday-Friday</w:t>
      </w:r>
    </w:p>
    <w:p>
      <w:pPr>
        <w:spacing w:after="0" w:line="65" w:lineRule="exact"/>
        <w:rPr>
          <w:sz w:val="20"/>
          <w:szCs w:val="20"/>
          <w:color w:val="auto"/>
        </w:rPr>
      </w:pPr>
    </w:p>
    <w:p>
      <w:pPr>
        <w:spacing w:after="0"/>
        <w:rPr>
          <w:sz w:val="20"/>
          <w:szCs w:val="20"/>
          <w:color w:val="auto"/>
        </w:rPr>
      </w:pPr>
      <w:r>
        <w:rPr>
          <w:rFonts w:ascii="Arial" w:cs="Arial" w:eastAsia="Arial" w:hAnsi="Arial"/>
          <w:sz w:val="9"/>
          <w:szCs w:val="9"/>
          <w:color w:val="auto"/>
        </w:rPr>
        <w:t>Email: helpast@equiniti.com</w:t>
      </w:r>
    </w:p>
    <w:p>
      <w:pPr>
        <w:spacing w:after="0" w:line="65" w:lineRule="exact"/>
        <w:rPr>
          <w:sz w:val="20"/>
          <w:szCs w:val="20"/>
          <w:color w:val="auto"/>
        </w:rPr>
      </w:pPr>
    </w:p>
    <w:p>
      <w:pPr>
        <w:spacing w:after="0"/>
        <w:rPr>
          <w:sz w:val="20"/>
          <w:szCs w:val="20"/>
          <w:color w:val="auto"/>
        </w:rPr>
      </w:pPr>
      <w:r>
        <w:rPr>
          <w:rFonts w:ascii="Arial" w:cs="Arial" w:eastAsia="Arial" w:hAnsi="Arial"/>
          <w:sz w:val="9"/>
          <w:szCs w:val="9"/>
          <w:color w:val="auto"/>
        </w:rPr>
        <w:t>Website: equiniti.com</w:t>
      </w:r>
    </w:p>
    <w:p>
      <w:pPr>
        <w:spacing w:after="0" w:line="225" w:lineRule="exact"/>
        <w:rPr>
          <w:sz w:val="20"/>
          <w:szCs w:val="20"/>
          <w:color w:val="auto"/>
        </w:rPr>
      </w:pPr>
    </w:p>
    <w:p>
      <w:pPr>
        <w:spacing w:after="0"/>
        <w:rPr>
          <w:sz w:val="20"/>
          <w:szCs w:val="20"/>
          <w:color w:val="auto"/>
        </w:rPr>
      </w:pPr>
      <w:r>
        <w:rPr>
          <w:rFonts w:ascii="Arial" w:cs="Arial" w:eastAsia="Arial" w:hAnsi="Arial"/>
          <w:sz w:val="11"/>
          <w:szCs w:val="11"/>
          <w:color w:val="auto"/>
        </w:rPr>
        <w:t>Annual Meeting</w:t>
      </w:r>
    </w:p>
    <w:p>
      <w:pPr>
        <w:spacing w:after="0" w:line="63" w:lineRule="exact"/>
        <w:rPr>
          <w:sz w:val="20"/>
          <w:szCs w:val="20"/>
          <w:color w:val="auto"/>
        </w:rPr>
      </w:pPr>
    </w:p>
    <w:p>
      <w:pPr>
        <w:jc w:val="both"/>
        <w:ind w:right="1556"/>
        <w:spacing w:after="0" w:line="371" w:lineRule="auto"/>
        <w:rPr>
          <w:sz w:val="20"/>
          <w:szCs w:val="20"/>
          <w:color w:val="auto"/>
        </w:rPr>
      </w:pPr>
      <w:r>
        <w:rPr>
          <w:rFonts w:ascii="Arial" w:cs="Arial" w:eastAsia="Arial" w:hAnsi="Arial"/>
          <w:sz w:val="9"/>
          <w:szCs w:val="9"/>
          <w:color w:val="auto"/>
        </w:rPr>
        <w:t xml:space="preserve">The Bassett Annual Meeting of Shareholders will be held Wednesday, March 12. 2025 at 10 a.m. EST virtually and is available via live audio only webcast </w:t>
      </w:r>
      <w:r>
        <w:rPr>
          <w:rFonts w:ascii="Times New Roman" w:cs="Times New Roman" w:eastAsia="Times New Roman" w:hAnsi="Times New Roman"/>
          <w:sz w:val="10"/>
          <w:szCs w:val="10"/>
          <w:color w:val="auto"/>
        </w:rPr>
        <w:t>at</w:t>
      </w:r>
    </w:p>
    <w:p>
      <w:pPr>
        <w:spacing w:after="0" w:line="6" w:lineRule="exact"/>
        <w:rPr>
          <w:sz w:val="20"/>
          <w:szCs w:val="20"/>
          <w:color w:val="auto"/>
        </w:rPr>
      </w:pPr>
    </w:p>
    <w:p>
      <w:pPr>
        <w:spacing w:after="0"/>
        <w:tabs>
          <w:tab w:leader="none" w:pos="1780" w:val="left"/>
        </w:tabs>
        <w:rPr>
          <w:sz w:val="20"/>
          <w:szCs w:val="20"/>
          <w:color w:val="auto"/>
        </w:rPr>
      </w:pPr>
      <w:r>
        <w:rPr>
          <w:rFonts w:ascii="Arial" w:cs="Arial" w:eastAsia="Arial" w:hAnsi="Arial"/>
          <w:sz w:val="9"/>
          <w:szCs w:val="9"/>
          <w:color w:val="auto"/>
        </w:rPr>
        <w:t>httpsJ/Web.lumiconnect.com/201995786</w:t>
      </w:r>
      <w:r>
        <w:rPr>
          <w:sz w:val="20"/>
          <w:szCs w:val="20"/>
          <w:color w:val="auto"/>
        </w:rPr>
        <w:tab/>
      </w:r>
      <w:r>
        <w:rPr>
          <w:rFonts w:ascii="Arial" w:cs="Arial" w:eastAsia="Arial" w:hAnsi="Arial"/>
          <w:sz w:val="9"/>
          <w:szCs w:val="9"/>
          <w:color w:val="auto"/>
        </w:rPr>
        <w:t>(password: bassett2025)</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Market and Dividend Information</w:t>
      </w:r>
    </w:p>
    <w:p>
      <w:pPr>
        <w:spacing w:after="0" w:line="63" w:lineRule="exact"/>
        <w:rPr>
          <w:sz w:val="20"/>
          <w:szCs w:val="20"/>
          <w:color w:val="auto"/>
        </w:rPr>
      </w:pPr>
    </w:p>
    <w:p>
      <w:pPr>
        <w:ind w:right="1436" w:firstLine="3"/>
        <w:spacing w:after="0" w:line="392" w:lineRule="auto"/>
        <w:rPr>
          <w:sz w:val="20"/>
          <w:szCs w:val="20"/>
          <w:color w:val="auto"/>
        </w:rPr>
      </w:pPr>
      <w:r>
        <w:rPr>
          <w:rFonts w:ascii="Arial" w:cs="Arial" w:eastAsia="Arial" w:hAnsi="Arial"/>
          <w:sz w:val="9"/>
          <w:szCs w:val="9"/>
          <w:color w:val="auto"/>
        </w:rPr>
        <w:t>Bassett'scommon stock trades on the NASDAQ national market system under the symbol "BSET'We had 6.300 beneficial stockholders as of January 23,2025. The range of per share amounts for the high and ICNJ market prices and dividends declared for the last two fiscal years are listed below:</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4"/>
        <w:spacing w:after="0"/>
        <w:rPr>
          <w:sz w:val="20"/>
          <w:szCs w:val="20"/>
          <w:color w:val="auto"/>
        </w:rPr>
      </w:pPr>
      <w:r>
        <w:rPr>
          <w:rFonts w:ascii="Arial" w:cs="Arial" w:eastAsia="Arial" w:hAnsi="Arial"/>
          <w:sz w:val="19"/>
          <w:szCs w:val="19"/>
          <w:color w:val="auto"/>
        </w:rPr>
        <w:t>BOARD OF DIRECTORS</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0"/>
          <w:szCs w:val="10"/>
          <w:color w:val="auto"/>
        </w:rPr>
        <w:t>ROBERT H. SPILMAN JR.</w:t>
      </w:r>
    </w:p>
    <w:p>
      <w:pPr>
        <w:spacing w:after="0" w:line="51" w:lineRule="exact"/>
        <w:rPr>
          <w:sz w:val="20"/>
          <w:szCs w:val="20"/>
          <w:color w:val="auto"/>
        </w:rPr>
      </w:pPr>
    </w:p>
    <w:p>
      <w:pPr>
        <w:ind w:left="4" w:hanging="3"/>
        <w:spacing w:after="0" w:line="368" w:lineRule="auto"/>
        <w:rPr>
          <w:sz w:val="20"/>
          <w:szCs w:val="20"/>
          <w:color w:val="auto"/>
        </w:rPr>
      </w:pPr>
      <w:r>
        <w:rPr>
          <w:rFonts w:ascii="Arial" w:cs="Arial" w:eastAsia="Arial" w:hAnsi="Arial"/>
          <w:sz w:val="9"/>
          <w:szCs w:val="9"/>
          <w:color w:val="auto"/>
        </w:rPr>
        <w:t>Chairman of the Board and Chief Executive Officer Bassett Furniture Industries, Inc.</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0"/>
          <w:szCs w:val="10"/>
          <w:color w:val="auto"/>
        </w:rPr>
        <w:t>EMMA S. BATTLE</w:t>
      </w:r>
    </w:p>
    <w:p>
      <w:pPr>
        <w:spacing w:after="0" w:line="51" w:lineRule="exact"/>
        <w:rPr>
          <w:sz w:val="20"/>
          <w:szCs w:val="20"/>
          <w:color w:val="auto"/>
        </w:rPr>
      </w:pPr>
    </w:p>
    <w:p>
      <w:pPr>
        <w:ind w:left="4"/>
        <w:spacing w:after="0"/>
        <w:rPr>
          <w:sz w:val="20"/>
          <w:szCs w:val="20"/>
          <w:color w:val="auto"/>
        </w:rPr>
      </w:pPr>
      <w:r>
        <w:rPr>
          <w:rFonts w:ascii="Arial" w:cs="Arial" w:eastAsia="Arial" w:hAnsi="Arial"/>
          <w:sz w:val="9"/>
          <w:szCs w:val="9"/>
          <w:color w:val="auto"/>
        </w:rPr>
        <w:t>Chief Executive Officer</w:t>
      </w:r>
    </w:p>
    <w:p>
      <w:pPr>
        <w:spacing w:after="0" w:line="55" w:lineRule="exact"/>
        <w:rPr>
          <w:sz w:val="20"/>
          <w:szCs w:val="20"/>
          <w:color w:val="auto"/>
        </w:rPr>
      </w:pPr>
    </w:p>
    <w:p>
      <w:pPr>
        <w:ind w:left="4"/>
        <w:spacing w:after="0"/>
        <w:rPr>
          <w:sz w:val="20"/>
          <w:szCs w:val="20"/>
          <w:color w:val="auto"/>
        </w:rPr>
      </w:pPr>
      <w:r>
        <w:rPr>
          <w:rFonts w:ascii="Arial" w:cs="Arial" w:eastAsia="Arial" w:hAnsi="Arial"/>
          <w:sz w:val="9"/>
          <w:szCs w:val="9"/>
          <w:color w:val="auto"/>
        </w:rPr>
        <w:t>M arket Vigor, LLC</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0"/>
          <w:szCs w:val="10"/>
          <w:color w:val="auto"/>
        </w:rPr>
        <w:t>JOHNR.BELK</w:t>
      </w:r>
    </w:p>
    <w:p>
      <w:pPr>
        <w:spacing w:after="0" w:line="51" w:lineRule="exact"/>
        <w:rPr>
          <w:sz w:val="20"/>
          <w:szCs w:val="20"/>
          <w:color w:val="auto"/>
        </w:rPr>
      </w:pPr>
    </w:p>
    <w:p>
      <w:pPr>
        <w:ind w:left="4"/>
        <w:spacing w:after="0"/>
        <w:rPr>
          <w:sz w:val="20"/>
          <w:szCs w:val="20"/>
          <w:color w:val="auto"/>
        </w:rPr>
      </w:pPr>
      <w:r>
        <w:rPr>
          <w:rFonts w:ascii="Arial" w:cs="Arial" w:eastAsia="Arial" w:hAnsi="Arial"/>
          <w:sz w:val="9"/>
          <w:szCs w:val="9"/>
          <w:color w:val="auto"/>
        </w:rPr>
        <w:t>Former President and Chief Operating Officer</w:t>
      </w:r>
    </w:p>
    <w:p>
      <w:pPr>
        <w:spacing w:after="0" w:line="55" w:lineRule="exact"/>
        <w:rPr>
          <w:sz w:val="20"/>
          <w:szCs w:val="20"/>
          <w:color w:val="auto"/>
        </w:rPr>
      </w:pPr>
    </w:p>
    <w:p>
      <w:pPr>
        <w:ind w:left="4"/>
        <w:spacing w:after="0"/>
        <w:rPr>
          <w:sz w:val="20"/>
          <w:szCs w:val="20"/>
          <w:color w:val="auto"/>
        </w:rPr>
      </w:pPr>
      <w:r>
        <w:rPr>
          <w:rFonts w:ascii="Arial" w:cs="Arial" w:eastAsia="Arial" w:hAnsi="Arial"/>
          <w:sz w:val="9"/>
          <w:szCs w:val="9"/>
          <w:color w:val="auto"/>
        </w:rPr>
        <w:t>Belk.lnc.</w:t>
      </w:r>
    </w:p>
    <w:p>
      <w:pPr>
        <w:spacing w:after="0" w:line="50" w:lineRule="exact"/>
        <w:rPr>
          <w:sz w:val="20"/>
          <w:szCs w:val="20"/>
          <w:color w:val="auto"/>
        </w:rPr>
      </w:pPr>
    </w:p>
    <w:p>
      <w:pPr>
        <w:ind w:left="4"/>
        <w:spacing w:after="0"/>
        <w:rPr>
          <w:sz w:val="20"/>
          <w:szCs w:val="20"/>
          <w:color w:val="auto"/>
        </w:rPr>
      </w:pPr>
      <w:r>
        <w:rPr>
          <w:rFonts w:ascii="Arial" w:cs="Arial" w:eastAsia="Arial" w:hAnsi="Arial"/>
          <w:sz w:val="9"/>
          <w:szCs w:val="9"/>
          <w:color w:val="auto"/>
        </w:rPr>
        <w:t>Private Investor</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10"/>
          <w:szCs w:val="10"/>
          <w:color w:val="auto"/>
        </w:rPr>
        <w:t>KRISTINA CASHMAN GODINA</w:t>
      </w:r>
    </w:p>
    <w:p>
      <w:pPr>
        <w:spacing w:after="0" w:line="56" w:lineRule="exact"/>
        <w:rPr>
          <w:sz w:val="20"/>
          <w:szCs w:val="20"/>
          <w:color w:val="auto"/>
        </w:rPr>
      </w:pPr>
    </w:p>
    <w:p>
      <w:pPr>
        <w:ind w:left="4"/>
        <w:spacing w:after="0"/>
        <w:rPr>
          <w:sz w:val="20"/>
          <w:szCs w:val="20"/>
          <w:color w:val="auto"/>
        </w:rPr>
      </w:pPr>
      <w:r>
        <w:rPr>
          <w:rFonts w:ascii="Arial" w:cs="Arial" w:eastAsia="Arial" w:hAnsi="Arial"/>
          <w:sz w:val="9"/>
          <w:szCs w:val="9"/>
          <w:color w:val="auto"/>
        </w:rPr>
        <w:t>Chief Executive Officer</w:t>
      </w:r>
    </w:p>
    <w:p>
      <w:pPr>
        <w:spacing w:after="0" w:line="50" w:lineRule="exact"/>
        <w:rPr>
          <w:sz w:val="20"/>
          <w:szCs w:val="20"/>
          <w:color w:val="auto"/>
        </w:rPr>
      </w:pPr>
    </w:p>
    <w:p>
      <w:pPr>
        <w:ind w:left="4"/>
        <w:spacing w:after="0"/>
        <w:rPr>
          <w:sz w:val="20"/>
          <w:szCs w:val="20"/>
          <w:color w:val="auto"/>
        </w:rPr>
      </w:pPr>
      <w:r>
        <w:rPr>
          <w:rFonts w:ascii="Arial" w:cs="Arial" w:eastAsia="Arial" w:hAnsi="Arial"/>
          <w:sz w:val="9"/>
          <w:szCs w:val="9"/>
          <w:color w:val="auto"/>
        </w:rPr>
        <w:t>Guy &amp; Larry Restaurants, LLC</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0"/>
          <w:szCs w:val="10"/>
          <w:color w:val="auto"/>
        </w:rPr>
        <w:t>VIRGINIA W. HAMLET</w:t>
      </w:r>
    </w:p>
    <w:p>
      <w:pPr>
        <w:spacing w:after="0" w:line="51" w:lineRule="exact"/>
        <w:rPr>
          <w:sz w:val="20"/>
          <w:szCs w:val="20"/>
          <w:color w:val="auto"/>
        </w:rPr>
      </w:pPr>
    </w:p>
    <w:p>
      <w:pPr>
        <w:ind w:left="4"/>
        <w:spacing w:after="0"/>
        <w:rPr>
          <w:sz w:val="20"/>
          <w:szCs w:val="20"/>
          <w:color w:val="auto"/>
        </w:rPr>
      </w:pPr>
      <w:r>
        <w:rPr>
          <w:rFonts w:ascii="Arial" w:cs="Arial" w:eastAsia="Arial" w:hAnsi="Arial"/>
          <w:sz w:val="9"/>
          <w:szCs w:val="9"/>
          <w:color w:val="auto"/>
        </w:rPr>
        <w:t>Founder and Owner</w:t>
      </w:r>
    </w:p>
    <w:p>
      <w:pPr>
        <w:spacing w:after="0" w:line="55" w:lineRule="exact"/>
        <w:rPr>
          <w:sz w:val="20"/>
          <w:szCs w:val="20"/>
          <w:color w:val="auto"/>
        </w:rPr>
      </w:pPr>
    </w:p>
    <w:p>
      <w:pPr>
        <w:ind w:left="4"/>
        <w:spacing w:after="0"/>
        <w:rPr>
          <w:sz w:val="20"/>
          <w:szCs w:val="20"/>
          <w:color w:val="auto"/>
        </w:rPr>
      </w:pPr>
      <w:r>
        <w:rPr>
          <w:rFonts w:ascii="Arial" w:cs="Arial" w:eastAsia="Arial" w:hAnsi="Arial"/>
          <w:sz w:val="9"/>
          <w:szCs w:val="9"/>
          <w:color w:val="auto"/>
        </w:rPr>
        <w:t>Hamlet Vineyards, LLC</w:t>
      </w:r>
    </w:p>
    <w:p>
      <w:pPr>
        <w:spacing w:after="0" w:line="313" w:lineRule="exact"/>
        <w:rPr>
          <w:sz w:val="20"/>
          <w:szCs w:val="20"/>
          <w:color w:val="auto"/>
        </w:rPr>
      </w:pPr>
    </w:p>
    <w:p>
      <w:pPr>
        <w:ind w:left="184" w:hanging="184"/>
        <w:spacing w:after="0"/>
        <w:tabs>
          <w:tab w:leader="none" w:pos="184" w:val="left"/>
        </w:tabs>
        <w:numPr>
          <w:ilvl w:val="0"/>
          <w:numId w:val="28"/>
        </w:numPr>
        <w:rPr>
          <w:rFonts w:ascii="Times New Roman" w:cs="Times New Roman" w:eastAsia="Times New Roman" w:hAnsi="Times New Roman"/>
          <w:sz w:val="17"/>
          <w:szCs w:val="17"/>
          <w:color w:val="auto"/>
        </w:rPr>
      </w:pPr>
      <w:r>
        <w:rPr>
          <w:rFonts w:ascii="Arial" w:cs="Arial" w:eastAsia="Arial" w:hAnsi="Arial"/>
          <w:sz w:val="20"/>
          <w:szCs w:val="20"/>
          <w:color w:val="auto"/>
        </w:rPr>
        <w:t>FFIC ERS</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0"/>
          <w:szCs w:val="10"/>
          <w:color w:val="auto"/>
        </w:rPr>
        <w:t>ROBERT H. SPILMAN JR.</w:t>
      </w:r>
    </w:p>
    <w:p>
      <w:pPr>
        <w:spacing w:after="0" w:line="51" w:lineRule="exact"/>
        <w:rPr>
          <w:sz w:val="20"/>
          <w:szCs w:val="20"/>
          <w:color w:val="auto"/>
        </w:rPr>
      </w:pPr>
    </w:p>
    <w:p>
      <w:pPr>
        <w:ind w:left="4"/>
        <w:spacing w:after="0"/>
        <w:rPr>
          <w:sz w:val="20"/>
          <w:szCs w:val="20"/>
          <w:color w:val="auto"/>
        </w:rPr>
      </w:pPr>
      <w:r>
        <w:rPr>
          <w:rFonts w:ascii="Arial" w:cs="Arial" w:eastAsia="Arial" w:hAnsi="Arial"/>
          <w:sz w:val="9"/>
          <w:szCs w:val="9"/>
          <w:color w:val="auto"/>
        </w:rPr>
        <w:t>Chairman of the Board and Chief Executive Officer</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0"/>
          <w:szCs w:val="10"/>
          <w:color w:val="auto"/>
        </w:rPr>
        <w:t>JOHN E. BASSETT Ill</w:t>
      </w:r>
    </w:p>
    <w:p>
      <w:pPr>
        <w:spacing w:after="0" w:line="51" w:lineRule="exact"/>
        <w:rPr>
          <w:sz w:val="20"/>
          <w:szCs w:val="20"/>
          <w:color w:val="auto"/>
        </w:rPr>
      </w:pPr>
    </w:p>
    <w:p>
      <w:pPr>
        <w:ind w:left="4"/>
        <w:spacing w:after="0"/>
        <w:rPr>
          <w:sz w:val="20"/>
          <w:szCs w:val="20"/>
          <w:color w:val="auto"/>
        </w:rPr>
      </w:pPr>
      <w:r>
        <w:rPr>
          <w:rFonts w:ascii="Arial" w:cs="Arial" w:eastAsia="Arial" w:hAnsi="Arial"/>
          <w:sz w:val="9"/>
          <w:szCs w:val="9"/>
          <w:color w:val="auto"/>
        </w:rPr>
        <w:t>Senior Vice President. Chief Operations Officer</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0"/>
          <w:szCs w:val="10"/>
          <w:color w:val="auto"/>
        </w:rPr>
        <w:t>ANTHONY L. CHIVARI</w:t>
      </w:r>
    </w:p>
    <w:p>
      <w:pPr>
        <w:spacing w:after="0" w:line="51" w:lineRule="exact"/>
        <w:rPr>
          <w:sz w:val="20"/>
          <w:szCs w:val="20"/>
          <w:color w:val="auto"/>
        </w:rPr>
      </w:pPr>
    </w:p>
    <w:p>
      <w:pPr>
        <w:ind w:left="4"/>
        <w:spacing w:after="0"/>
        <w:rPr>
          <w:sz w:val="20"/>
          <w:szCs w:val="20"/>
          <w:color w:val="auto"/>
        </w:rPr>
      </w:pPr>
      <w:r>
        <w:rPr>
          <w:rFonts w:ascii="Arial" w:cs="Arial" w:eastAsia="Arial" w:hAnsi="Arial"/>
          <w:sz w:val="9"/>
          <w:szCs w:val="9"/>
          <w:color w:val="auto"/>
        </w:rPr>
        <w:t>Senior Vice President. Chief Marketing Officer</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0"/>
          <w:szCs w:val="10"/>
          <w:color w:val="auto"/>
        </w:rPr>
        <w:t>BRIAN W. CLASPELL</w:t>
      </w:r>
    </w:p>
    <w:p>
      <w:pPr>
        <w:spacing w:after="0" w:line="51" w:lineRule="exact"/>
        <w:rPr>
          <w:sz w:val="20"/>
          <w:szCs w:val="20"/>
          <w:color w:val="auto"/>
        </w:rPr>
      </w:pPr>
    </w:p>
    <w:p>
      <w:pPr>
        <w:ind w:left="4"/>
        <w:spacing w:after="0"/>
        <w:rPr>
          <w:sz w:val="20"/>
          <w:szCs w:val="20"/>
          <w:color w:val="auto"/>
        </w:rPr>
      </w:pPr>
      <w:r>
        <w:rPr>
          <w:rFonts w:ascii="Arial" w:cs="Arial" w:eastAsia="Arial" w:hAnsi="Arial"/>
          <w:sz w:val="9"/>
          <w:szCs w:val="9"/>
          <w:color w:val="auto"/>
        </w:rPr>
        <w:t>Senior Vice President. Chief Information Officer</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0"/>
          <w:szCs w:val="10"/>
          <w:color w:val="auto"/>
        </w:rPr>
        <w:t>BRUCE R. COHENOUR</w:t>
      </w:r>
    </w:p>
    <w:p>
      <w:pPr>
        <w:spacing w:after="0" w:line="51" w:lineRule="exact"/>
        <w:rPr>
          <w:sz w:val="20"/>
          <w:szCs w:val="20"/>
          <w:color w:val="auto"/>
        </w:rPr>
      </w:pPr>
    </w:p>
    <w:p>
      <w:pPr>
        <w:ind w:left="4"/>
        <w:spacing w:after="0"/>
        <w:rPr>
          <w:sz w:val="20"/>
          <w:szCs w:val="20"/>
          <w:color w:val="auto"/>
        </w:rPr>
      </w:pPr>
      <w:r>
        <w:rPr>
          <w:rFonts w:ascii="Arial" w:cs="Arial" w:eastAsia="Arial" w:hAnsi="Arial"/>
          <w:sz w:val="9"/>
          <w:szCs w:val="9"/>
          <w:color w:val="auto"/>
        </w:rPr>
        <w:t>Senior Vice President. Chief Sales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0"/>
          <w:szCs w:val="10"/>
          <w:color w:val="auto"/>
        </w:rPr>
        <w:t>J. WALTER MCDOWELL</w:t>
      </w:r>
    </w:p>
    <w:p>
      <w:pPr>
        <w:spacing w:after="0" w:line="51" w:lineRule="exact"/>
        <w:rPr>
          <w:sz w:val="20"/>
          <w:szCs w:val="20"/>
          <w:color w:val="auto"/>
        </w:rPr>
      </w:pPr>
    </w:p>
    <w:p>
      <w:pPr>
        <w:ind w:right="880" w:firstLine="7"/>
        <w:spacing w:after="0" w:line="362" w:lineRule="auto"/>
        <w:rPr>
          <w:sz w:val="20"/>
          <w:szCs w:val="20"/>
          <w:color w:val="auto"/>
        </w:rPr>
      </w:pPr>
      <w:r>
        <w:rPr>
          <w:rFonts w:ascii="Arial" w:cs="Arial" w:eastAsia="Arial" w:hAnsi="Arial"/>
          <w:sz w:val="9"/>
          <w:szCs w:val="9"/>
          <w:color w:val="auto"/>
        </w:rPr>
        <w:t>Former Chief Executive Officer CarolinasNirginia Banking Wachovia Corporation</w:t>
      </w:r>
    </w:p>
    <w:p>
      <w:pPr>
        <w:spacing w:after="0" w:line="143" w:lineRule="exact"/>
        <w:rPr>
          <w:sz w:val="20"/>
          <w:szCs w:val="20"/>
          <w:color w:val="auto"/>
        </w:rPr>
      </w:pPr>
    </w:p>
    <w:p>
      <w:pPr>
        <w:spacing w:after="0"/>
        <w:rPr>
          <w:sz w:val="20"/>
          <w:szCs w:val="20"/>
          <w:color w:val="auto"/>
        </w:rPr>
      </w:pPr>
      <w:r>
        <w:rPr>
          <w:rFonts w:ascii="Arial" w:cs="Arial" w:eastAsia="Arial" w:hAnsi="Arial"/>
          <w:sz w:val="10"/>
          <w:szCs w:val="10"/>
          <w:color w:val="auto"/>
        </w:rPr>
        <w:t>WILLIAM C. WAMPLER JR.</w:t>
      </w:r>
    </w:p>
    <w:p>
      <w:pPr>
        <w:spacing w:after="0" w:line="51" w:lineRule="exact"/>
        <w:rPr>
          <w:sz w:val="20"/>
          <w:szCs w:val="20"/>
          <w:color w:val="auto"/>
        </w:rPr>
      </w:pPr>
    </w:p>
    <w:p>
      <w:pPr>
        <w:spacing w:after="0"/>
        <w:rPr>
          <w:sz w:val="20"/>
          <w:szCs w:val="20"/>
          <w:color w:val="auto"/>
        </w:rPr>
      </w:pPr>
      <w:r>
        <w:rPr>
          <w:rFonts w:ascii="Arial" w:cs="Arial" w:eastAsia="Arial" w:hAnsi="Arial"/>
          <w:sz w:val="9"/>
          <w:szCs w:val="9"/>
          <w:color w:val="auto"/>
        </w:rPr>
        <w:t>M anaging M ember</w:t>
      </w:r>
    </w:p>
    <w:p>
      <w:pPr>
        <w:spacing w:after="0" w:line="55" w:lineRule="exact"/>
        <w:rPr>
          <w:sz w:val="20"/>
          <w:szCs w:val="20"/>
          <w:color w:val="auto"/>
        </w:rPr>
      </w:pPr>
    </w:p>
    <w:p>
      <w:pPr>
        <w:spacing w:after="0"/>
        <w:rPr>
          <w:sz w:val="20"/>
          <w:szCs w:val="20"/>
          <w:color w:val="auto"/>
        </w:rPr>
      </w:pPr>
      <w:r>
        <w:rPr>
          <w:rFonts w:ascii="Arial" w:cs="Arial" w:eastAsia="Arial" w:hAnsi="Arial"/>
          <w:sz w:val="9"/>
          <w:szCs w:val="9"/>
          <w:color w:val="auto"/>
        </w:rPr>
        <w:t>Wampler Consulting Group. LLC</w:t>
      </w:r>
    </w:p>
    <w:p>
      <w:pPr>
        <w:spacing w:after="0" w:line="50" w:lineRule="exact"/>
        <w:rPr>
          <w:sz w:val="20"/>
          <w:szCs w:val="20"/>
          <w:color w:val="auto"/>
        </w:rPr>
      </w:pPr>
    </w:p>
    <w:p>
      <w:pPr>
        <w:spacing w:after="0"/>
        <w:rPr>
          <w:sz w:val="20"/>
          <w:szCs w:val="20"/>
          <w:color w:val="auto"/>
        </w:rPr>
      </w:pPr>
      <w:r>
        <w:rPr>
          <w:rFonts w:ascii="Arial" w:cs="Arial" w:eastAsia="Arial" w:hAnsi="Arial"/>
          <w:sz w:val="9"/>
          <w:szCs w:val="9"/>
          <w:color w:val="auto"/>
        </w:rPr>
        <w:t>Former M ember, Senate of Virginia</w:t>
      </w:r>
    </w:p>
    <w:p>
      <w:pPr>
        <w:spacing w:after="0" w:line="191" w:lineRule="exact"/>
        <w:rPr>
          <w:sz w:val="20"/>
          <w:szCs w:val="20"/>
          <w:color w:val="auto"/>
        </w:rPr>
      </w:pPr>
    </w:p>
    <w:p>
      <w:pPr>
        <w:spacing w:after="0"/>
        <w:rPr>
          <w:sz w:val="20"/>
          <w:szCs w:val="20"/>
          <w:color w:val="auto"/>
        </w:rPr>
      </w:pPr>
      <w:r>
        <w:rPr>
          <w:rFonts w:ascii="Arial" w:cs="Arial" w:eastAsia="Arial" w:hAnsi="Arial"/>
          <w:sz w:val="10"/>
          <w:szCs w:val="10"/>
          <w:color w:val="auto"/>
        </w:rPr>
        <w:t>WILLIAM C. WARDEN JR.</w:t>
      </w:r>
    </w:p>
    <w:p>
      <w:pPr>
        <w:spacing w:after="0" w:line="56" w:lineRule="exact"/>
        <w:rPr>
          <w:sz w:val="20"/>
          <w:szCs w:val="20"/>
          <w:color w:val="auto"/>
        </w:rPr>
      </w:pPr>
    </w:p>
    <w:p>
      <w:pPr>
        <w:spacing w:after="0"/>
        <w:rPr>
          <w:sz w:val="20"/>
          <w:szCs w:val="20"/>
          <w:color w:val="auto"/>
        </w:rPr>
      </w:pPr>
      <w:r>
        <w:rPr>
          <w:rFonts w:ascii="Arial" w:cs="Arial" w:eastAsia="Arial" w:hAnsi="Arial"/>
          <w:sz w:val="9"/>
          <w:szCs w:val="9"/>
          <w:color w:val="auto"/>
        </w:rPr>
        <w:t>Lead Independent Director</w:t>
      </w:r>
    </w:p>
    <w:p>
      <w:pPr>
        <w:spacing w:after="0" w:line="50" w:lineRule="exact"/>
        <w:rPr>
          <w:sz w:val="20"/>
          <w:szCs w:val="20"/>
          <w:color w:val="auto"/>
        </w:rPr>
      </w:pPr>
    </w:p>
    <w:p>
      <w:pPr>
        <w:spacing w:after="0"/>
        <w:rPr>
          <w:sz w:val="20"/>
          <w:szCs w:val="20"/>
          <w:color w:val="auto"/>
        </w:rPr>
      </w:pPr>
      <w:r>
        <w:rPr>
          <w:rFonts w:ascii="Arial" w:cs="Arial" w:eastAsia="Arial" w:hAnsi="Arial"/>
          <w:sz w:val="9"/>
          <w:szCs w:val="9"/>
          <w:color w:val="auto"/>
        </w:rPr>
        <w:t>of Bassett Furniture Industries, Inc.</w:t>
      </w:r>
    </w:p>
    <w:p>
      <w:pPr>
        <w:spacing w:after="0" w:line="55" w:lineRule="exact"/>
        <w:rPr>
          <w:sz w:val="20"/>
          <w:szCs w:val="20"/>
          <w:color w:val="auto"/>
        </w:rPr>
      </w:pPr>
    </w:p>
    <w:p>
      <w:pPr>
        <w:spacing w:after="0"/>
        <w:rPr>
          <w:sz w:val="20"/>
          <w:szCs w:val="20"/>
          <w:color w:val="auto"/>
        </w:rPr>
      </w:pPr>
      <w:r>
        <w:rPr>
          <w:rFonts w:ascii="Arial" w:cs="Arial" w:eastAsia="Arial" w:hAnsi="Arial"/>
          <w:sz w:val="9"/>
          <w:szCs w:val="9"/>
          <w:color w:val="auto"/>
        </w:rPr>
        <w:t>Former Executive Vice President.</w:t>
      </w:r>
    </w:p>
    <w:p>
      <w:pPr>
        <w:spacing w:after="0" w:line="50" w:lineRule="exact"/>
        <w:rPr>
          <w:sz w:val="20"/>
          <w:szCs w:val="20"/>
          <w:color w:val="auto"/>
        </w:rPr>
      </w:pPr>
    </w:p>
    <w:p>
      <w:pPr>
        <w:spacing w:after="0"/>
        <w:rPr>
          <w:sz w:val="20"/>
          <w:szCs w:val="20"/>
          <w:color w:val="auto"/>
        </w:rPr>
      </w:pPr>
      <w:r>
        <w:rPr>
          <w:rFonts w:ascii="Arial" w:cs="Arial" w:eastAsia="Arial" w:hAnsi="Arial"/>
          <w:sz w:val="9"/>
          <w:szCs w:val="9"/>
          <w:color w:val="auto"/>
        </w:rPr>
        <w:t>Lowe'sCompanies,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0"/>
          <w:szCs w:val="10"/>
          <w:color w:val="auto"/>
        </w:rPr>
        <w:t>JAY R. HERVEY</w:t>
      </w:r>
    </w:p>
    <w:p>
      <w:pPr>
        <w:spacing w:after="0" w:line="51" w:lineRule="exact"/>
        <w:rPr>
          <w:sz w:val="20"/>
          <w:szCs w:val="20"/>
          <w:color w:val="auto"/>
        </w:rPr>
      </w:pPr>
    </w:p>
    <w:p>
      <w:pPr>
        <w:spacing w:after="0"/>
        <w:rPr>
          <w:sz w:val="20"/>
          <w:szCs w:val="20"/>
          <w:color w:val="auto"/>
        </w:rPr>
      </w:pPr>
      <w:r>
        <w:rPr>
          <w:rFonts w:ascii="Arial" w:cs="Arial" w:eastAsia="Arial" w:hAnsi="Arial"/>
          <w:sz w:val="9"/>
          <w:szCs w:val="9"/>
          <w:color w:val="auto"/>
        </w:rPr>
        <w:t>Vice President, Secretary, General Counsel</w:t>
      </w:r>
    </w:p>
    <w:p>
      <w:pPr>
        <w:spacing w:after="0" w:line="191" w:lineRule="exact"/>
        <w:rPr>
          <w:sz w:val="20"/>
          <w:szCs w:val="20"/>
          <w:color w:val="auto"/>
        </w:rPr>
      </w:pPr>
    </w:p>
    <w:p>
      <w:pPr>
        <w:spacing w:after="0"/>
        <w:rPr>
          <w:sz w:val="20"/>
          <w:szCs w:val="20"/>
          <w:color w:val="auto"/>
        </w:rPr>
      </w:pPr>
      <w:r>
        <w:rPr>
          <w:rFonts w:ascii="Arial" w:cs="Arial" w:eastAsia="Arial" w:hAnsi="Arial"/>
          <w:sz w:val="10"/>
          <w:szCs w:val="10"/>
          <w:color w:val="auto"/>
        </w:rPr>
        <w:t>DRURY E. INGRAM</w:t>
      </w:r>
    </w:p>
    <w:p>
      <w:pPr>
        <w:spacing w:after="0" w:line="56" w:lineRule="exact"/>
        <w:rPr>
          <w:sz w:val="20"/>
          <w:szCs w:val="20"/>
          <w:color w:val="auto"/>
        </w:rPr>
      </w:pPr>
    </w:p>
    <w:p>
      <w:pPr>
        <w:spacing w:after="0"/>
        <w:rPr>
          <w:sz w:val="20"/>
          <w:szCs w:val="20"/>
          <w:color w:val="auto"/>
        </w:rPr>
      </w:pPr>
      <w:r>
        <w:rPr>
          <w:rFonts w:ascii="Arial" w:cs="Arial" w:eastAsia="Arial" w:hAnsi="Arial"/>
          <w:sz w:val="9"/>
          <w:szCs w:val="9"/>
          <w:color w:val="auto"/>
        </w:rPr>
        <w:t>Vice President, Corporate Controller</w:t>
      </w:r>
    </w:p>
    <w:p>
      <w:pPr>
        <w:spacing w:after="0" w:line="196" w:lineRule="exact"/>
        <w:rPr>
          <w:sz w:val="20"/>
          <w:szCs w:val="20"/>
          <w:color w:val="auto"/>
        </w:rPr>
      </w:pPr>
    </w:p>
    <w:p>
      <w:pPr>
        <w:spacing w:after="0"/>
        <w:rPr>
          <w:sz w:val="20"/>
          <w:szCs w:val="20"/>
          <w:color w:val="auto"/>
        </w:rPr>
      </w:pPr>
      <w:r>
        <w:rPr>
          <w:rFonts w:ascii="Arial" w:cs="Arial" w:eastAsia="Arial" w:hAnsi="Arial"/>
          <w:sz w:val="10"/>
          <w:szCs w:val="10"/>
          <w:color w:val="auto"/>
        </w:rPr>
        <w:t>MATTHEWS. JOHNSON</w:t>
      </w:r>
    </w:p>
    <w:p>
      <w:pPr>
        <w:spacing w:after="0" w:line="51" w:lineRule="exact"/>
        <w:rPr>
          <w:sz w:val="20"/>
          <w:szCs w:val="20"/>
          <w:color w:val="auto"/>
        </w:rPr>
      </w:pPr>
    </w:p>
    <w:p>
      <w:pPr>
        <w:spacing w:after="0"/>
        <w:rPr>
          <w:sz w:val="20"/>
          <w:szCs w:val="20"/>
          <w:color w:val="auto"/>
        </w:rPr>
      </w:pPr>
      <w:r>
        <w:rPr>
          <w:rFonts w:ascii="Arial" w:cs="Arial" w:eastAsia="Arial" w:hAnsi="Arial"/>
          <w:sz w:val="9"/>
          <w:szCs w:val="9"/>
          <w:color w:val="auto"/>
        </w:rPr>
        <w:t>Vice President, Sales</w:t>
      </w:r>
    </w:p>
    <w:p>
      <w:pPr>
        <w:spacing w:after="0" w:line="196" w:lineRule="exact"/>
        <w:rPr>
          <w:sz w:val="20"/>
          <w:szCs w:val="20"/>
          <w:color w:val="auto"/>
        </w:rPr>
      </w:pPr>
    </w:p>
    <w:p>
      <w:pPr>
        <w:spacing w:after="0"/>
        <w:rPr>
          <w:sz w:val="20"/>
          <w:szCs w:val="20"/>
          <w:color w:val="auto"/>
        </w:rPr>
      </w:pPr>
      <w:r>
        <w:rPr>
          <w:rFonts w:ascii="Arial" w:cs="Arial" w:eastAsia="Arial" w:hAnsi="Arial"/>
          <w:sz w:val="10"/>
          <w:szCs w:val="10"/>
          <w:color w:val="auto"/>
        </w:rPr>
        <w:t>MIKE R. KREIDLER</w:t>
      </w:r>
    </w:p>
    <w:p>
      <w:pPr>
        <w:spacing w:after="0" w:line="51" w:lineRule="exact"/>
        <w:rPr>
          <w:sz w:val="20"/>
          <w:szCs w:val="20"/>
          <w:color w:val="auto"/>
        </w:rPr>
      </w:pPr>
    </w:p>
    <w:p>
      <w:pPr>
        <w:spacing w:after="0"/>
        <w:rPr>
          <w:sz w:val="20"/>
          <w:szCs w:val="20"/>
          <w:color w:val="auto"/>
        </w:rPr>
      </w:pPr>
      <w:r>
        <w:rPr>
          <w:rFonts w:ascii="Arial" w:cs="Arial" w:eastAsia="Arial" w:hAnsi="Arial"/>
          <w:sz w:val="9"/>
          <w:szCs w:val="9"/>
          <w:color w:val="auto"/>
        </w:rPr>
        <w:t>Vice President, Upholstery</w:t>
      </w:r>
    </w:p>
    <w:p>
      <w:pPr>
        <w:spacing w:after="0" w:line="196" w:lineRule="exact"/>
        <w:rPr>
          <w:sz w:val="20"/>
          <w:szCs w:val="20"/>
          <w:color w:val="auto"/>
        </w:rPr>
      </w:pPr>
    </w:p>
    <w:p>
      <w:pPr>
        <w:spacing w:after="0"/>
        <w:rPr>
          <w:sz w:val="20"/>
          <w:szCs w:val="20"/>
          <w:color w:val="auto"/>
        </w:rPr>
      </w:pPr>
      <w:r>
        <w:rPr>
          <w:rFonts w:ascii="Arial" w:cs="Arial" w:eastAsia="Arial" w:hAnsi="Arial"/>
          <w:sz w:val="10"/>
          <w:szCs w:val="10"/>
          <w:color w:val="auto"/>
        </w:rPr>
        <w:t>BETH A. LARSON</w:t>
      </w:r>
    </w:p>
    <w:p>
      <w:pPr>
        <w:spacing w:after="0" w:line="51" w:lineRule="exact"/>
        <w:rPr>
          <w:sz w:val="20"/>
          <w:szCs w:val="20"/>
          <w:color w:val="auto"/>
        </w:rPr>
      </w:pPr>
    </w:p>
    <w:p>
      <w:pPr>
        <w:spacing w:after="0"/>
        <w:rPr>
          <w:sz w:val="20"/>
          <w:szCs w:val="20"/>
          <w:color w:val="auto"/>
        </w:rPr>
      </w:pPr>
      <w:r>
        <w:rPr>
          <w:rFonts w:ascii="Arial" w:cs="Arial" w:eastAsia="Arial" w:hAnsi="Arial"/>
          <w:sz w:val="9"/>
          <w:szCs w:val="9"/>
          <w:color w:val="auto"/>
        </w:rPr>
        <w:t>Vice President. Upholstery Finance &amp;Administration</w:t>
      </w:r>
    </w:p>
    <w:p>
      <w:pPr>
        <w:spacing w:after="0" w:line="161" w:lineRule="exact"/>
        <w:rPr>
          <w:sz w:val="20"/>
          <w:szCs w:val="20"/>
          <w:color w:val="auto"/>
        </w:rPr>
      </w:pPr>
    </w:p>
    <w:p>
      <w:pPr>
        <w:sectPr>
          <w:pgSz w:w="15840" w:h="12240" w:orient="landscape"/>
          <w:cols w:equalWidth="0" w:num="4">
            <w:col w:w="3040" w:space="160"/>
            <w:col w:w="4416" w:space="720"/>
            <w:col w:w="2824" w:space="420"/>
            <w:col w:w="2360"/>
          </w:cols>
          <w:pgMar w:left="840" w:top="1440" w:right="1060" w:bottom="1440" w:gutter="0" w:footer="0" w:header="0"/>
        </w:sectPr>
      </w:pPr>
    </w:p>
    <w:tbl>
      <w:tblPr>
        <w:tblLayout w:type="fixed"/>
        <w:tblInd w:w="3620" w:type="dxa"/>
        <w:tblCellMar>
          <w:top w:w="0" w:type="dxa"/>
          <w:left w:w="0" w:type="dxa"/>
          <w:bottom w:w="0" w:type="dxa"/>
          <w:right w:w="0" w:type="dxa"/>
        </w:tblCellMar>
      </w:tblPr>
      <w:tr>
        <w:trPr>
          <w:trHeight w:val="149"/>
        </w:trPr>
        <w:tc>
          <w:tcPr>
            <w:tcW w:w="1500" w:type="dxa"/>
            <w:vAlign w:val="bottom"/>
          </w:tcPr>
          <w:p>
            <w:pPr>
              <w:jc w:val="center"/>
              <w:ind w:right="135"/>
              <w:spacing w:after="0"/>
              <w:rPr>
                <w:sz w:val="20"/>
                <w:szCs w:val="20"/>
                <w:color w:val="auto"/>
              </w:rPr>
            </w:pPr>
            <w:r>
              <w:rPr>
                <w:rFonts w:ascii="Arial" w:cs="Arial" w:eastAsia="Arial" w:hAnsi="Arial"/>
                <w:sz w:val="13"/>
                <w:szCs w:val="13"/>
                <w:color w:val="auto"/>
                <w:w w:val="96"/>
              </w:rPr>
              <w:t>M ARKET PRICES O F</w:t>
            </w:r>
          </w:p>
        </w:tc>
        <w:tc>
          <w:tcPr>
            <w:tcW w:w="960" w:type="dxa"/>
            <w:vAlign w:val="bottom"/>
          </w:tcPr>
          <w:p>
            <w:pPr>
              <w:ind w:left="220"/>
              <w:spacing w:after="0"/>
              <w:rPr>
                <w:sz w:val="20"/>
                <w:szCs w:val="20"/>
                <w:color w:val="auto"/>
              </w:rPr>
            </w:pPr>
            <w:r>
              <w:rPr>
                <w:rFonts w:ascii="Arial" w:cs="Arial" w:eastAsia="Arial" w:hAnsi="Arial"/>
                <w:sz w:val="13"/>
                <w:szCs w:val="13"/>
                <w:color w:val="auto"/>
              </w:rPr>
              <w:t>DIVIDENDS</w:t>
            </w:r>
          </w:p>
        </w:tc>
      </w:tr>
      <w:tr>
        <w:trPr>
          <w:trHeight w:val="158"/>
        </w:trPr>
        <w:tc>
          <w:tcPr>
            <w:tcW w:w="1500" w:type="dxa"/>
            <w:vAlign w:val="bottom"/>
          </w:tcPr>
          <w:p>
            <w:pPr>
              <w:jc w:val="center"/>
              <w:ind w:right="175"/>
              <w:spacing w:after="0"/>
              <w:rPr>
                <w:sz w:val="20"/>
                <w:szCs w:val="20"/>
                <w:color w:val="auto"/>
              </w:rPr>
            </w:pPr>
            <w:r>
              <w:rPr>
                <w:rFonts w:ascii="Arial" w:cs="Arial" w:eastAsia="Arial" w:hAnsi="Arial"/>
                <w:sz w:val="13"/>
                <w:szCs w:val="13"/>
                <w:color w:val="auto"/>
              </w:rPr>
              <w:t>COMMON STOCK</w:t>
            </w:r>
          </w:p>
        </w:tc>
        <w:tc>
          <w:tcPr>
            <w:tcW w:w="960" w:type="dxa"/>
            <w:vAlign w:val="bottom"/>
          </w:tcPr>
          <w:p>
            <w:pPr>
              <w:ind w:left="220"/>
              <w:spacing w:after="0"/>
              <w:rPr>
                <w:sz w:val="20"/>
                <w:szCs w:val="20"/>
                <w:color w:val="auto"/>
              </w:rPr>
            </w:pPr>
            <w:r>
              <w:rPr>
                <w:rFonts w:ascii="Arial" w:cs="Arial" w:eastAsia="Arial" w:hAnsi="Arial"/>
                <w:sz w:val="13"/>
                <w:szCs w:val="13"/>
                <w:color w:val="auto"/>
                <w:w w:val="96"/>
              </w:rPr>
              <w:t>DECLA RED</w:t>
            </w:r>
          </w:p>
        </w:tc>
      </w:tr>
    </w:tbl>
    <w:p>
      <w:pPr>
        <w:spacing w:after="0" w:line="43" w:lineRule="exact"/>
        <w:rPr>
          <w:sz w:val="20"/>
          <w:szCs w:val="20"/>
          <w:color w:val="auto"/>
        </w:rPr>
      </w:pPr>
    </w:p>
    <w:tbl>
      <w:tblPr>
        <w:tblLayout w:type="fixed"/>
        <w:tblInd w:w="2720" w:type="dxa"/>
        <w:tblCellMar>
          <w:top w:w="0" w:type="dxa"/>
          <w:left w:w="0" w:type="dxa"/>
          <w:bottom w:w="0" w:type="dxa"/>
          <w:right w:w="0" w:type="dxa"/>
        </w:tblCellMar>
      </w:tblPr>
      <w:tr>
        <w:trPr>
          <w:trHeight w:val="299"/>
        </w:trPr>
        <w:tc>
          <w:tcPr>
            <w:tcW w:w="620" w:type="dxa"/>
            <w:vAlign w:val="bottom"/>
            <w:tcBorders>
              <w:top w:val="single" w:sz="8" w:color="3C3838"/>
            </w:tcBorders>
          </w:tcPr>
          <w:p>
            <w:pPr>
              <w:ind w:left="80"/>
              <w:spacing w:after="0"/>
              <w:rPr>
                <w:sz w:val="20"/>
                <w:szCs w:val="20"/>
                <w:color w:val="auto"/>
              </w:rPr>
            </w:pPr>
            <w:r>
              <w:rPr>
                <w:rFonts w:ascii="Arial" w:cs="Arial" w:eastAsia="Arial" w:hAnsi="Arial"/>
                <w:sz w:val="13"/>
                <w:szCs w:val="13"/>
                <w:color w:val="auto"/>
              </w:rPr>
              <w:t>Quarter</w:t>
            </w:r>
          </w:p>
        </w:tc>
        <w:tc>
          <w:tcPr>
            <w:tcW w:w="920" w:type="dxa"/>
            <w:vAlign w:val="bottom"/>
            <w:tcBorders>
              <w:top w:val="single" w:sz="8" w:color="3C3838"/>
              <w:right w:val="single" w:sz="8" w:color="3C3838"/>
            </w:tcBorders>
            <w:gridSpan w:val="2"/>
          </w:tcPr>
          <w:p>
            <w:pPr>
              <w:jc w:val="right"/>
              <w:ind w:right="261"/>
              <w:spacing w:after="0"/>
              <w:rPr>
                <w:sz w:val="20"/>
                <w:szCs w:val="20"/>
                <w:color w:val="auto"/>
              </w:rPr>
            </w:pPr>
            <w:r>
              <w:rPr>
                <w:rFonts w:ascii="Times New Roman" w:cs="Times New Roman" w:eastAsia="Times New Roman" w:hAnsi="Times New Roman"/>
                <w:sz w:val="14"/>
                <w:szCs w:val="14"/>
                <w:color w:val="auto"/>
              </w:rPr>
              <w:t>20 24</w:t>
            </w:r>
          </w:p>
        </w:tc>
        <w:tc>
          <w:tcPr>
            <w:tcW w:w="920" w:type="dxa"/>
            <w:vAlign w:val="bottom"/>
            <w:tcBorders>
              <w:top w:val="single" w:sz="8" w:color="3C3838"/>
            </w:tcBorders>
            <w:gridSpan w:val="2"/>
          </w:tcPr>
          <w:p>
            <w:pPr>
              <w:jc w:val="right"/>
              <w:ind w:right="281"/>
              <w:spacing w:after="0"/>
              <w:rPr>
                <w:sz w:val="20"/>
                <w:szCs w:val="20"/>
                <w:color w:val="auto"/>
              </w:rPr>
            </w:pPr>
            <w:r>
              <w:rPr>
                <w:rFonts w:ascii="Times New Roman" w:cs="Times New Roman" w:eastAsia="Times New Roman" w:hAnsi="Times New Roman"/>
                <w:sz w:val="14"/>
                <w:szCs w:val="14"/>
                <w:color w:val="auto"/>
              </w:rPr>
              <w:t>20 23</w:t>
            </w:r>
          </w:p>
        </w:tc>
        <w:tc>
          <w:tcPr>
            <w:tcW w:w="520" w:type="dxa"/>
            <w:vAlign w:val="bottom"/>
            <w:tcBorders>
              <w:top w:val="single" w:sz="8" w:color="3C3838"/>
              <w:right w:val="single" w:sz="8" w:color="686868"/>
            </w:tcBorders>
          </w:tcPr>
          <w:p>
            <w:pPr>
              <w:jc w:val="right"/>
              <w:ind w:right="58"/>
              <w:spacing w:after="0"/>
              <w:rPr>
                <w:sz w:val="20"/>
                <w:szCs w:val="20"/>
                <w:color w:val="auto"/>
              </w:rPr>
            </w:pPr>
            <w:r>
              <w:rPr>
                <w:rFonts w:ascii="Times New Roman" w:cs="Times New Roman" w:eastAsia="Times New Roman" w:hAnsi="Times New Roman"/>
                <w:sz w:val="14"/>
                <w:szCs w:val="14"/>
                <w:color w:val="auto"/>
              </w:rPr>
              <w:t>20 24</w:t>
            </w:r>
          </w:p>
        </w:tc>
        <w:tc>
          <w:tcPr>
            <w:tcW w:w="540" w:type="dxa"/>
            <w:vAlign w:val="bottom"/>
            <w:tcBorders>
              <w:top w:val="single" w:sz="8" w:color="3C3838"/>
            </w:tcBorders>
          </w:tcPr>
          <w:p>
            <w:pPr>
              <w:jc w:val="right"/>
              <w:ind w:right="78"/>
              <w:spacing w:after="0"/>
              <w:rPr>
                <w:sz w:val="20"/>
                <w:szCs w:val="20"/>
                <w:color w:val="auto"/>
              </w:rPr>
            </w:pPr>
            <w:r>
              <w:rPr>
                <w:rFonts w:ascii="Times New Roman" w:cs="Times New Roman" w:eastAsia="Times New Roman" w:hAnsi="Times New Roman"/>
                <w:sz w:val="14"/>
                <w:szCs w:val="14"/>
                <w:color w:val="auto"/>
              </w:rPr>
              <w:t>20 23</w:t>
            </w:r>
          </w:p>
        </w:tc>
        <w:tc>
          <w:tcPr>
            <w:tcW w:w="0" w:type="dxa"/>
            <w:vAlign w:val="bottom"/>
          </w:tcPr>
          <w:p>
            <w:pPr>
              <w:spacing w:after="0"/>
              <w:rPr>
                <w:sz w:val="1"/>
                <w:szCs w:val="1"/>
                <w:color w:val="auto"/>
              </w:rPr>
            </w:pPr>
          </w:p>
        </w:tc>
      </w:tr>
      <w:tr>
        <w:trPr>
          <w:trHeight w:val="109"/>
        </w:trPr>
        <w:tc>
          <w:tcPr>
            <w:tcW w:w="620" w:type="dxa"/>
            <w:vAlign w:val="bottom"/>
            <w:tcBorders>
              <w:bottom w:val="single" w:sz="8" w:color="201C20"/>
            </w:tcBorders>
          </w:tcPr>
          <w:p>
            <w:pPr>
              <w:spacing w:after="0"/>
              <w:rPr>
                <w:sz w:val="9"/>
                <w:szCs w:val="9"/>
                <w:color w:val="auto"/>
              </w:rPr>
            </w:pPr>
          </w:p>
        </w:tc>
        <w:tc>
          <w:tcPr>
            <w:tcW w:w="480" w:type="dxa"/>
            <w:vAlign w:val="bottom"/>
            <w:tcBorders>
              <w:bottom w:val="single" w:sz="8" w:color="201C20"/>
            </w:tcBorders>
          </w:tcPr>
          <w:p>
            <w:pPr>
              <w:spacing w:after="0"/>
              <w:rPr>
                <w:sz w:val="9"/>
                <w:szCs w:val="9"/>
                <w:color w:val="auto"/>
              </w:rPr>
            </w:pPr>
          </w:p>
        </w:tc>
        <w:tc>
          <w:tcPr>
            <w:tcW w:w="440" w:type="dxa"/>
            <w:vAlign w:val="bottom"/>
            <w:tcBorders>
              <w:bottom w:val="single" w:sz="8" w:color="201C20"/>
              <w:right w:val="single" w:sz="8" w:color="3C3838"/>
            </w:tcBorders>
          </w:tcPr>
          <w:p>
            <w:pPr>
              <w:spacing w:after="0"/>
              <w:rPr>
                <w:sz w:val="9"/>
                <w:szCs w:val="9"/>
                <w:color w:val="auto"/>
              </w:rPr>
            </w:pPr>
          </w:p>
        </w:tc>
        <w:tc>
          <w:tcPr>
            <w:tcW w:w="440" w:type="dxa"/>
            <w:vAlign w:val="bottom"/>
            <w:tcBorders>
              <w:bottom w:val="single" w:sz="8" w:color="201C20"/>
            </w:tcBorders>
          </w:tcPr>
          <w:p>
            <w:pPr>
              <w:spacing w:after="0"/>
              <w:rPr>
                <w:sz w:val="9"/>
                <w:szCs w:val="9"/>
                <w:color w:val="auto"/>
              </w:rPr>
            </w:pPr>
          </w:p>
        </w:tc>
        <w:tc>
          <w:tcPr>
            <w:tcW w:w="480" w:type="dxa"/>
            <w:vAlign w:val="bottom"/>
            <w:tcBorders>
              <w:bottom w:val="single" w:sz="8" w:color="201C20"/>
            </w:tcBorders>
          </w:tcPr>
          <w:p>
            <w:pPr>
              <w:spacing w:after="0"/>
              <w:rPr>
                <w:sz w:val="9"/>
                <w:szCs w:val="9"/>
                <w:color w:val="auto"/>
              </w:rPr>
            </w:pPr>
          </w:p>
        </w:tc>
        <w:tc>
          <w:tcPr>
            <w:tcW w:w="520" w:type="dxa"/>
            <w:vAlign w:val="bottom"/>
            <w:tcBorders>
              <w:bottom w:val="single" w:sz="8" w:color="201C20"/>
              <w:right w:val="single" w:sz="8" w:color="686868"/>
            </w:tcBorders>
          </w:tcPr>
          <w:p>
            <w:pPr>
              <w:spacing w:after="0"/>
              <w:rPr>
                <w:sz w:val="9"/>
                <w:szCs w:val="9"/>
                <w:color w:val="auto"/>
              </w:rPr>
            </w:pPr>
          </w:p>
        </w:tc>
        <w:tc>
          <w:tcPr>
            <w:tcW w:w="540" w:type="dxa"/>
            <w:vAlign w:val="bottom"/>
            <w:tcBorders>
              <w:bottom w:val="single" w:sz="8" w:color="201C20"/>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rPr>
                <w:sz w:val="16"/>
                <w:szCs w:val="16"/>
                <w:color w:val="auto"/>
              </w:rPr>
            </w:pPr>
          </w:p>
        </w:tc>
        <w:tc>
          <w:tcPr>
            <w:tcW w:w="480" w:type="dxa"/>
            <w:vAlign w:val="bottom"/>
          </w:tcPr>
          <w:p>
            <w:pPr>
              <w:jc w:val="right"/>
              <w:ind w:right="59"/>
              <w:spacing w:after="0"/>
              <w:rPr>
                <w:sz w:val="20"/>
                <w:szCs w:val="20"/>
                <w:color w:val="auto"/>
              </w:rPr>
            </w:pPr>
            <w:r>
              <w:rPr>
                <w:rFonts w:ascii="Arial" w:cs="Arial" w:eastAsia="Arial" w:hAnsi="Arial"/>
                <w:sz w:val="11"/>
                <w:szCs w:val="11"/>
                <w:color w:val="auto"/>
              </w:rPr>
              <w:t>HIGH</w:t>
            </w:r>
          </w:p>
        </w:tc>
        <w:tc>
          <w:tcPr>
            <w:tcW w:w="440" w:type="dxa"/>
            <w:vAlign w:val="bottom"/>
            <w:tcBorders>
              <w:right w:val="single" w:sz="8" w:color="3C3838"/>
            </w:tcBorders>
          </w:tcPr>
          <w:p>
            <w:pPr>
              <w:jc w:val="right"/>
              <w:ind w:right="21"/>
              <w:spacing w:after="0"/>
              <w:rPr>
                <w:sz w:val="20"/>
                <w:szCs w:val="20"/>
                <w:color w:val="auto"/>
              </w:rPr>
            </w:pPr>
            <w:r>
              <w:rPr>
                <w:rFonts w:ascii="Arial" w:cs="Arial" w:eastAsia="Arial" w:hAnsi="Arial"/>
                <w:sz w:val="11"/>
                <w:szCs w:val="11"/>
                <w:color w:val="auto"/>
              </w:rPr>
              <w:t>LOW</w:t>
            </w:r>
          </w:p>
        </w:tc>
        <w:tc>
          <w:tcPr>
            <w:tcW w:w="440" w:type="dxa"/>
            <w:vAlign w:val="bottom"/>
          </w:tcPr>
          <w:p>
            <w:pPr>
              <w:jc w:val="right"/>
              <w:ind w:right="19"/>
              <w:spacing w:after="0"/>
              <w:rPr>
                <w:sz w:val="20"/>
                <w:szCs w:val="20"/>
                <w:color w:val="auto"/>
              </w:rPr>
            </w:pPr>
            <w:r>
              <w:rPr>
                <w:rFonts w:ascii="Arial" w:cs="Arial" w:eastAsia="Arial" w:hAnsi="Arial"/>
                <w:sz w:val="11"/>
                <w:szCs w:val="11"/>
                <w:color w:val="auto"/>
              </w:rPr>
              <w:t>HIGH</w:t>
            </w:r>
          </w:p>
        </w:tc>
        <w:tc>
          <w:tcPr>
            <w:tcW w:w="480" w:type="dxa"/>
            <w:vAlign w:val="bottom"/>
          </w:tcPr>
          <w:p>
            <w:pPr>
              <w:jc w:val="right"/>
              <w:ind w:right="21"/>
              <w:spacing w:after="0"/>
              <w:rPr>
                <w:sz w:val="20"/>
                <w:szCs w:val="20"/>
                <w:color w:val="auto"/>
              </w:rPr>
            </w:pPr>
            <w:r>
              <w:rPr>
                <w:rFonts w:ascii="Arial" w:cs="Arial" w:eastAsia="Arial" w:hAnsi="Arial"/>
                <w:sz w:val="11"/>
                <w:szCs w:val="11"/>
                <w:color w:val="auto"/>
              </w:rPr>
              <w:t>LOW</w:t>
            </w:r>
          </w:p>
        </w:tc>
        <w:tc>
          <w:tcPr>
            <w:tcW w:w="520" w:type="dxa"/>
            <w:vAlign w:val="bottom"/>
            <w:tcBorders>
              <w:right w:val="single" w:sz="8" w:color="686868"/>
            </w:tcBorders>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620" w:type="dxa"/>
            <w:vAlign w:val="bottom"/>
          </w:tcPr>
          <w:p>
            <w:pPr>
              <w:ind w:left="40"/>
              <w:spacing w:after="0"/>
              <w:rPr>
                <w:sz w:val="20"/>
                <w:szCs w:val="20"/>
                <w:color w:val="auto"/>
              </w:rPr>
            </w:pPr>
            <w:r>
              <w:rPr>
                <w:rFonts w:ascii="Arial" w:cs="Arial" w:eastAsia="Arial" w:hAnsi="Arial"/>
                <w:sz w:val="13"/>
                <w:szCs w:val="13"/>
                <w:color w:val="auto"/>
              </w:rPr>
              <w:t>First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$17.79</w:t>
            </w:r>
          </w:p>
        </w:tc>
        <w:tc>
          <w:tcPr>
            <w:tcW w:w="440" w:type="dxa"/>
            <w:vAlign w:val="bottom"/>
            <w:tcBorders>
              <w:right w:val="single" w:sz="8" w:color="3C3838"/>
            </w:tcBorders>
          </w:tcPr>
          <w:p>
            <w:pPr>
              <w:jc w:val="right"/>
              <w:ind w:right="1"/>
              <w:spacing w:after="0"/>
              <w:rPr>
                <w:sz w:val="20"/>
                <w:szCs w:val="20"/>
                <w:color w:val="auto"/>
              </w:rPr>
            </w:pPr>
            <w:r>
              <w:rPr>
                <w:rFonts w:ascii="Times New Roman" w:cs="Times New Roman" w:eastAsia="Times New Roman" w:hAnsi="Times New Roman"/>
                <w:sz w:val="12"/>
                <w:szCs w:val="12"/>
                <w:color w:val="auto"/>
              </w:rPr>
              <w:t>$14.86</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$19.82</w:t>
            </w: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w w:val="99"/>
              </w:rPr>
              <w:t>$ 16.74</w:t>
            </w:r>
          </w:p>
        </w:tc>
        <w:tc>
          <w:tcPr>
            <w:tcW w:w="520" w:type="dxa"/>
            <w:vAlign w:val="bottom"/>
            <w:tcBorders>
              <w:right w:val="single" w:sz="8" w:color="686868"/>
            </w:tcBorders>
          </w:tcPr>
          <w:p>
            <w:pPr>
              <w:jc w:val="right"/>
              <w:ind w:right="18"/>
              <w:spacing w:after="0"/>
              <w:rPr>
                <w:sz w:val="20"/>
                <w:szCs w:val="20"/>
                <w:color w:val="auto"/>
              </w:rPr>
            </w:pPr>
            <w:r>
              <w:rPr>
                <w:rFonts w:ascii="Times New Roman" w:cs="Times New Roman" w:eastAsia="Times New Roman" w:hAnsi="Times New Roman"/>
                <w:sz w:val="12"/>
                <w:szCs w:val="12"/>
                <w:color w:val="auto"/>
              </w:rPr>
              <w:t>$0.18</w:t>
            </w:r>
          </w:p>
        </w:tc>
        <w:tc>
          <w:tcPr>
            <w:tcW w:w="54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$0.16</w:t>
            </w:r>
          </w:p>
        </w:tc>
        <w:tc>
          <w:tcPr>
            <w:tcW w:w="0" w:type="dxa"/>
            <w:vAlign w:val="bottom"/>
          </w:tcPr>
          <w:p>
            <w:pPr>
              <w:spacing w:after="0"/>
              <w:rPr>
                <w:sz w:val="1"/>
                <w:szCs w:val="1"/>
                <w:color w:val="auto"/>
              </w:rPr>
            </w:pPr>
          </w:p>
        </w:tc>
      </w:tr>
      <w:tr>
        <w:trPr>
          <w:trHeight w:val="300"/>
        </w:trPr>
        <w:tc>
          <w:tcPr>
            <w:tcW w:w="620" w:type="dxa"/>
            <w:vAlign w:val="bottom"/>
          </w:tcPr>
          <w:p>
            <w:pPr>
              <w:ind w:left="40"/>
              <w:spacing w:after="0"/>
              <w:rPr>
                <w:sz w:val="20"/>
                <w:szCs w:val="20"/>
                <w:color w:val="auto"/>
              </w:rPr>
            </w:pPr>
            <w:r>
              <w:rPr>
                <w:rFonts w:ascii="Arial" w:cs="Arial" w:eastAsia="Arial" w:hAnsi="Arial"/>
                <w:sz w:val="13"/>
                <w:szCs w:val="13"/>
                <w:color w:val="auto"/>
              </w:rPr>
              <w:t>Second</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15.50</w:t>
            </w:r>
          </w:p>
        </w:tc>
        <w:tc>
          <w:tcPr>
            <w:tcW w:w="440" w:type="dxa"/>
            <w:vAlign w:val="bottom"/>
            <w:tcBorders>
              <w:right w:val="single" w:sz="8" w:color="3C3838"/>
            </w:tcBorders>
          </w:tcPr>
          <w:p>
            <w:pPr>
              <w:jc w:val="right"/>
              <w:ind w:right="1"/>
              <w:spacing w:after="0"/>
              <w:rPr>
                <w:sz w:val="20"/>
                <w:szCs w:val="20"/>
                <w:color w:val="auto"/>
              </w:rPr>
            </w:pPr>
            <w:r>
              <w:rPr>
                <w:rFonts w:ascii="Times New Roman" w:cs="Times New Roman" w:eastAsia="Times New Roman" w:hAnsi="Times New Roman"/>
                <w:sz w:val="12"/>
                <w:szCs w:val="12"/>
                <w:color w:val="auto"/>
              </w:rPr>
              <w:t>13.02</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19.11</w:t>
            </w: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13.70</w:t>
            </w:r>
          </w:p>
        </w:tc>
        <w:tc>
          <w:tcPr>
            <w:tcW w:w="520" w:type="dxa"/>
            <w:vAlign w:val="bottom"/>
            <w:tcBorders>
              <w:right w:val="single" w:sz="8" w:color="686868"/>
            </w:tcBorders>
          </w:tcPr>
          <w:p>
            <w:pPr>
              <w:jc w:val="right"/>
              <w:ind w:right="38"/>
              <w:spacing w:after="0"/>
              <w:rPr>
                <w:sz w:val="20"/>
                <w:szCs w:val="20"/>
                <w:color w:val="auto"/>
              </w:rPr>
            </w:pPr>
            <w:r>
              <w:rPr>
                <w:rFonts w:ascii="Times New Roman" w:cs="Times New Roman" w:eastAsia="Times New Roman" w:hAnsi="Times New Roman"/>
                <w:sz w:val="12"/>
                <w:szCs w:val="12"/>
                <w:color w:val="auto"/>
              </w:rPr>
              <w:t>0.18</w:t>
            </w:r>
          </w:p>
        </w:tc>
        <w:tc>
          <w:tcPr>
            <w:tcW w:w="54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0.16</w:t>
            </w:r>
          </w:p>
        </w:tc>
        <w:tc>
          <w:tcPr>
            <w:tcW w:w="0" w:type="dxa"/>
            <w:vAlign w:val="bottom"/>
          </w:tcPr>
          <w:p>
            <w:pPr>
              <w:spacing w:after="0"/>
              <w:rPr>
                <w:sz w:val="1"/>
                <w:szCs w:val="1"/>
                <w:color w:val="auto"/>
              </w:rPr>
            </w:pPr>
          </w:p>
        </w:tc>
      </w:tr>
      <w:tr>
        <w:trPr>
          <w:trHeight w:val="298"/>
        </w:trPr>
        <w:tc>
          <w:tcPr>
            <w:tcW w:w="620" w:type="dxa"/>
            <w:vAlign w:val="bottom"/>
          </w:tcPr>
          <w:p>
            <w:pPr>
              <w:ind w:left="20"/>
              <w:spacing w:after="0"/>
              <w:rPr>
                <w:sz w:val="20"/>
                <w:szCs w:val="20"/>
                <w:color w:val="auto"/>
              </w:rPr>
            </w:pPr>
            <w:r>
              <w:rPr>
                <w:rFonts w:ascii="Arial" w:cs="Arial" w:eastAsia="Arial" w:hAnsi="Arial"/>
                <w:sz w:val="13"/>
                <w:szCs w:val="13"/>
                <w:color w:val="auto"/>
              </w:rPr>
              <w:t>Third</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14.90</w:t>
            </w:r>
          </w:p>
        </w:tc>
        <w:tc>
          <w:tcPr>
            <w:tcW w:w="440" w:type="dxa"/>
            <w:vAlign w:val="bottom"/>
            <w:tcBorders>
              <w:right w:val="single" w:sz="8" w:color="3C3838"/>
            </w:tcBorders>
          </w:tcPr>
          <w:p>
            <w:pPr>
              <w:jc w:val="right"/>
              <w:ind w:right="1"/>
              <w:spacing w:after="0"/>
              <w:rPr>
                <w:sz w:val="20"/>
                <w:szCs w:val="20"/>
                <w:color w:val="auto"/>
              </w:rPr>
            </w:pPr>
            <w:r>
              <w:rPr>
                <w:rFonts w:ascii="Times New Roman" w:cs="Times New Roman" w:eastAsia="Times New Roman" w:hAnsi="Times New Roman"/>
                <w:sz w:val="12"/>
                <w:szCs w:val="12"/>
                <w:color w:val="auto"/>
              </w:rPr>
              <w:t>12.36</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17.64</w:t>
            </w: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13.30</w:t>
            </w:r>
          </w:p>
        </w:tc>
        <w:tc>
          <w:tcPr>
            <w:tcW w:w="520" w:type="dxa"/>
            <w:vAlign w:val="bottom"/>
            <w:tcBorders>
              <w:right w:val="single" w:sz="8" w:color="686868"/>
            </w:tcBorders>
          </w:tcPr>
          <w:p>
            <w:pPr>
              <w:jc w:val="right"/>
              <w:ind w:right="38"/>
              <w:spacing w:after="0"/>
              <w:rPr>
                <w:sz w:val="20"/>
                <w:szCs w:val="20"/>
                <w:color w:val="auto"/>
              </w:rPr>
            </w:pPr>
            <w:r>
              <w:rPr>
                <w:rFonts w:ascii="Times New Roman" w:cs="Times New Roman" w:eastAsia="Times New Roman" w:hAnsi="Times New Roman"/>
                <w:sz w:val="12"/>
                <w:szCs w:val="12"/>
                <w:color w:val="auto"/>
              </w:rPr>
              <w:t>0.20</w:t>
            </w:r>
          </w:p>
        </w:tc>
        <w:tc>
          <w:tcPr>
            <w:tcW w:w="54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0 .18</w:t>
            </w:r>
          </w:p>
        </w:tc>
        <w:tc>
          <w:tcPr>
            <w:tcW w:w="0" w:type="dxa"/>
            <w:vAlign w:val="bottom"/>
          </w:tcPr>
          <w:p>
            <w:pPr>
              <w:spacing w:after="0"/>
              <w:rPr>
                <w:sz w:val="1"/>
                <w:szCs w:val="1"/>
                <w:color w:val="auto"/>
              </w:rPr>
            </w:pPr>
          </w:p>
        </w:tc>
      </w:tr>
      <w:tr>
        <w:trPr>
          <w:trHeight w:val="44"/>
        </w:trPr>
        <w:tc>
          <w:tcPr>
            <w:tcW w:w="620" w:type="dxa"/>
            <w:vAlign w:val="bottom"/>
            <w:vMerge w:val="restart"/>
          </w:tcPr>
          <w:p>
            <w:pPr>
              <w:ind w:left="40"/>
              <w:spacing w:after="0"/>
              <w:rPr>
                <w:sz w:val="20"/>
                <w:szCs w:val="20"/>
                <w:color w:val="auto"/>
              </w:rPr>
            </w:pPr>
            <w:r>
              <w:rPr>
                <w:rFonts w:ascii="Arial" w:cs="Arial" w:eastAsia="Arial" w:hAnsi="Arial"/>
                <w:sz w:val="13"/>
                <w:szCs w:val="13"/>
                <w:color w:val="auto"/>
              </w:rPr>
              <w:t>Fourth</w:t>
            </w:r>
          </w:p>
        </w:tc>
        <w:tc>
          <w:tcPr>
            <w:tcW w:w="480" w:type="dxa"/>
            <w:vAlign w:val="bottom"/>
          </w:tcPr>
          <w:p>
            <w:pPr>
              <w:spacing w:after="0"/>
              <w:rPr>
                <w:sz w:val="3"/>
                <w:szCs w:val="3"/>
                <w:color w:val="auto"/>
              </w:rPr>
            </w:pPr>
          </w:p>
        </w:tc>
        <w:tc>
          <w:tcPr>
            <w:tcW w:w="440" w:type="dxa"/>
            <w:vAlign w:val="bottom"/>
            <w:tcBorders>
              <w:right w:val="single" w:sz="8" w:color="3C3838"/>
            </w:tcBorders>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13.25</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16.63</w:t>
            </w:r>
          </w:p>
        </w:tc>
        <w:tc>
          <w:tcPr>
            <w:tcW w:w="480" w:type="dxa"/>
            <w:vAlign w:val="bottom"/>
            <w:vMerge w:val="restart"/>
          </w:tcPr>
          <w:p>
            <w:pPr>
              <w:jc w:val="right"/>
              <w:ind w:right="41"/>
              <w:spacing w:after="0"/>
              <w:rPr>
                <w:sz w:val="20"/>
                <w:szCs w:val="20"/>
                <w:color w:val="auto"/>
              </w:rPr>
            </w:pPr>
            <w:r>
              <w:rPr>
                <w:rFonts w:ascii="Times New Roman" w:cs="Times New Roman" w:eastAsia="Times New Roman" w:hAnsi="Times New Roman"/>
                <w:sz w:val="12"/>
                <w:szCs w:val="12"/>
                <w:color w:val="auto"/>
              </w:rPr>
              <w:t>13.79</w:t>
            </w:r>
          </w:p>
        </w:tc>
        <w:tc>
          <w:tcPr>
            <w:tcW w:w="520" w:type="dxa"/>
            <w:vAlign w:val="bottom"/>
            <w:tcBorders>
              <w:right w:val="single" w:sz="8" w:color="686868"/>
            </w:tcBorders>
            <w:vMerge w:val="restart"/>
          </w:tcPr>
          <w:p>
            <w:pPr>
              <w:jc w:val="right"/>
              <w:ind w:right="38"/>
              <w:spacing w:after="0"/>
              <w:rPr>
                <w:sz w:val="20"/>
                <w:szCs w:val="20"/>
                <w:color w:val="auto"/>
              </w:rPr>
            </w:pPr>
            <w:r>
              <w:rPr>
                <w:rFonts w:ascii="Times New Roman" w:cs="Times New Roman" w:eastAsia="Times New Roman" w:hAnsi="Times New Roman"/>
                <w:sz w:val="12"/>
                <w:szCs w:val="12"/>
                <w:color w:val="auto"/>
              </w:rPr>
              <w:t>0.20</w:t>
            </w:r>
          </w:p>
        </w:tc>
        <w:tc>
          <w:tcPr>
            <w:tcW w:w="540" w:type="dxa"/>
            <w:vAlign w:val="bottom"/>
            <w:vMerge w:val="restart"/>
          </w:tcPr>
          <w:p>
            <w:pPr>
              <w:jc w:val="right"/>
              <w:ind w:right="38"/>
              <w:spacing w:after="0"/>
              <w:rPr>
                <w:sz w:val="20"/>
                <w:szCs w:val="20"/>
                <w:color w:val="auto"/>
              </w:rPr>
            </w:pPr>
            <w:r>
              <w:rPr>
                <w:rFonts w:ascii="Times New Roman" w:cs="Times New Roman" w:eastAsia="Times New Roman" w:hAnsi="Times New Roman"/>
                <w:sz w:val="12"/>
                <w:szCs w:val="12"/>
                <w:color w:val="auto"/>
              </w:rPr>
              <w:t>0.18</w:t>
            </w:r>
          </w:p>
        </w:tc>
        <w:tc>
          <w:tcPr>
            <w:tcW w:w="0" w:type="dxa"/>
            <w:vAlign w:val="bottom"/>
          </w:tcPr>
          <w:p>
            <w:pPr>
              <w:spacing w:after="0"/>
              <w:rPr>
                <w:sz w:val="1"/>
                <w:szCs w:val="1"/>
                <w:color w:val="auto"/>
              </w:rPr>
            </w:pPr>
          </w:p>
        </w:tc>
      </w:tr>
      <w:tr>
        <w:trPr>
          <w:trHeight w:val="258"/>
        </w:trPr>
        <w:tc>
          <w:tcPr>
            <w:tcW w:w="620" w:type="dxa"/>
            <w:vAlign w:val="bottom"/>
            <w:vMerge w:val="continue"/>
          </w:tcPr>
          <w:p>
            <w:pPr>
              <w:spacing w:after="0"/>
              <w:rPr>
                <w:sz w:val="22"/>
                <w:szCs w:val="22"/>
                <w:color w:val="auto"/>
              </w:rPr>
            </w:pPr>
          </w:p>
        </w:tc>
        <w:tc>
          <w:tcPr>
            <w:tcW w:w="480" w:type="dxa"/>
            <w:vAlign w:val="bottom"/>
            <w:tcBorders>
              <w:left w:val="single" w:sz="8" w:color="242020"/>
            </w:tcBorders>
          </w:tcPr>
          <w:p>
            <w:pPr>
              <w:jc w:val="right"/>
              <w:spacing w:after="0"/>
              <w:rPr>
                <w:sz w:val="20"/>
                <w:szCs w:val="20"/>
                <w:color w:val="auto"/>
              </w:rPr>
            </w:pPr>
            <w:r>
              <w:rPr>
                <w:rFonts w:ascii="Times New Roman" w:cs="Times New Roman" w:eastAsia="Times New Roman" w:hAnsi="Times New Roman"/>
                <w:sz w:val="12"/>
                <w:szCs w:val="12"/>
                <w:color w:val="auto"/>
              </w:rPr>
              <w:t>15.27</w:t>
            </w:r>
          </w:p>
        </w:tc>
        <w:tc>
          <w:tcPr>
            <w:tcW w:w="440" w:type="dxa"/>
            <w:vAlign w:val="bottom"/>
            <w:tcBorders>
              <w:right w:val="single" w:sz="8" w:color="3C3838"/>
            </w:tcBorders>
            <w:vMerge w:val="continue"/>
          </w:tcPr>
          <w:p>
            <w:pPr>
              <w:spacing w:after="0"/>
              <w:rPr>
                <w:sz w:val="22"/>
                <w:szCs w:val="22"/>
                <w:color w:val="auto"/>
              </w:rPr>
            </w:pPr>
          </w:p>
        </w:tc>
        <w:tc>
          <w:tcPr>
            <w:tcW w:w="440" w:type="dxa"/>
            <w:vAlign w:val="bottom"/>
            <w:vMerge w:val="continue"/>
          </w:tcPr>
          <w:p>
            <w:pPr>
              <w:spacing w:after="0"/>
              <w:rPr>
                <w:sz w:val="22"/>
                <w:szCs w:val="22"/>
                <w:color w:val="auto"/>
              </w:rPr>
            </w:pPr>
          </w:p>
        </w:tc>
        <w:tc>
          <w:tcPr>
            <w:tcW w:w="480" w:type="dxa"/>
            <w:vAlign w:val="bottom"/>
            <w:vMerge w:val="continue"/>
          </w:tcPr>
          <w:p>
            <w:pPr>
              <w:spacing w:after="0"/>
              <w:rPr>
                <w:sz w:val="22"/>
                <w:szCs w:val="22"/>
                <w:color w:val="auto"/>
              </w:rPr>
            </w:pPr>
          </w:p>
        </w:tc>
        <w:tc>
          <w:tcPr>
            <w:tcW w:w="520" w:type="dxa"/>
            <w:vAlign w:val="bottom"/>
            <w:tcBorders>
              <w:right w:val="single" w:sz="8" w:color="686868"/>
            </w:tcBorders>
            <w:vMerge w:val="continue"/>
          </w:tcPr>
          <w:p>
            <w:pPr>
              <w:spacing w:after="0"/>
              <w:rPr>
                <w:sz w:val="22"/>
                <w:szCs w:val="22"/>
                <w:color w:val="auto"/>
              </w:rPr>
            </w:pPr>
          </w:p>
        </w:tc>
        <w:tc>
          <w:tcPr>
            <w:tcW w:w="5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620" w:type="dxa"/>
            <w:vAlign w:val="bottom"/>
          </w:tcPr>
          <w:p>
            <w:pPr>
              <w:spacing w:after="0"/>
              <w:rPr>
                <w:sz w:val="8"/>
                <w:szCs w:val="8"/>
                <w:color w:val="auto"/>
              </w:rPr>
            </w:pPr>
          </w:p>
        </w:tc>
        <w:tc>
          <w:tcPr>
            <w:tcW w:w="480" w:type="dxa"/>
            <w:vAlign w:val="bottom"/>
            <w:tcBorders>
              <w:left w:val="single" w:sz="8" w:color="242020"/>
            </w:tcBorders>
          </w:tcPr>
          <w:p>
            <w:pPr>
              <w:spacing w:after="0"/>
              <w:rPr>
                <w:sz w:val="8"/>
                <w:szCs w:val="8"/>
                <w:color w:val="auto"/>
              </w:rPr>
            </w:pPr>
          </w:p>
        </w:tc>
        <w:tc>
          <w:tcPr>
            <w:tcW w:w="440" w:type="dxa"/>
            <w:vAlign w:val="bottom"/>
            <w:tcBorders>
              <w:right w:val="single" w:sz="8" w:color="3C3838"/>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Borders>
              <w:right w:val="single" w:sz="8" w:color="686868"/>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J. MICHAEL DANIEL</w:t>
      </w:r>
    </w:p>
    <w:p>
      <w:pPr>
        <w:spacing w:after="0" w:line="56" w:lineRule="exact"/>
        <w:rPr>
          <w:sz w:val="20"/>
          <w:szCs w:val="20"/>
          <w:color w:val="auto"/>
        </w:rPr>
      </w:pPr>
    </w:p>
    <w:p>
      <w:pPr>
        <w:spacing w:after="0"/>
        <w:rPr>
          <w:sz w:val="20"/>
          <w:szCs w:val="20"/>
          <w:color w:val="auto"/>
        </w:rPr>
      </w:pPr>
      <w:r>
        <w:rPr>
          <w:rFonts w:ascii="Arial" w:cs="Arial" w:eastAsia="Arial" w:hAnsi="Arial"/>
          <w:sz w:val="9"/>
          <w:szCs w:val="9"/>
          <w:color w:val="auto"/>
        </w:rPr>
        <w:t>Senior Vice President. Chief Financial</w:t>
      </w:r>
    </w:p>
    <w:p>
      <w:pPr>
        <w:spacing w:after="0" w:line="45" w:lineRule="exact"/>
        <w:rPr>
          <w:sz w:val="20"/>
          <w:szCs w:val="20"/>
          <w:color w:val="auto"/>
        </w:rPr>
      </w:pPr>
    </w:p>
    <w:p>
      <w:pPr>
        <w:spacing w:after="0"/>
        <w:rPr>
          <w:sz w:val="20"/>
          <w:szCs w:val="20"/>
          <w:color w:val="auto"/>
        </w:rPr>
      </w:pPr>
      <w:r>
        <w:rPr>
          <w:rFonts w:ascii="Arial" w:cs="Arial" w:eastAsia="Arial" w:hAnsi="Arial"/>
          <w:sz w:val="9"/>
          <w:szCs w:val="9"/>
          <w:color w:val="auto"/>
        </w:rPr>
        <w:t>&amp; Administrative Officer</w:t>
      </w:r>
    </w:p>
    <w:p>
      <w:pPr>
        <w:spacing w:after="0" w:line="201" w:lineRule="exact"/>
        <w:rPr>
          <w:sz w:val="20"/>
          <w:szCs w:val="20"/>
          <w:color w:val="auto"/>
        </w:rPr>
      </w:pPr>
    </w:p>
    <w:p>
      <w:pPr>
        <w:spacing w:after="0"/>
        <w:rPr>
          <w:sz w:val="20"/>
          <w:szCs w:val="20"/>
          <w:color w:val="auto"/>
        </w:rPr>
      </w:pPr>
      <w:r>
        <w:rPr>
          <w:rFonts w:ascii="Arial" w:cs="Arial" w:eastAsia="Arial" w:hAnsi="Arial"/>
          <w:sz w:val="10"/>
          <w:szCs w:val="10"/>
          <w:color w:val="auto"/>
        </w:rPr>
        <w:t>NICHOLAS C. GEE</w:t>
      </w:r>
    </w:p>
    <w:p>
      <w:pPr>
        <w:spacing w:after="0" w:line="51" w:lineRule="exact"/>
        <w:rPr>
          <w:sz w:val="20"/>
          <w:szCs w:val="20"/>
          <w:color w:val="auto"/>
        </w:rPr>
      </w:pPr>
    </w:p>
    <w:p>
      <w:pPr>
        <w:spacing w:after="0"/>
        <w:rPr>
          <w:sz w:val="20"/>
          <w:szCs w:val="20"/>
          <w:color w:val="auto"/>
        </w:rPr>
      </w:pPr>
      <w:r>
        <w:rPr>
          <w:rFonts w:ascii="Arial" w:cs="Arial" w:eastAsia="Arial" w:hAnsi="Arial"/>
          <w:sz w:val="9"/>
          <w:szCs w:val="9"/>
          <w:color w:val="auto"/>
        </w:rPr>
        <w:t>Senior Vice President, Corporate Retail</w:t>
      </w:r>
    </w:p>
    <w:p>
      <w:pPr>
        <w:spacing w:after="0" w:line="191" w:lineRule="exact"/>
        <w:rPr>
          <w:sz w:val="20"/>
          <w:szCs w:val="20"/>
          <w:color w:val="auto"/>
        </w:rPr>
      </w:pPr>
    </w:p>
    <w:p>
      <w:pPr>
        <w:spacing w:after="0"/>
        <w:rPr>
          <w:sz w:val="20"/>
          <w:szCs w:val="20"/>
          <w:color w:val="auto"/>
        </w:rPr>
      </w:pPr>
      <w:r>
        <w:rPr>
          <w:rFonts w:ascii="Arial" w:cs="Arial" w:eastAsia="Arial" w:hAnsi="Arial"/>
          <w:sz w:val="10"/>
          <w:szCs w:val="10"/>
          <w:color w:val="auto"/>
        </w:rPr>
        <w:t>J. TYLER BASSETT</w:t>
      </w:r>
    </w:p>
    <w:p>
      <w:pPr>
        <w:spacing w:after="0" w:line="56" w:lineRule="exact"/>
        <w:rPr>
          <w:sz w:val="20"/>
          <w:szCs w:val="20"/>
          <w:color w:val="auto"/>
        </w:rPr>
      </w:pPr>
    </w:p>
    <w:p>
      <w:pPr>
        <w:spacing w:after="0"/>
        <w:rPr>
          <w:sz w:val="20"/>
          <w:szCs w:val="20"/>
          <w:color w:val="auto"/>
        </w:rPr>
      </w:pPr>
      <w:r>
        <w:rPr>
          <w:rFonts w:ascii="Arial" w:cs="Arial" w:eastAsia="Arial" w:hAnsi="Arial"/>
          <w:sz w:val="9"/>
          <w:szCs w:val="9"/>
          <w:color w:val="auto"/>
        </w:rPr>
        <w:t>Vice President, Customer Experience Technology</w:t>
      </w:r>
    </w:p>
    <w:p>
      <w:pPr>
        <w:spacing w:after="0" w:line="191" w:lineRule="exact"/>
        <w:rPr>
          <w:sz w:val="20"/>
          <w:szCs w:val="20"/>
          <w:color w:val="auto"/>
        </w:rPr>
      </w:pPr>
    </w:p>
    <w:p>
      <w:pPr>
        <w:spacing w:after="0"/>
        <w:rPr>
          <w:sz w:val="20"/>
          <w:szCs w:val="20"/>
          <w:color w:val="auto"/>
        </w:rPr>
      </w:pPr>
      <w:r>
        <w:rPr>
          <w:rFonts w:ascii="Arial" w:cs="Arial" w:eastAsia="Arial" w:hAnsi="Arial"/>
          <w:sz w:val="10"/>
          <w:szCs w:val="10"/>
          <w:color w:val="auto"/>
        </w:rPr>
        <w:t>D. SCHON DUKE</w:t>
      </w:r>
    </w:p>
    <w:p>
      <w:pPr>
        <w:spacing w:after="0" w:line="56" w:lineRule="exact"/>
        <w:rPr>
          <w:sz w:val="20"/>
          <w:szCs w:val="20"/>
          <w:color w:val="auto"/>
        </w:rPr>
      </w:pPr>
    </w:p>
    <w:p>
      <w:pPr>
        <w:spacing w:after="0"/>
        <w:rPr>
          <w:sz w:val="20"/>
          <w:szCs w:val="20"/>
          <w:color w:val="auto"/>
        </w:rPr>
      </w:pPr>
      <w:r>
        <w:rPr>
          <w:rFonts w:ascii="Arial" w:cs="Arial" w:eastAsia="Arial" w:hAnsi="Arial"/>
          <w:sz w:val="9"/>
          <w:szCs w:val="9"/>
          <w:color w:val="auto"/>
        </w:rPr>
        <w:t>Vice President, Lane Venture &amp; Contract Sales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PETER D. MORRISON</w:t>
      </w:r>
    </w:p>
    <w:p>
      <w:pPr>
        <w:spacing w:after="0" w:line="51" w:lineRule="exact"/>
        <w:rPr>
          <w:sz w:val="20"/>
          <w:szCs w:val="20"/>
          <w:color w:val="auto"/>
        </w:rPr>
      </w:pPr>
    </w:p>
    <w:p>
      <w:pPr>
        <w:spacing w:after="0"/>
        <w:rPr>
          <w:sz w:val="20"/>
          <w:szCs w:val="20"/>
          <w:color w:val="auto"/>
        </w:rPr>
      </w:pPr>
      <w:r>
        <w:rPr>
          <w:rFonts w:ascii="Arial" w:cs="Arial" w:eastAsia="Arial" w:hAnsi="Arial"/>
          <w:sz w:val="9"/>
          <w:szCs w:val="9"/>
          <w:color w:val="auto"/>
        </w:rPr>
        <w:t>Vice President. Chief Creative Officer</w:t>
      </w:r>
    </w:p>
    <w:p>
      <w:pPr>
        <w:spacing w:after="0" w:line="196" w:lineRule="exact"/>
        <w:rPr>
          <w:sz w:val="20"/>
          <w:szCs w:val="20"/>
          <w:color w:val="auto"/>
        </w:rPr>
      </w:pPr>
    </w:p>
    <w:p>
      <w:pPr>
        <w:spacing w:after="0"/>
        <w:rPr>
          <w:sz w:val="20"/>
          <w:szCs w:val="20"/>
          <w:color w:val="auto"/>
        </w:rPr>
      </w:pPr>
      <w:r>
        <w:rPr>
          <w:rFonts w:ascii="Arial" w:cs="Arial" w:eastAsia="Arial" w:hAnsi="Arial"/>
          <w:sz w:val="10"/>
          <w:szCs w:val="10"/>
          <w:color w:val="auto"/>
        </w:rPr>
        <w:t>ROBERT H. SPILMAN Ill</w:t>
      </w:r>
    </w:p>
    <w:p>
      <w:pPr>
        <w:spacing w:after="0" w:line="51" w:lineRule="exact"/>
        <w:rPr>
          <w:sz w:val="20"/>
          <w:szCs w:val="20"/>
          <w:color w:val="auto"/>
        </w:rPr>
      </w:pPr>
    </w:p>
    <w:p>
      <w:pPr>
        <w:spacing w:after="0"/>
        <w:rPr>
          <w:sz w:val="20"/>
          <w:szCs w:val="20"/>
          <w:color w:val="auto"/>
        </w:rPr>
      </w:pPr>
      <w:r>
        <w:rPr>
          <w:rFonts w:ascii="Arial" w:cs="Arial" w:eastAsia="Arial" w:hAnsi="Arial"/>
          <w:sz w:val="9"/>
          <w:szCs w:val="9"/>
          <w:color w:val="auto"/>
        </w:rPr>
        <w:t>Vice President, Dedicated Distribution</w:t>
      </w:r>
    </w:p>
    <w:p>
      <w:pPr>
        <w:spacing w:after="0" w:line="196" w:lineRule="exact"/>
        <w:rPr>
          <w:sz w:val="20"/>
          <w:szCs w:val="20"/>
          <w:color w:val="auto"/>
        </w:rPr>
      </w:pPr>
    </w:p>
    <w:p>
      <w:pPr>
        <w:spacing w:after="0"/>
        <w:rPr>
          <w:sz w:val="20"/>
          <w:szCs w:val="20"/>
          <w:color w:val="auto"/>
        </w:rPr>
      </w:pPr>
      <w:r>
        <w:rPr>
          <w:rFonts w:ascii="Arial" w:cs="Arial" w:eastAsia="Arial" w:hAnsi="Arial"/>
          <w:sz w:val="10"/>
          <w:szCs w:val="10"/>
          <w:color w:val="auto"/>
        </w:rPr>
        <w:t>J. CARTER UNDERWOOD</w:t>
      </w:r>
    </w:p>
    <w:p>
      <w:pPr>
        <w:spacing w:after="0" w:line="51" w:lineRule="exact"/>
        <w:rPr>
          <w:sz w:val="20"/>
          <w:szCs w:val="20"/>
          <w:color w:val="auto"/>
        </w:rPr>
      </w:pPr>
    </w:p>
    <w:p>
      <w:pPr>
        <w:spacing w:after="0"/>
        <w:rPr>
          <w:sz w:val="20"/>
          <w:szCs w:val="20"/>
          <w:color w:val="auto"/>
        </w:rPr>
      </w:pPr>
      <w:r>
        <w:rPr>
          <w:rFonts w:ascii="Arial" w:cs="Arial" w:eastAsia="Arial" w:hAnsi="Arial"/>
          <w:sz w:val="9"/>
          <w:szCs w:val="9"/>
          <w:color w:val="auto"/>
        </w:rPr>
        <w:t>Vice President, Wood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0"/>
          <w:szCs w:val="10"/>
          <w:color w:val="auto"/>
        </w:rPr>
        <w:t>EDWARD H. WHITE</w:t>
      </w:r>
    </w:p>
    <w:p>
      <w:pPr>
        <w:spacing w:after="0" w:line="51" w:lineRule="exact"/>
        <w:rPr>
          <w:sz w:val="20"/>
          <w:szCs w:val="20"/>
          <w:color w:val="auto"/>
        </w:rPr>
      </w:pPr>
    </w:p>
    <w:p>
      <w:pPr>
        <w:spacing w:after="0"/>
        <w:rPr>
          <w:sz w:val="20"/>
          <w:szCs w:val="20"/>
          <w:color w:val="auto"/>
        </w:rPr>
      </w:pPr>
      <w:r>
        <w:rPr>
          <w:rFonts w:ascii="Arial" w:cs="Arial" w:eastAsia="Arial" w:hAnsi="Arial"/>
          <w:sz w:val="9"/>
          <w:szCs w:val="9"/>
          <w:color w:val="auto"/>
        </w:rPr>
        <w:t>Vice President, Human Resources</w:t>
      </w:r>
    </w:p>
    <w:p>
      <w:pPr>
        <w:sectPr>
          <w:pgSz w:w="15840" w:h="12240" w:orient="landscape"/>
          <w:cols w:equalWidth="0" w:num="3">
            <w:col w:w="7620" w:space="720"/>
            <w:col w:w="2520" w:space="720"/>
            <w:col w:w="2360"/>
          </w:cols>
          <w:pgMar w:left="840" w:top="1440" w:right="1060" w:bottom="1440" w:gutter="0" w:footer="0" w:header="0"/>
          <w:type w:val="continuous"/>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70"/>
          <w:szCs w:val="70"/>
          <w:b w:val="1"/>
          <w:bCs w:val="1"/>
          <w:color w:val="auto"/>
        </w:rPr>
        <w:t>Bassett®</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NASDAQ : BSET</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9"/>
          <w:szCs w:val="19"/>
          <w:color w:val="auto"/>
        </w:rPr>
        <w:t>bassettfurniture.com</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9"/>
          <w:szCs w:val="19"/>
          <w:color w:val="auto"/>
        </w:rPr>
        <w:t>Bassett,  Virginia</w:t>
      </w:r>
    </w:p>
    <w:p>
      <w:pPr>
        <w:sectPr>
          <w:pgSz w:w="12240" w:h="15840" w:orient="portrait"/>
          <w:cols w:equalWidth="0" w:num="1">
            <w:col w:w="10080"/>
          </w:cols>
          <w:pgMar w:left="720" w:top="1440" w:right="1440" w:bottom="1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2"/>
          <w:szCs w:val="12"/>
          <w:color w:val="auto"/>
        </w:rPr>
        <w:t>BSET-24AR-1</w:t>
      </w:r>
    </w:p>
    <w:sectPr>
      <w:pgSz w:w="12240" w:h="15840" w:orient="portrait"/>
      <w:cols w:equalWidth="0" w:num="1">
        <w:col w:w="10080"/>
      </w:cols>
      <w:pgMar w:left="720" w:top="1440" w:right="1440" w:bottom="1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lowerLetter"/>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upperLetter"/>
      <w:start w:val="9"/>
    </w:lvl>
  </w:abstractNum>
  <w:abstractNum w:abstractNumId="7">
    <w:nsid w:val="431BD7B7"/>
    <w:multiLevelType w:val="hybridMultilevel"/>
    <w:lvl w:ilvl="0">
      <w:lvlJc w:val="left"/>
      <w:lvlText w:val="(%1)"/>
      <w:numFmt w:val="upperLetter"/>
      <w:start w:val="9"/>
    </w:lvl>
  </w:abstractNum>
  <w:abstractNum w:abstractNumId="8">
    <w:nsid w:val="3F2DBA31"/>
    <w:multiLevelType w:val="hybridMultilevel"/>
    <w:lvl w:ilvl="0">
      <w:lvlJc w:val="left"/>
      <w:lvlText w:val="(%1)"/>
      <w:numFmt w:val="decimal"/>
      <w:start w:val="2"/>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upperLetter"/>
      <w:start w:val="10"/>
    </w:lvl>
  </w:abstractNum>
  <w:abstractNum w:abstractNumId="12">
    <w:nsid w:val="436C6125"/>
    <w:multiLevelType w:val="hybridMultilevel"/>
    <w:lvl w:ilvl="0">
      <w:lvlJc w:val="left"/>
      <w:lvlText w:val="%1."/>
      <w:numFmt w:val="decimal"/>
      <w:start w:val="2"/>
    </w:lvl>
  </w:abstractNum>
  <w:abstractNum w:abstractNumId="13">
    <w:nsid w:val="628C895D"/>
    <w:multiLevelType w:val="hybridMultilevel"/>
    <w:lvl w:ilvl="0">
      <w:lvlJc w:val="left"/>
      <w:lvlText w:val="%1."/>
      <w:numFmt w:val="decimal"/>
      <w:start w:val="3"/>
    </w:lvl>
  </w:abstractNum>
  <w:abstractNum w:abstractNumId="14">
    <w:nsid w:val="333AB105"/>
    <w:multiLevelType w:val="hybridMultilevel"/>
    <w:lvl w:ilvl="0">
      <w:lvlJc w:val="left"/>
      <w:lvlText w:val="%1"/>
      <w:numFmt w:val="upperLetter"/>
      <w:start w:val="1"/>
    </w:lvl>
  </w:abstractNum>
  <w:abstractNum w:abstractNumId="15">
    <w:nsid w:val="721DA317"/>
    <w:multiLevelType w:val="hybridMultilevel"/>
    <w:lvl w:ilvl="0">
      <w:lvlJc w:val="left"/>
      <w:lvlText w:val="%1."/>
      <w:numFmt w:val="decimal"/>
      <w:start w:val="4"/>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0"/>
    </w:lvl>
  </w:abstractNum>
  <w:abstractNum w:abstractNumId="18">
    <w:nsid w:val="6763845E"/>
    <w:multiLevelType w:val="hybridMultilevel"/>
    <w:lvl w:ilvl="0">
      <w:lvlJc w:val="left"/>
      <w:lvlText w:val="%1."/>
      <w:numFmt w:val="upperLetter"/>
      <w:start w:val="35"/>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4"/>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5"/>
    </w:lvl>
  </w:abstractNum>
  <w:abstractNum w:abstractNumId="23">
    <w:nsid w:val="B03E0C6"/>
    <w:multiLevelType w:val="hybridMultilevel"/>
    <w:lvl w:ilvl="0">
      <w:lvlJc w:val="left"/>
      <w:lvlText w:val="(%1)"/>
      <w:numFmt w:val="decimal"/>
      <w:start w:val="2"/>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2"/>
    </w:lvl>
  </w:abstractNum>
  <w:abstractNum w:abstractNumId="27">
    <w:nsid w:val="2CA88611"/>
    <w:multiLevelType w:val="hybridMultilevel"/>
    <w:lvl w:ilvl="0">
      <w:lvlJc w:val="left"/>
      <w:lvlText w:val="%1"/>
      <w:numFmt w:val="upperLetter"/>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2025-02-14T19:01:11Z</dcterms:created>
  <dcterms:modified xsi:type="dcterms:W3CDTF">2025-02-14T19:01:11Z</dcterms:modified>
</cp:coreProperties>
</file>