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BASSETT FURNITURE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$5.00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Bradley L. Hasselwander</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Auto Services Company, Inc., 1793 HWY 201 N</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Mountain Home, AR, 72653</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(870) 425-8330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Pierce G. Hunter</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Kutak Rock LLP, 124 West Capitol Avenue, Suite 2000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Little Rock, AR, 72201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(501) 975-3000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10/29/2026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223"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1240"/>
          </w:cols>
          <w:pgMar w:left="320" w:top="866" w:right="339" w:bottom="223" w:gutter="0" w:footer="0" w:header="0"/>
          <w:type w:val="continuous"/>
        </w:sectPr>
      </w:pPr>
    </w:p>
    <w:bookmarkStart w:id="1" w:name="page2"/>
    <w:bookmarkEnd w:id="1"/>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Auto Services Company, Inc.</w:t>
      </w:r>
    </w:p>
    <w:p>
      <w:pPr>
        <w:spacing w:after="0" w:line="44"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ARKANSAS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456,317.00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456,317.00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456,317.00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5.5 %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w:t>
            </w:r>
          </w:p>
        </w:tc>
        <w:tc>
          <w:tcPr>
            <w:tcW w:w="100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Includes beneficial ownership of 456,317 shares of Common Stock, par value $5.00 per share ("Common Stock").</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3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(2)</w:t>
            </w:r>
          </w:p>
        </w:tc>
        <w:tc>
          <w:tcPr>
            <w:tcW w:w="1004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The ownership percentage set forth herein is calculated based on 8,651,361 shares of Common Stock of Bassett</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Furniture Industries, Incorporated (the "Issuer") issued and outstanding as of September 24, 2026, as set forth in the</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Issuer's Quarterly Report on Form 10-Q for the quarter ended August 29, 2026 filed with the Securities and Exchange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Commission on September 30, 2026, less the 300,000 shares of Common Stock repurchased by the Issuer from Auto</w:t>
      </w:r>
    </w:p>
    <w:p>
      <w:pPr>
        <w:ind w:left="920"/>
        <w:spacing w:after="0"/>
        <w:rPr>
          <w:sz w:val="20"/>
          <w:szCs w:val="20"/>
          <w:color w:val="auto"/>
        </w:rPr>
      </w:pPr>
      <w:r>
        <w:rPr>
          <w:rFonts w:ascii="Times New Roman" w:cs="Times New Roman" w:eastAsia="Times New Roman" w:hAnsi="Times New Roman"/>
          <w:sz w:val="22"/>
          <w:szCs w:val="22"/>
          <w:color w:val="auto"/>
        </w:rPr>
        <w:t>Services Company, Inc. pursuant to the Repurchase Agreement described in Item 4.</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ASC Holding Company,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1" w:right="339" w:bottom="0" w:gutter="0" w:footer="0" w:header="0"/>
        </w:sectPr>
      </w:pPr>
    </w:p>
    <w:bookmarkStart w:id="2" w:name="page3"/>
    <w:bookmarkEnd w:id="2"/>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ind w:left="1160" w:hanging="1112"/>
        <w:spacing w:after="0" w:line="184" w:lineRule="auto"/>
        <w:tabs>
          <w:tab w:leader="none" w:pos="1160" w:val="left"/>
        </w:tabs>
        <w:numPr>
          <w:ilvl w:val="0"/>
          <w:numId w:val="6"/>
        </w:numPr>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19"/>
          <w:szCs w:val="19"/>
          <w:color w:val="auto"/>
        </w:rPr>
        <w:t>Source of funds (See Instructions)</w:t>
      </w:r>
    </w:p>
    <w:p>
      <w:pPr>
        <w:spacing w:after="0" w:line="2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ARKANSAS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456,317.00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456,317.00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456,317.00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5.5 %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Includes beneficial ownership of 456,317 shares of Common Stock. (2) The ownership percentage set forth herein</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is calculated based on 8,651,361 shares of Common Stock of the Issuer issued and outstanding as of September 24,</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2026, as set forth in the Issuer's Quarterly Report on Form 10-Q for the quarter ended August 29, 2026 filed with the</w:t>
            </w:r>
          </w:p>
        </w:tc>
      </w:tr>
    </w:tbl>
    <w:p>
      <w:pPr>
        <w:jc w:val="both"/>
        <w:ind w:right="20"/>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Securities and Exchange Commission on September 30, 2026, less the 300,000 shares of Common Stock repurchased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by the Issuer pursuant to the Repurchase Agreement described in Item 4.</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Bradley L. Hasselwander</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ind w:left="1160" w:hanging="1112"/>
        <w:spacing w:after="0" w:line="184" w:lineRule="auto"/>
        <w:tabs>
          <w:tab w:leader="none" w:pos="1160" w:val="left"/>
        </w:tabs>
        <w:numPr>
          <w:ilvl w:val="0"/>
          <w:numId w:val="9"/>
        </w:numPr>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19"/>
          <w:szCs w:val="19"/>
          <w:color w:val="auto"/>
        </w:rPr>
        <w:t>Source of funds (See Instructions)</w:t>
      </w:r>
    </w:p>
    <w:p>
      <w:pPr>
        <w:spacing w:after="0" w:line="2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38" w:orient="portrait"/>
          <w:cols w:equalWidth="0" w:num="1">
            <w:col w:w="11240"/>
          </w:cols>
          <w:pgMar w:left="320" w:top="111" w:right="339" w:bottom="0" w:gutter="0" w:footer="0" w:header="0"/>
        </w:sectPr>
      </w:pPr>
    </w:p>
    <w:bookmarkStart w:id="3" w:name="page4"/>
    <w:bookmarkEnd w:id="3"/>
    <w:tbl>
      <w:tblPr>
        <w:tblLayout w:type="fixed"/>
        <w:tblInd w:w="40" w:type="dxa"/>
        <w:tblCellMar>
          <w:top w:w="0" w:type="dxa"/>
          <w:left w:w="0" w:type="dxa"/>
          <w:bottom w:w="0" w:type="dxa"/>
          <w:right w:w="0" w:type="dxa"/>
        </w:tblCellMar>
      </w:tblPr>
      <w:tr>
        <w:trPr>
          <w:trHeight w:val="253"/>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7  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0"/>
        </w:trPr>
        <w:tc>
          <w:tcPr>
            <w:tcW w:w="1100" w:type="dxa"/>
            <w:vAlign w:val="bottom"/>
          </w:tcPr>
          <w:p>
            <w:pPr>
              <w:spacing w:after="0" w:line="240"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60"/>
              <w:spacing w:after="0" w:line="240"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46"/>
        </w:trPr>
        <w:tc>
          <w:tcPr>
            <w:tcW w:w="1100" w:type="dxa"/>
            <w:vAlign w:val="bottom"/>
          </w:tcPr>
          <w:p>
            <w:pPr>
              <w:spacing w:after="0" w:line="246"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340"/>
              <w:spacing w:after="0" w:line="246" w:lineRule="exact"/>
              <w:rPr>
                <w:sz w:val="20"/>
                <w:szCs w:val="20"/>
                <w:color w:val="auto"/>
              </w:rPr>
            </w:pPr>
            <w:r>
              <w:rPr>
                <w:rFonts w:ascii="Times New Roman" w:cs="Times New Roman" w:eastAsia="Times New Roman" w:hAnsi="Times New Roman"/>
                <w:sz w:val="22"/>
                <w:szCs w:val="22"/>
                <w:color w:val="auto"/>
              </w:rPr>
              <w:t>456,317.00</w:t>
            </w:r>
          </w:p>
        </w:tc>
        <w:tc>
          <w:tcPr>
            <w:tcW w:w="0" w:type="dxa"/>
            <w:vAlign w:val="bottom"/>
          </w:tcPr>
          <w:p>
            <w:pPr>
              <w:spacing w:after="0"/>
              <w:rPr>
                <w:sz w:val="1"/>
                <w:szCs w:val="1"/>
                <w:color w:val="auto"/>
              </w:rPr>
            </w:pPr>
          </w:p>
        </w:tc>
      </w:tr>
      <w:tr>
        <w:trPr>
          <w:trHeight w:val="216"/>
        </w:trPr>
        <w:tc>
          <w:tcPr>
            <w:tcW w:w="110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0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100" w:type="dxa"/>
            <w:vAlign w:val="bottom"/>
            <w:vMerge w:val="continue"/>
          </w:tcPr>
          <w:p>
            <w:pPr>
              <w:spacing w:after="0"/>
              <w:rPr>
                <w:sz w:val="15"/>
                <w:szCs w:val="15"/>
                <w:color w:val="auto"/>
              </w:rPr>
            </w:pPr>
          </w:p>
        </w:tc>
        <w:tc>
          <w:tcPr>
            <w:tcW w:w="740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69"/>
        </w:trPr>
        <w:tc>
          <w:tcPr>
            <w:tcW w:w="1100" w:type="dxa"/>
            <w:vAlign w:val="bottom"/>
          </w:tcPr>
          <w:p>
            <w:pPr>
              <w:spacing w:after="0"/>
              <w:rPr>
                <w:sz w:val="5"/>
                <w:szCs w:val="5"/>
                <w:color w:val="auto"/>
              </w:rPr>
            </w:pPr>
          </w:p>
        </w:tc>
        <w:tc>
          <w:tcPr>
            <w:tcW w:w="7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2"/>
                <w:szCs w:val="22"/>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456,317.00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456,317.00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5.5 %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Includes beneficial ownership of 456,317 shares of Common Stock. (2) The ownership percentage set forth herein</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is calculated based on 8,651,361 shares of Common Stock of the Issuer issued and outstanding as of September 24,</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2026, as set forth in the Issuer's Quarterly Report on Form 10-Q for the quarter ended August 29, 2026 filed with the</w:t>
            </w:r>
          </w:p>
        </w:tc>
      </w:tr>
    </w:tbl>
    <w:p>
      <w:pPr>
        <w:jc w:val="both"/>
        <w:ind w:right="20"/>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Securities and Exchange Commission on September 30, 2026, less the 300,000 shares of Common Stock repurchased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by the Issuer pursuant to the Repurchase Agreement described in Item 4.</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par value $5.00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BASSETT FURNITURE INDUSTRIES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3525 Fairystone Park Highway, Bassett, VIRGINIA , 24055.</w:t>
      </w:r>
    </w:p>
    <w:p>
      <w:pPr>
        <w:spacing w:after="0" w:line="20" w:lineRule="exact"/>
        <w:rPr>
          <w:sz w:val="20"/>
          <w:szCs w:val="20"/>
          <w:color w:val="auto"/>
        </w:rPr>
      </w:pPr>
    </w:p>
    <w:p>
      <w:pPr>
        <w:jc w:val="right"/>
        <w:ind w:left="40" w:right="40"/>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4 to Schedule 13D (this "Amendment") supplements and amends the Schedule 13D filed with</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the Securities and Exchange Commission on May 6, 2024 by Auto Services Company, Inc., an Arkansas corporation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("ASC"), ASC Holding Company, Inc., an Arkansas corporation ("ASC Holding"), and Bradley L. Hasselwander, an individual ("Hasselwander"), as amended by Amendment No. 1 to Schedule 13D filed by ASC, ASC Holding and Hasselwander on June 18, 2024, Amendment No. 2 to Schedule 13D filed by ASC, ASC Holding and Hasselwander on June 28, 2024 and Amendment No. 3 to Schedule 13D filed by ASC, ASC Holding and Hasselwander on October 28, 2026 (as amended, the "Schedule 13D"). Each of the foregoing is referred to herein as a "Reporting Person" and collectively as the "Reporting Persons." This Amendment relates to the Common Stock, par value $5.00 per share (the "Common Stock"), of Bassett Furniture Industries, Incorporated, a Virginia corporation (the "Issuer"). The principal executive offices of the Issuer are located at 3525 Fairystone Park Highway, Bassett, Virginia 24055. All capitalized terms used herein but not otherwise defined shall have the meanings ascribed to such terms in the</w:t>
      </w:r>
    </w:p>
    <w:p>
      <w:pPr>
        <w:spacing w:after="0" w:line="242" w:lineRule="exact"/>
        <w:rPr>
          <w:sz w:val="20"/>
          <w:szCs w:val="20"/>
          <w:color w:val="auto"/>
        </w:rPr>
      </w:pPr>
    </w:p>
    <w:p>
      <w:pPr>
        <w:ind w:left="40" w:right="920" w:firstLine="952"/>
        <w:spacing w:after="0" w:line="270" w:lineRule="auto"/>
        <w:rPr>
          <w:sz w:val="20"/>
          <w:szCs w:val="20"/>
          <w:color w:val="auto"/>
        </w:rPr>
      </w:pPr>
      <w:r>
        <w:rPr>
          <w:rFonts w:ascii="Times New Roman" w:cs="Times New Roman" w:eastAsia="Times New Roman" w:hAnsi="Times New Roman"/>
          <w:sz w:val="22"/>
          <w:szCs w:val="22"/>
          <w:color w:val="auto"/>
        </w:rPr>
        <w:t>Schedule 13D. Except as amended and supplemented by this Amendment, the Schedule 13D is unmodified. Item 4. Purpose of Transaction</w:t>
      </w:r>
    </w:p>
    <w:p>
      <w:pPr>
        <w:spacing w:after="0" w:line="1" w:lineRule="exact"/>
        <w:rPr>
          <w:sz w:val="20"/>
          <w:szCs w:val="20"/>
          <w:color w:val="auto"/>
        </w:rPr>
      </w:pPr>
    </w:p>
    <w:p>
      <w:pPr>
        <w:ind w:left="960" w:right="180"/>
        <w:spacing w:after="0" w:line="249" w:lineRule="auto"/>
        <w:rPr>
          <w:sz w:val="20"/>
          <w:szCs w:val="20"/>
          <w:color w:val="auto"/>
        </w:rPr>
      </w:pPr>
      <w:r>
        <w:rPr>
          <w:rFonts w:ascii="Times New Roman" w:cs="Times New Roman" w:eastAsia="Times New Roman" w:hAnsi="Times New Roman"/>
          <w:sz w:val="21"/>
          <w:szCs w:val="21"/>
          <w:color w:val="auto"/>
        </w:rPr>
        <w:t>Item 4 of the Schedule 13D is hereby amended and supplemented to add the following: On October 29, 2026, the Repurchase closed, and ASC sold the 300,000 Repurchased Shares to the Issuer pursuant to the Repurchase Agreement at a price of $22.0473 per share, for an aggregate purchase price of $6,614,190.00. ASC entered into the Repurchase Agreement in order to dispose of a portion of its position in the Common Stock in a privately negotiated transaction. Following the closing of the Repurchase, the Reporting Persons hold the remaining shares of Common Stock reported herein for investment purposes. The Reporting Persons intend to review their investment in the Issuer</w:t>
      </w:r>
    </w:p>
    <w:p>
      <w:pPr>
        <w:sectPr>
          <w:pgSz w:w="11900" w:h="16838" w:orient="portrait"/>
          <w:cols w:equalWidth="0" w:num="1">
            <w:col w:w="11240"/>
          </w:cols>
          <w:pgMar w:left="320" w:top="102" w:right="339" w:bottom="0" w:gutter="0" w:footer="0" w:header="0"/>
        </w:sectPr>
      </w:pPr>
    </w:p>
    <w:bookmarkStart w:id="4" w:name="page5"/>
    <w:bookmarkEnd w:id="4"/>
    <w:p>
      <w:pPr>
        <w:jc w:val="both"/>
        <w:ind w:left="920" w:right="40"/>
        <w:spacing w:after="0" w:line="249" w:lineRule="auto"/>
        <w:rPr>
          <w:sz w:val="20"/>
          <w:szCs w:val="20"/>
          <w:color w:val="auto"/>
        </w:rPr>
      </w:pPr>
      <w:r>
        <w:rPr>
          <w:rFonts w:ascii="Times New Roman" w:cs="Times New Roman" w:eastAsia="Times New Roman" w:hAnsi="Times New Roman"/>
          <w:sz w:val="21"/>
          <w:szCs w:val="21"/>
          <w:color w:val="auto"/>
        </w:rPr>
        <w:t>on a continuing basis and, depending on market conditions, the price and availability of shares of Common Stock, the Issuer's business and prospects and other factors, may acquire additional shares of Common Stock or dispose of some or all of the shares of Common Stock beneficially owned by them, in each case in any manner permitted by law.</w:t>
      </w:r>
    </w:p>
    <w:p>
      <w:pPr>
        <w:spacing w:after="0" w:line="2" w:lineRule="exact"/>
        <w:rPr>
          <w:sz w:val="20"/>
          <w:szCs w:val="20"/>
          <w:color w:val="auto"/>
        </w:rPr>
      </w:pPr>
    </w:p>
    <w:p>
      <w:pPr>
        <w:ind w:left="920" w:right="160"/>
        <w:spacing w:after="0" w:line="235" w:lineRule="auto"/>
        <w:rPr>
          <w:sz w:val="20"/>
          <w:szCs w:val="20"/>
          <w:color w:val="auto"/>
        </w:rPr>
      </w:pPr>
      <w:r>
        <w:rPr>
          <w:rFonts w:ascii="Times New Roman" w:cs="Times New Roman" w:eastAsia="Times New Roman" w:hAnsi="Times New Roman"/>
          <w:sz w:val="22"/>
          <w:szCs w:val="22"/>
          <w:color w:val="auto"/>
        </w:rPr>
        <w:t>Except as set forth herein, none of the Reporting Persons currently has any plans or proposals that relate to or would result in any of the matters described in clauses (a) through (j) of Item 4 of Schedule 13D, although the Reporting Persons may formulate such plans or proposals in the future, subject to applicable law.</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200"/>
        <w:spacing w:after="0" w:line="244" w:lineRule="auto"/>
        <w:rPr>
          <w:sz w:val="20"/>
          <w:szCs w:val="20"/>
          <w:color w:val="auto"/>
        </w:rPr>
      </w:pPr>
      <w:r>
        <w:rPr>
          <w:rFonts w:ascii="Times New Roman" w:cs="Times New Roman" w:eastAsia="Times New Roman" w:hAnsi="Times New Roman"/>
          <w:sz w:val="21"/>
          <w:szCs w:val="21"/>
          <w:color w:val="auto"/>
        </w:rPr>
        <w:t>Item 5 of the Schedule 13D is hereby amended and restated in its entirety to read as follows: (a) and (b) The information relating to the beneficial ownership of Common Stock by the Reporting Persons set forth in Rows 7 through 13 of each cover page hereto is incorporated by reference. As of the date of this Amendment, ASC is the beneficial owner of 456,317 shares of Common Stock, constituting approximately 5.46% of outstanding Common Stock. Because it is the parent holding company of ASC, ASC Holding may be deemed to have the shared power to vote or direct the vote, and the shared power to dispose or direct the disposition, of all shares beneficially owned by ASC. Because he is the controlling stockholder of ASC Holding, Bradley L. Hasselwander may be deemed to have the shared power to vote or direct the vote, and the shared power to dispose or direct the disposition, of all shares</w:t>
      </w:r>
    </w:p>
    <w:p>
      <w:pPr>
        <w:spacing w:after="0" w:line="4" w:lineRule="exact"/>
        <w:rPr>
          <w:sz w:val="20"/>
          <w:szCs w:val="20"/>
          <w:color w:val="auto"/>
        </w:rPr>
      </w:pPr>
    </w:p>
    <w:p>
      <w:pPr>
        <w:ind w:left="920" w:right="120" w:hanging="912"/>
        <w:spacing w:after="0" w:line="232"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beneficially owned by ASC. The information required by Item 2 with respect to each person with whom such power is shared is set forth in Item 2 of the Schedule 13D and is incorporated herein by reference. None of the Reporting Persons has the right to acquire any additional shares of Common Stock. The foregoing ownership percentages are calculated based on 8,651,361 shares of Common Stock of the Issuer issued and outstanding as of September 24, 2026, as set forth in the Issuer's Quarterly Report on Form 10-Q for the quarter ended August 29, 2026 filed with the Securities and Exchange Commission on September 30, 2026, less the 300,000 Repurchased Shares repurchased by the Issuer pursuant to the Repurchase Agreement. None of the Reporting Persons or, to the knowledge of the Reporting Persons, any of the other persons listed in Item 2(a)-(c) of the Schedule 13D beneficially owns any other securities of the Issuer.</w:t>
      </w:r>
    </w:p>
    <w:p>
      <w:pPr>
        <w:spacing w:after="0" w:line="16" w:lineRule="exact"/>
        <w:rPr>
          <w:rFonts w:ascii="Times New Roman" w:cs="Times New Roman" w:eastAsia="Times New Roman" w:hAnsi="Times New Roman"/>
          <w:sz w:val="22"/>
          <w:szCs w:val="22"/>
          <w:color w:val="auto"/>
        </w:rPr>
      </w:pPr>
    </w:p>
    <w:p>
      <w:pPr>
        <w:ind w:left="920" w:right="40" w:firstLine="6"/>
        <w:spacing w:after="0" w:line="244" w:lineRule="auto"/>
        <w:tabs>
          <w:tab w:leader="none" w:pos="1214" w:val="left"/>
        </w:tabs>
        <w:numPr>
          <w:ilvl w:val="1"/>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and (b) The information relating to the beneficial ownership of Common Stock by the Reporting Persons set forth in Rows 7 through 13 of each cover page hereto is incorporated by reference. As of the date of this Amendment, ASC is the beneficial owner of 456,317 shares of Common Stock, constituting approximately 5.46% of outstanding Common Stock. Because it is the parent holding company of ASC, ASC Holding may be deemed to have the shared power to vote or direct the vote, and the shared power to dispose or direct the disposition, of all shares beneficially owned by ASC. Because he is the controlling stockholder of ASC Holding, Bradley L. Hasselwander may be deemed to have the shared power to vote or direct the vote, and the shared power to dispose or direct the disposition, of all</w:t>
      </w:r>
    </w:p>
    <w:p>
      <w:pPr>
        <w:spacing w:after="0" w:line="6" w:lineRule="exact"/>
        <w:rPr>
          <w:rFonts w:ascii="Times New Roman" w:cs="Times New Roman" w:eastAsia="Times New Roman" w:hAnsi="Times New Roman"/>
          <w:sz w:val="21"/>
          <w:szCs w:val="21"/>
          <w:color w:val="auto"/>
        </w:rPr>
      </w:pPr>
    </w:p>
    <w:p>
      <w:pPr>
        <w:ind w:left="920" w:right="40" w:hanging="912"/>
        <w:spacing w:after="0" w:line="209" w:lineRule="auto"/>
        <w:tabs>
          <w:tab w:leader="none" w:pos="920" w:val="left"/>
        </w:tabs>
        <w:numPr>
          <w:ilvl w:val="0"/>
          <w:numId w:val="10"/>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shares beneficially owned by ASC. The information required by Item 2 with respect to each person with whom such power is shared is set forth in Item 2 of the Schedule 13D and is incorporated herein by reference. None of the Reporting Persons has the right to acquire any additional shares of Common Stock. The foregoing ownership percentages are calculated based on 8,651,361 shares of Common Stock of the Issuer issued and outstanding as of September 24, 2026, as set forth in the Issuer's Quarterly Report on Form 10-Q for the quarter ended August 29, 2026 filed with the Securities and Exchange Commission on September 30, 2026, less the 300,000 Repurchased Shares repurchased by the Issuer pursuant to the Repurchase Agreement. None of the Reporting Persons or, to the knowledge of the Reporting Persons, any of the other persons listed in Item 2(a)-(c) of the Schedule 13D beneficially owns any other securities of the Issuer.</w:t>
      </w:r>
    </w:p>
    <w:p>
      <w:pPr>
        <w:spacing w:after="0" w:line="24" w:lineRule="exact"/>
        <w:rPr>
          <w:rFonts w:ascii="Times New Roman" w:cs="Times New Roman" w:eastAsia="Times New Roman" w:hAnsi="Times New Roman"/>
          <w:sz w:val="43"/>
          <w:szCs w:val="43"/>
          <w:color w:val="auto"/>
          <w:vertAlign w:val="subscript"/>
        </w:rPr>
      </w:pPr>
    </w:p>
    <w:p>
      <w:pPr>
        <w:ind w:left="1220" w:hanging="294"/>
        <w:spacing w:after="0"/>
        <w:tabs>
          <w:tab w:leader="none" w:pos="1220" w:val="left"/>
        </w:tabs>
        <w:numPr>
          <w:ilvl w:val="1"/>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for the Repurchase described in Item 4, which is incorporated herein by reference and which was effected</w:t>
      </w:r>
    </w:p>
    <w:p>
      <w:pPr>
        <w:spacing w:after="0" w:line="25" w:lineRule="exact"/>
        <w:rPr>
          <w:rFonts w:ascii="Times New Roman" w:cs="Times New Roman" w:eastAsia="Times New Roman" w:hAnsi="Times New Roman"/>
          <w:sz w:val="21"/>
          <w:szCs w:val="21"/>
          <w:color w:val="auto"/>
        </w:rPr>
      </w:pPr>
    </w:p>
    <w:p>
      <w:pPr>
        <w:jc w:val="both"/>
        <w:ind w:left="920" w:right="180" w:hanging="912"/>
        <w:spacing w:after="0" w:line="184" w:lineRule="auto"/>
        <w:tabs>
          <w:tab w:leader="none" w:pos="920" w:val="left"/>
        </w:tabs>
        <w:numPr>
          <w:ilvl w:val="0"/>
          <w:numId w:val="1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by ASC on October 29, 2026 with respect to 300,000 shares of Common Stock in a privately negotiated transaction with the Issuer (and not on Nasdaq) at a price of $22.0473 per share, none of the Reporting Persons has effected any transactions in the Common Stock during the past 60 days.</w:t>
      </w:r>
    </w:p>
    <w:p>
      <w:pPr>
        <w:spacing w:after="0" w:line="18" w:lineRule="exact"/>
        <w:rPr>
          <w:rFonts w:ascii="Times New Roman" w:cs="Times New Roman" w:eastAsia="Times New Roman" w:hAnsi="Times New Roman"/>
          <w:sz w:val="42"/>
          <w:szCs w:val="42"/>
          <w:color w:val="auto"/>
          <w:vertAlign w:val="subscript"/>
        </w:rPr>
      </w:pPr>
    </w:p>
    <w:p>
      <w:pPr>
        <w:ind w:left="920" w:right="360" w:hanging="912"/>
        <w:spacing w:after="0" w:line="185" w:lineRule="auto"/>
        <w:tabs>
          <w:tab w:leader="none" w:pos="920" w:val="left"/>
        </w:tabs>
        <w:numPr>
          <w:ilvl w:val="0"/>
          <w:numId w:val="1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 No other person has the right to receive or the power to direct the receipt of dividends from, or the proceeds of sale of, any of the Common Stock beneficially owned by the Reporting Persons.</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 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60"/>
        <w:spacing w:after="0" w:line="258" w:lineRule="auto"/>
        <w:rPr>
          <w:sz w:val="20"/>
          <w:szCs w:val="20"/>
          <w:color w:val="auto"/>
        </w:rPr>
      </w:pPr>
      <w:r>
        <w:rPr>
          <w:rFonts w:ascii="Times New Roman" w:cs="Times New Roman" w:eastAsia="Times New Roman" w:hAnsi="Times New Roman"/>
          <w:sz w:val="22"/>
          <w:szCs w:val="22"/>
          <w:color w:val="auto"/>
        </w:rPr>
        <w:t>Item 7 of the Schedule 13D is hereby amended and supplemented to add the following exhibit: Exhibit 1: Joint Filing Agreement, dated as of October 30, 2026, by and among the Reporting Persons (filed herewith).</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Auto Services Company, Inc.</w:t>
      </w:r>
    </w:p>
    <w:p>
      <w:pPr>
        <w:spacing w:after="0" w:line="152" w:lineRule="exact"/>
        <w:rPr>
          <w:sz w:val="20"/>
          <w:szCs w:val="20"/>
          <w:color w:val="auto"/>
        </w:rPr>
      </w:pPr>
    </w:p>
    <w:p>
      <w:pPr>
        <w:ind w:left="5200"/>
        <w:spacing w:after="0"/>
        <w:tabs>
          <w:tab w:leader="none" w:pos="6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Bradley L. Hasselwander</w:t>
      </w:r>
    </w:p>
    <w:p>
      <w:pPr>
        <w:spacing w:after="0" w:line="4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Name/Title: Bradley L. Hasselwander/President and CEO</w:t>
      </w:r>
    </w:p>
    <w:p>
      <w:pPr>
        <w:spacing w:after="0" w:line="44" w:lineRule="exact"/>
        <w:rPr>
          <w:sz w:val="20"/>
          <w:szCs w:val="20"/>
          <w:color w:val="auto"/>
        </w:rPr>
      </w:pPr>
    </w:p>
    <w:p>
      <w:pPr>
        <w:ind w:left="5200"/>
        <w:spacing w:after="0"/>
        <w:tabs>
          <w:tab w:leader="none" w:pos="6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p>
      <w:pPr>
        <w:spacing w:after="0" w:line="15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ASC Holding Company, Inc.</w:t>
      </w:r>
    </w:p>
    <w:p>
      <w:pPr>
        <w:spacing w:after="0" w:line="152" w:lineRule="exact"/>
        <w:rPr>
          <w:sz w:val="20"/>
          <w:szCs w:val="20"/>
          <w:color w:val="auto"/>
        </w:rPr>
      </w:pPr>
    </w:p>
    <w:p>
      <w:pPr>
        <w:ind w:left="5200"/>
        <w:spacing w:after="0"/>
        <w:tabs>
          <w:tab w:leader="none" w:pos="6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Bradley L. Hasselwander</w:t>
      </w:r>
    </w:p>
    <w:p>
      <w:pPr>
        <w:spacing w:after="0" w:line="4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Name/Title: Bradley L. Hasselwander/President and CEO</w:t>
      </w:r>
    </w:p>
    <w:p>
      <w:pPr>
        <w:sectPr>
          <w:pgSz w:w="11900" w:h="16838" w:orient="portrait"/>
          <w:cols w:equalWidth="0" w:num="1">
            <w:col w:w="11140"/>
          </w:cols>
          <w:pgMar w:left="360" w:top="112" w:right="399" w:bottom="0" w:gutter="0" w:footer="0" w:header="0"/>
        </w:sectPr>
      </w:pPr>
    </w:p>
    <w:bookmarkStart w:id="5" w:name="page6"/>
    <w:bookmarkEnd w:id="5"/>
    <w:p>
      <w:pPr>
        <w:ind w:left="4120"/>
        <w:spacing w:after="0"/>
        <w:tabs>
          <w:tab w:leader="none" w:pos="518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10/30/2026</w:t>
      </w:r>
    </w:p>
    <w:p>
      <w:pPr>
        <w:spacing w:after="0" w:line="1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Bradley L. Hasselwander</w:t>
      </w:r>
    </w:p>
    <w:p>
      <w:pPr>
        <w:spacing w:after="0" w:line="152" w:lineRule="exact"/>
        <w:rPr>
          <w:sz w:val="20"/>
          <w:szCs w:val="20"/>
          <w:color w:val="auto"/>
        </w:rPr>
      </w:pPr>
    </w:p>
    <w:p>
      <w:pPr>
        <w:jc w:val="right"/>
        <w:ind w:right="2819"/>
        <w:spacing w:after="0"/>
        <w:tabs>
          <w:tab w:leader="none" w:pos="2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Bradley L. Hasselwander</w:t>
      </w:r>
    </w:p>
    <w:p>
      <w:pPr>
        <w:spacing w:after="0" w:line="4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Name/Title: Bradley L. Hasselwander</w:t>
      </w:r>
    </w:p>
    <w:p>
      <w:pPr>
        <w:spacing w:after="0" w:line="44"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p>
      <w:pPr>
        <w:sectPr>
          <w:pgSz w:w="11900" w:h="16838" w:orient="portrait"/>
          <w:cols w:equalWidth="0" w:num="1">
            <w:col w:w="9019"/>
          </w:cols>
          <w:pgMar w:left="1440" w:top="111" w:right="1440"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AS TO JOINT FILING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Rule 13d-1(k) under the Securities Exchange Act of 1934, as amended, the undersigned hereby agree to the joint filing on behalf of each of them of a statement on Schedule 13D, and any amendments thereto, with respect to the Common Stock, par value $5.00 per share of Bassett Furniture Industries, Incorporated, and that this agreement be included as an exhibit to such filing and any amendment thereof.</w:t>
      </w:r>
    </w:p>
    <w:p>
      <w:pPr>
        <w:spacing w:after="0" w:line="17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This agreement may be executed in any number of counterparts, each of which shall be deemed to be an original and all of which together shall be deemed to constitute one and the same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each of the undersigned hereby executes this agreement as of October 30, 2026.</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AUTO SERVICES COMPANY, INC.</w:t>
      </w:r>
    </w:p>
    <w:p>
      <w:pPr>
        <w:spacing w:after="0" w:line="216" w:lineRule="exact"/>
        <w:rPr>
          <w:sz w:val="20"/>
          <w:szCs w:val="20"/>
          <w:color w:val="auto"/>
        </w:rPr>
      </w:pPr>
    </w:p>
    <w:tbl>
      <w:tblPr>
        <w:tblLayout w:type="fixed"/>
        <w:tblInd w:w="562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80" w:type="dxa"/>
            <w:vAlign w:val="bottom"/>
          </w:tcPr>
          <w:p>
            <w:pPr>
              <w:spacing w:after="0"/>
              <w:rPr>
                <w:sz w:val="17"/>
                <w:szCs w:val="17"/>
                <w:color w:val="auto"/>
              </w:rPr>
            </w:pPr>
          </w:p>
        </w:tc>
        <w:tc>
          <w:tcPr>
            <w:tcW w:w="1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/s/ Bradley L.</w:t>
            </w:r>
          </w:p>
        </w:tc>
        <w:tc>
          <w:tcPr>
            <w:tcW w:w="1040" w:type="dxa"/>
            <w:vAlign w:val="bottom"/>
          </w:tcPr>
          <w:p>
            <w:pPr>
              <w:spacing w:after="0"/>
              <w:rPr>
                <w:sz w:val="17"/>
                <w:szCs w:val="17"/>
                <w:color w:val="auto"/>
              </w:rPr>
            </w:pPr>
          </w:p>
        </w:tc>
      </w:tr>
      <w:tr>
        <w:trPr>
          <w:trHeight w:val="196"/>
        </w:trPr>
        <w:tc>
          <w:tcPr>
            <w:tcW w:w="1020" w:type="dxa"/>
            <w:vAlign w:val="bottom"/>
            <w:tcBorders>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8"/>
              </w:rPr>
              <w:t>Hasselwander</w:t>
            </w:r>
          </w:p>
        </w:tc>
        <w:tc>
          <w:tcPr>
            <w:tcW w:w="1680" w:type="dxa"/>
            <w:vAlign w:val="bottom"/>
            <w:gridSpan w:val="2"/>
          </w:tcPr>
          <w:p>
            <w:pPr>
              <w:spacing w:after="0"/>
              <w:rPr>
                <w:sz w:val="17"/>
                <w:szCs w:val="17"/>
                <w:color w:val="auto"/>
              </w:rPr>
            </w:pPr>
          </w:p>
        </w:tc>
      </w:tr>
      <w:tr>
        <w:trPr>
          <w:trHeight w:val="21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1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Bradley L. Hasselwander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1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President and CEO</w:t>
            </w:r>
          </w:p>
        </w:tc>
      </w:tr>
      <w:tr>
        <w:trPr>
          <w:trHeight w:val="864"/>
        </w:trPr>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w w:val="98"/>
              </w:rPr>
              <w:t>ASC HOLDING COMPANY, INC.</w:t>
            </w:r>
          </w:p>
        </w:tc>
      </w:tr>
      <w:tr>
        <w:trPr>
          <w:trHeight w:val="39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80" w:type="dxa"/>
            <w:vAlign w:val="bottom"/>
          </w:tcPr>
          <w:p>
            <w:pPr>
              <w:spacing w:after="0"/>
              <w:rPr>
                <w:sz w:val="24"/>
                <w:szCs w:val="24"/>
                <w:color w:val="auto"/>
              </w:rPr>
            </w:pPr>
          </w:p>
        </w:tc>
        <w:tc>
          <w:tcPr>
            <w:tcW w:w="20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9"/>
              </w:rPr>
              <w:t>/s/ Bradley L. Hasselwander</w:t>
            </w:r>
          </w:p>
        </w:tc>
      </w:tr>
      <w:tr>
        <w:trPr>
          <w:trHeight w:val="21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1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Bradley L. Hasselwander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1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President and CEO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 Bradley L.</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Hasselwander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Bradley L. Hasselwander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bullet"/>
      <w:start w:val="1"/>
    </w:lvl>
  </w:abstractNum>
  <w:abstractNum w:abstractNumId="1">
    <w:nsid w:val="41B71EFB"/>
    <w:multiLevelType w:val="hybridMultilevel"/>
    <w:lvl w:ilvl="0">
      <w:lvlJc w:val="left"/>
      <w:lvlText w:val="2"/>
      <w:numFmt w:val="bullet"/>
      <w:start w:val="1"/>
    </w:lvl>
  </w:abstractNum>
  <w:abstractNum w:abstractNumId="2">
    <w:nsid w:val="79E2A9E3"/>
    <w:multiLevelType w:val="hybridMultilevel"/>
    <w:lvl w:ilvl="0">
      <w:lvlJc w:val="left"/>
      <w:lvlText w:val="3"/>
      <w:numFmt w:val="bullet"/>
      <w:start w:val="1"/>
    </w:lvl>
  </w:abstractNum>
  <w:abstractNum w:abstractNumId="3">
    <w:nsid w:val="7545E146"/>
    <w:multiLevelType w:val="hybridMultilevel"/>
    <w:lvl w:ilvl="0">
      <w:lvlJc w:val="left"/>
      <w:lvlText w:val="2"/>
      <w:numFmt w:val="bullet"/>
      <w:start w:val="1"/>
    </w:lvl>
  </w:abstractNum>
  <w:abstractNum w:abstractNumId="4">
    <w:nsid w:val="515F007C"/>
    <w:multiLevelType w:val="hybridMultilevel"/>
    <w:lvl w:ilvl="0">
      <w:lvlJc w:val="left"/>
      <w:lvlText w:val="3"/>
      <w:numFmt w:val="bullet"/>
      <w:start w:val="1"/>
    </w:lvl>
  </w:abstractNum>
  <w:abstractNum w:abstractNumId="5">
    <w:nsid w:val="5BD062C2"/>
    <w:multiLevelType w:val="hybridMultilevel"/>
    <w:lvl w:ilvl="0">
      <w:lvlJc w:val="left"/>
      <w:lvlText w:val="4"/>
      <w:numFmt w:val="bullet"/>
      <w:start w:val="1"/>
    </w:lvl>
  </w:abstractNum>
  <w:abstractNum w:abstractNumId="6">
    <w:nsid w:val="12200854"/>
    <w:multiLevelType w:val="hybridMultilevel"/>
    <w:lvl w:ilvl="0">
      <w:lvlJc w:val="left"/>
      <w:lvlText w:val="2"/>
      <w:numFmt w:val="bullet"/>
      <w:start w:val="1"/>
    </w:lvl>
  </w:abstractNum>
  <w:abstractNum w:abstractNumId="7">
    <w:nsid w:val="4DB127F8"/>
    <w:multiLevelType w:val="hybridMultilevel"/>
    <w:lvl w:ilvl="0">
      <w:lvlJc w:val="left"/>
      <w:lvlText w:val="3"/>
      <w:numFmt w:val="bullet"/>
      <w:start w:val="1"/>
    </w:lvl>
  </w:abstractNum>
  <w:abstractNum w:abstractNumId="8">
    <w:nsid w:val="216231B"/>
    <w:multiLevelType w:val="hybridMultilevel"/>
    <w:lvl w:ilvl="0">
      <w:lvlJc w:val="left"/>
      <w:lvlText w:val="4"/>
      <w:numFmt w:val="bullet"/>
      <w:start w:val="1"/>
    </w:lvl>
  </w:abstractNum>
  <w:abstractNum w:abstractNumId="9">
    <w:nsid w:val="1F16E9E8"/>
    <w:multiLevelType w:val="hybridMultilevel"/>
    <w:lvl w:ilvl="0">
      <w:lvlJc w:val="left"/>
      <w:lvlText w:val="(%1)"/>
      <w:numFmt w:val="lowerLetter"/>
      <w:start w:val="1"/>
    </w:lvl>
    <w:lvl w:ilvl="1">
      <w:lvlJc w:val="left"/>
      <w:lvlText w:val="(%2)"/>
      <w:numFmt w:val="lowerLetter"/>
      <w:start w:val="1"/>
    </w:lvl>
  </w:abstractNum>
  <w:abstractNum w:abstractNumId="10">
    <w:nsid w:val="1190CDE7"/>
    <w:multiLevelType w:val="hybridMultilevel"/>
    <w:lvl w:ilvl="0">
      <w:lvlJc w:val="left"/>
      <w:lvlText w:val="%1"/>
      <w:numFmt w:val="lowerLetter"/>
      <w:start w:val="1"/>
    </w:lvl>
    <w:lvl w:ilvl="1">
      <w:lvlJc w:val="left"/>
      <w:lvlText w:val="(%2)"/>
      <w:numFmt w:val="lowerLetter"/>
      <w:start w:val="3"/>
    </w:lvl>
  </w:abstractNum>
  <w:abstractNum w:abstractNumId="11">
    <w:nsid w:val="66EF438D"/>
    <w:multiLevelType w:val="hybridMultilevel"/>
    <w:lvl w:ilvl="0">
      <w:lvlJc w:val="left"/>
      <w:lvlText w:val="(%1)"/>
      <w:numFmt w:val="lowerLetter"/>
      <w:start w:val="3"/>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2026-11-02T11:16:00Z</dcterms:created>
  <dcterms:modified xsi:type="dcterms:W3CDTF">2026-11-02T11:16:00Z</dcterms:modified>
</cp:coreProperties>
</file>