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MCDOWELL JOHN WALTER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2,587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4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 xml:space="preserve">(1)(2)   </w:t>
            </w:r>
            <w:r>
              <w:rPr>
                <w:rFonts w:ascii="Arial" w:cs="Arial" w:eastAsia="Arial" w:hAnsi="Arial"/>
                <w:sz w:val="34"/>
                <w:szCs w:val="34"/>
                <w:color w:val="000000"/>
                <w:w w:val="94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4"/>
                <w:vertAlign w:val="subscript"/>
              </w:rPr>
              <w:t>15.46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4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under the 2021 Stock Incentive Plan which is a Rule 16b-3 plan; vests in one year.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Risk of forfeiture until vesting and subject to stock ownership guidelines.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of Bassett Furniture Industries Stock at the close of business 03/06/2024.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Walter McDowell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</w:tr>
      <w:tr>
        <w:trPr>
          <w:trHeight w:val="20"/>
        </w:trPr>
        <w:tc>
          <w:tcPr>
            <w:tcW w:w="1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32178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2024-03-08T13:50:55Z</dcterms:created>
  <dcterms:modified xsi:type="dcterms:W3CDTF">2024-03-08T13:50:55Z</dcterms:modified>
</cp:coreProperties>
</file>