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Washington, D.C. 20549</w:t>
      </w:r>
    </w:p>
    <w:p>
      <w:pPr>
        <w:spacing w:after="0" w:line="176" w:lineRule="exact"/>
        <w:rPr>
          <w:sz w:val="24"/>
          <w:szCs w:val="24"/>
          <w:color w:val="auto"/>
        </w:rPr>
      </w:pPr>
    </w:p>
    <w:p>
      <w:pPr>
        <w:ind w:left="1960" w:right="4139" w:hanging="895"/>
        <w:spacing w:after="0"/>
        <w:tabs>
          <w:tab w:leader="none" w:pos="142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QUARTERLY PERIOD ENDED FEBRUARY 28, 1995</w:t>
      </w:r>
    </w:p>
    <w:p>
      <w:pPr>
        <w:spacing w:after="0" w:line="174"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1960" w:right="4059" w:hanging="1074"/>
        <w:spacing w:after="0"/>
        <w:tabs>
          <w:tab w:leader="none" w:pos="115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 ________________ to _________________</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 0-209</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1" w:right="1440" w:bottom="1440" w:gutter="0" w:footer="0" w:header="0"/>
        </w:sectPr>
      </w:pPr>
    </w:p>
    <w:p>
      <w:pPr>
        <w:spacing w:after="0" w:line="174"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Virginia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(State or other jurisdiction</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54-0135270</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640" w:space="720"/>
            <w:col w:w="4859"/>
          </w:cols>
          <w:pgMar w:left="240" w:top="231" w:right="1440" w:bottom="1440" w:gutter="0" w:footer="0" w:header="0"/>
          <w:type w:val="continuous"/>
        </w:sectPr>
      </w:pPr>
    </w:p>
    <w:p>
      <w:pPr>
        <w:spacing w:after="0" w:line="146" w:lineRule="exact"/>
        <w:rPr>
          <w:sz w:val="24"/>
          <w:szCs w:val="24"/>
          <w:color w:val="auto"/>
        </w:rPr>
      </w:pPr>
    </w:p>
    <w:p>
      <w:pPr>
        <w:ind w:left="2320"/>
        <w:spacing w:after="0"/>
        <w:tabs>
          <w:tab w:leader="none" w:pos="4080" w:val="left"/>
        </w:tabs>
        <w:rPr>
          <w:sz w:val="20"/>
          <w:szCs w:val="20"/>
          <w:color w:val="auto"/>
        </w:rPr>
      </w:pPr>
      <w:r>
        <w:rPr>
          <w:rFonts w:ascii="Courier New" w:cs="Courier New" w:eastAsia="Courier New" w:hAnsi="Courier New"/>
          <w:sz w:val="15"/>
          <w:szCs w:val="15"/>
          <w:color w:val="auto"/>
        </w:rPr>
        <w:t>Bassett, Virginia</w:t>
        <w:tab/>
        <w:t>24055</w:t>
      </w:r>
    </w:p>
    <w:p>
      <w:pPr>
        <w:sectPr>
          <w:pgSz w:w="11900" w:h="16838" w:orient="portrait"/>
          <w:cols w:equalWidth="0" w:num="1">
            <w:col w:w="10219"/>
          </w:cols>
          <w:pgMar w:left="240" w:top="231" w:right="1440" w:bottom="1440" w:gutter="0" w:footer="0" w:header="0"/>
          <w:type w:val="continuous"/>
        </w:sectPr>
      </w:pP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(Zip Code)</w:t>
      </w:r>
    </w:p>
    <w:p>
      <w:pPr>
        <w:spacing w:after="0" w:line="34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(703) 629-6000</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1934 during the preceding 12 months, and (2) has been subject to such filing</w:t>
      </w:r>
    </w:p>
    <w:p>
      <w:pPr>
        <w:spacing w:after="0" w:line="12" w:lineRule="exact"/>
        <w:rPr>
          <w:sz w:val="24"/>
          <w:szCs w:val="24"/>
          <w:color w:val="auto"/>
        </w:rPr>
      </w:pPr>
    </w:p>
    <w:p>
      <w:pPr>
        <w:spacing w:after="0"/>
        <w:tabs>
          <w:tab w:leader="none" w:pos="3200" w:val="left"/>
          <w:tab w:leader="none" w:pos="3900" w:val="left"/>
          <w:tab w:leader="none" w:pos="4980" w:val="left"/>
          <w:tab w:leader="none" w:pos="6240" w:val="left"/>
        </w:tabs>
        <w:rPr>
          <w:sz w:val="20"/>
          <w:szCs w:val="20"/>
          <w:color w:val="auto"/>
        </w:rPr>
      </w:pPr>
      <w:r>
        <w:rPr>
          <w:rFonts w:ascii="Courier New" w:cs="Courier New" w:eastAsia="Courier New" w:hAnsi="Courier New"/>
          <w:sz w:val="15"/>
          <w:szCs w:val="15"/>
          <w:color w:val="auto"/>
        </w:rPr>
        <w:t>requirements for the past 90 days.</w:t>
        <w:tab/>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3"/>
          <w:szCs w:val="13"/>
          <w:color w:val="auto"/>
        </w:rPr>
        <w:t>.</w:t>
      </w:r>
    </w:p>
    <w:p>
      <w:pPr>
        <w:spacing w:after="0" w:line="2" w:lineRule="exact"/>
        <w:rPr>
          <w:sz w:val="24"/>
          <w:szCs w:val="24"/>
          <w:color w:val="auto"/>
        </w:rPr>
      </w:pPr>
    </w:p>
    <w:p>
      <w:pPr>
        <w:ind w:left="3560"/>
        <w:spacing w:after="0"/>
        <w:tabs>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4"/>
          <w:szCs w:val="24"/>
          <w:color w:val="auto"/>
        </w:rPr>
      </w:pPr>
    </w:p>
    <w:p>
      <w:pPr>
        <w:ind w:right="3699"/>
        <w:spacing w:after="0"/>
        <w:rPr>
          <w:sz w:val="20"/>
          <w:szCs w:val="20"/>
          <w:color w:val="auto"/>
        </w:rPr>
      </w:pPr>
      <w:r>
        <w:rPr>
          <w:rFonts w:ascii="Courier New" w:cs="Courier New" w:eastAsia="Courier New" w:hAnsi="Courier New"/>
          <w:sz w:val="15"/>
          <w:szCs w:val="15"/>
          <w:color w:val="auto"/>
        </w:rPr>
        <w:t>At February 28, 1995, 14,086,815 shares of common stock of the Registrant were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040"/>
        <w:spacing w:after="0"/>
        <w:tabs>
          <w:tab w:leader="none" w:pos="4000" w:val="left"/>
        </w:tabs>
        <w:rPr>
          <w:sz w:val="20"/>
          <w:szCs w:val="20"/>
          <w:color w:val="auto"/>
        </w:rPr>
      </w:pPr>
      <w:r>
        <w:rPr>
          <w:rFonts w:ascii="Courier New" w:cs="Courier New" w:eastAsia="Courier New" w:hAnsi="Courier New"/>
          <w:sz w:val="15"/>
          <w:szCs w:val="15"/>
          <w:color w:val="auto"/>
        </w:rPr>
        <w:t>Page 1 of</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5"/>
          <w:szCs w:val="15"/>
          <w:color w:val="auto"/>
        </w:rPr>
        <w:t>PART I - FINANCIAL INFORMATION</w:t>
      </w:r>
    </w:p>
    <w:p>
      <w:pPr>
        <w:spacing w:after="0" w:line="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20" w:type="dxa"/>
            <w:vAlign w:val="bottom"/>
          </w:tcPr>
          <w:p>
            <w:pPr>
              <w:ind w:left="180"/>
              <w:spacing w:after="0"/>
              <w:rPr>
                <w:sz w:val="20"/>
                <w:szCs w:val="20"/>
                <w:color w:val="auto"/>
              </w:rPr>
            </w:pPr>
            <w:r>
              <w:rPr>
                <w:rFonts w:ascii="Courier New" w:cs="Courier New" w:eastAsia="Courier New" w:hAnsi="Courier New"/>
                <w:sz w:val="15"/>
                <w:szCs w:val="15"/>
                <w:color w:val="auto"/>
                <w:w w:val="99"/>
              </w:rPr>
              <w:t>CONDENSED CONSOLIDATED STATEMENT OF INCOME AND RETAINED EARNINGS - UNAUDITED</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860"/>
        </w:trPr>
        <w:tc>
          <w:tcPr>
            <w:tcW w:w="7020" w:type="dxa"/>
            <w:vAlign w:val="bottom"/>
          </w:tcPr>
          <w:p>
            <w:pPr>
              <w:spacing w:after="0"/>
              <w:rPr>
                <w:sz w:val="24"/>
                <w:szCs w:val="24"/>
                <w:color w:val="auto"/>
              </w:rPr>
            </w:pPr>
          </w:p>
        </w:tc>
        <w:tc>
          <w:tcPr>
            <w:tcW w:w="42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THREE MONTHS ENDED FEBRUARY 28,</w:t>
            </w:r>
          </w:p>
        </w:tc>
      </w:tr>
      <w:tr>
        <w:trPr>
          <w:trHeight w:val="172"/>
        </w:trPr>
        <w:tc>
          <w:tcPr>
            <w:tcW w:w="7020" w:type="dxa"/>
            <w:vAlign w:val="bottom"/>
          </w:tcPr>
          <w:p>
            <w:pPr>
              <w:spacing w:after="0"/>
              <w:rPr>
                <w:sz w:val="14"/>
                <w:szCs w:val="14"/>
                <w:color w:val="auto"/>
              </w:rPr>
            </w:pPr>
          </w:p>
        </w:tc>
        <w:tc>
          <w:tcPr>
            <w:tcW w:w="424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1995</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344"/>
        </w:trPr>
        <w:tc>
          <w:tcPr>
            <w:tcW w:w="70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$123,550,551</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$121,664,291</w:t>
            </w:r>
          </w:p>
        </w:tc>
      </w:tr>
      <w:tr>
        <w:trPr>
          <w:trHeight w:val="172"/>
        </w:trPr>
        <w:tc>
          <w:tcPr>
            <w:tcW w:w="70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2"/>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Cost of sales</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102,928,562</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101,827,454</w:t>
            </w:r>
          </w:p>
        </w:tc>
      </w:tr>
      <w:tr>
        <w:trPr>
          <w:trHeight w:val="172"/>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16,016,344</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15,470,419</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118,944,906</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117,297,873</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Income from operations</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4,605,645</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4,366,418</w:t>
            </w:r>
          </w:p>
        </w:tc>
      </w:tr>
      <w:tr>
        <w:trPr>
          <w:trHeight w:val="172"/>
        </w:trPr>
        <w:tc>
          <w:tcPr>
            <w:tcW w:w="70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2,313,201</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2,326,995</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Income before income taxes and cumulative</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2"/>
        </w:trPr>
        <w:tc>
          <w:tcPr>
            <w:tcW w:w="702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effect of a change in accounting principle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6,918,846</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6,693,413</w:t>
            </w:r>
          </w:p>
        </w:tc>
      </w:tr>
      <w:tr>
        <w:trPr>
          <w:trHeight w:val="172"/>
        </w:trPr>
        <w:tc>
          <w:tcPr>
            <w:tcW w:w="70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2,022,500</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1,963,000</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Income before cumulative effect of</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2"/>
        </w:trPr>
        <w:tc>
          <w:tcPr>
            <w:tcW w:w="702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a change in accounting principle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4,896,346</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4,730,413</w:t>
            </w:r>
          </w:p>
        </w:tc>
      </w:tr>
      <w:tr>
        <w:trPr>
          <w:trHeight w:val="172"/>
        </w:trPr>
        <w:tc>
          <w:tcPr>
            <w:tcW w:w="702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21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(510,200)</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4,896,346</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4,220,213</w:t>
            </w:r>
          </w:p>
        </w:tc>
      </w:tr>
      <w:tr>
        <w:trPr>
          <w:trHeight w:val="172"/>
        </w:trPr>
        <w:tc>
          <w:tcPr>
            <w:tcW w:w="702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221,949,817</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216,211,676</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226,846,163</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220,431,889</w:t>
            </w:r>
          </w:p>
        </w:tc>
      </w:tr>
      <w:tr>
        <w:trPr>
          <w:trHeight w:val="172"/>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Cash dividends</w:t>
            </w:r>
          </w:p>
        </w:tc>
        <w:tc>
          <w:tcPr>
            <w:tcW w:w="21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(2,817,363)</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(2,889,640)</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02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$224,028,800</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$217,542,249</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88"/>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EARNINGS PER SHARE:</w:t>
            </w:r>
          </w:p>
        </w:tc>
        <w:tc>
          <w:tcPr>
            <w:tcW w:w="2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2"/>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Income before cumulative effect</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2"/>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of a change in accounting principle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 .35</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.33</w:t>
            </w:r>
          </w:p>
        </w:tc>
      </w:tr>
      <w:tr>
        <w:trPr>
          <w:trHeight w:val="344"/>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a change</w:t>
            </w:r>
          </w:p>
        </w:tc>
        <w:tc>
          <w:tcPr>
            <w:tcW w:w="2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2"/>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in accounting principle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SHARE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 .35</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.29</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020" w:type="dxa"/>
            <w:vAlign w:val="bottom"/>
          </w:tcPr>
          <w:p>
            <w:pPr>
              <w:ind w:left="260"/>
              <w:spacing w:after="0"/>
              <w:rPr>
                <w:sz w:val="20"/>
                <w:szCs w:val="20"/>
                <w:color w:val="auto"/>
              </w:rPr>
            </w:pPr>
            <w:r>
              <w:rPr>
                <w:rFonts w:ascii="Courier New" w:cs="Courier New" w:eastAsia="Courier New" w:hAnsi="Courier New"/>
                <w:sz w:val="15"/>
                <w:szCs w:val="15"/>
                <w:color w:val="auto"/>
              </w:rPr>
              <w:t>DIVIDENDS PER SHARE</w:t>
            </w: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 .20</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.20</w:t>
            </w:r>
          </w:p>
        </w:tc>
      </w:tr>
      <w:tr>
        <w:trPr>
          <w:trHeight w:val="172"/>
        </w:trPr>
        <w:tc>
          <w:tcPr>
            <w:tcW w:w="7020" w:type="dxa"/>
            <w:vAlign w:val="bottom"/>
          </w:tcPr>
          <w:p>
            <w:pPr>
              <w:spacing w:after="0"/>
              <w:rPr>
                <w:sz w:val="14"/>
                <w:szCs w:val="14"/>
                <w:color w:val="auto"/>
              </w:rPr>
            </w:pPr>
          </w:p>
        </w:tc>
        <w:tc>
          <w:tcPr>
            <w:tcW w:w="21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5000"/>
        <w:spacing w:after="0"/>
        <w:rPr>
          <w:sz w:val="20"/>
          <w:szCs w:val="20"/>
          <w:color w:val="auto"/>
        </w:rPr>
      </w:pPr>
      <w:r>
        <w:rPr>
          <w:rFonts w:ascii="Courier New" w:cs="Courier New" w:eastAsia="Courier New" w:hAnsi="Courier New"/>
          <w:sz w:val="15"/>
          <w:szCs w:val="15"/>
          <w:color w:val="auto"/>
        </w:rPr>
        <w:t>The accompanying notes are an integral part of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40"/>
        <w:spacing w:after="0"/>
        <w:tabs>
          <w:tab w:leader="none" w:pos="4000" w:val="left"/>
        </w:tabs>
        <w:rPr>
          <w:sz w:val="20"/>
          <w:szCs w:val="20"/>
          <w:color w:val="auto"/>
        </w:rPr>
      </w:pPr>
      <w:r>
        <w:rPr>
          <w:rFonts w:ascii="Courier New" w:cs="Courier New" w:eastAsia="Courier New" w:hAnsi="Courier New"/>
          <w:sz w:val="15"/>
          <w:szCs w:val="15"/>
          <w:color w:val="auto"/>
        </w:rPr>
        <w:t>Page 2 of</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1260"/>
          </w:cols>
          <w:pgMar w:left="240" w:top="289" w:right="39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ind w:left="1420"/>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6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9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FEBRUARY 28, 1995</w:t>
            </w:r>
          </w:p>
        </w:tc>
        <w:tc>
          <w:tcPr>
            <w:tcW w:w="2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NOVEMBER 30, 1994</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2"/>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  40,686,641</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42,314,957</w:t>
            </w:r>
          </w:p>
        </w:tc>
      </w:tr>
      <w:tr>
        <w:trPr>
          <w:trHeight w:val="172"/>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ind w:left="700"/>
              <w:spacing w:after="0"/>
              <w:rPr>
                <w:sz w:val="20"/>
                <w:szCs w:val="20"/>
                <w:color w:val="auto"/>
              </w:rPr>
            </w:pPr>
            <w:r>
              <w:rPr>
                <w:rFonts w:ascii="Courier New" w:cs="Courier New" w:eastAsia="Courier New" w:hAnsi="Courier New"/>
                <w:sz w:val="15"/>
                <w:szCs w:val="15"/>
                <w:color w:val="auto"/>
              </w:rPr>
              <w:t>for doubtful accounts and discounts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70,640,492</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71,936,750</w:t>
            </w:r>
          </w:p>
        </w:tc>
      </w:tr>
      <w:tr>
        <w:trPr>
          <w:trHeight w:val="172"/>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ind w:left="700"/>
              <w:spacing w:after="0"/>
              <w:rPr>
                <w:sz w:val="20"/>
                <w:szCs w:val="20"/>
                <w:color w:val="auto"/>
              </w:rPr>
            </w:pPr>
            <w:r>
              <w:rPr>
                <w:rFonts w:ascii="Courier New" w:cs="Courier New" w:eastAsia="Courier New" w:hAnsi="Courier New"/>
                <w:sz w:val="15"/>
                <w:szCs w:val="15"/>
                <w:color w:val="auto"/>
              </w:rPr>
              <w:t>Finished goods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45,777,938</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45,243,596</w:t>
            </w:r>
          </w:p>
        </w:tc>
      </w:tr>
      <w:tr>
        <w:trPr>
          <w:trHeight w:val="172"/>
        </w:trPr>
        <w:tc>
          <w:tcPr>
            <w:tcW w:w="6340" w:type="dxa"/>
            <w:vAlign w:val="bottom"/>
          </w:tcPr>
          <w:p>
            <w:pPr>
              <w:ind w:left="700"/>
              <w:spacing w:after="0"/>
              <w:rPr>
                <w:sz w:val="20"/>
                <w:szCs w:val="20"/>
                <w:color w:val="auto"/>
              </w:rPr>
            </w:pPr>
            <w:r>
              <w:rPr>
                <w:rFonts w:ascii="Courier New" w:cs="Courier New" w:eastAsia="Courier New" w:hAnsi="Courier New"/>
                <w:sz w:val="15"/>
                <w:szCs w:val="15"/>
                <w:color w:val="auto"/>
              </w:rPr>
              <w:t>Work in process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15,428,111</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15,588,696</w:t>
            </w:r>
          </w:p>
        </w:tc>
      </w:tr>
      <w:tr>
        <w:trPr>
          <w:trHeight w:val="172"/>
        </w:trPr>
        <w:tc>
          <w:tcPr>
            <w:tcW w:w="6340" w:type="dxa"/>
            <w:vAlign w:val="bottom"/>
          </w:tcPr>
          <w:p>
            <w:pPr>
              <w:ind w:left="700"/>
              <w:spacing w:after="0"/>
              <w:rPr>
                <w:sz w:val="20"/>
                <w:szCs w:val="20"/>
                <w:color w:val="auto"/>
              </w:rPr>
            </w:pPr>
            <w:r>
              <w:rPr>
                <w:rFonts w:ascii="Courier New" w:cs="Courier New" w:eastAsia="Courier New" w:hAnsi="Courier New"/>
                <w:sz w:val="15"/>
                <w:szCs w:val="15"/>
                <w:color w:val="auto"/>
              </w:rPr>
              <w:t>Raw materials and supplies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45,884,911</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44,588,519</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107,090,960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105,420,811</w:t>
            </w:r>
          </w:p>
        </w:tc>
      </w:tr>
      <w:tr>
        <w:trPr>
          <w:trHeight w:val="172"/>
        </w:trPr>
        <w:tc>
          <w:tcPr>
            <w:tcW w:w="6340" w:type="dxa"/>
            <w:vAlign w:val="bottom"/>
          </w:tcPr>
          <w:p>
            <w:pPr>
              <w:ind w:left="700"/>
              <w:spacing w:after="0"/>
              <w:rPr>
                <w:sz w:val="20"/>
                <w:szCs w:val="20"/>
                <w:color w:val="auto"/>
              </w:rPr>
            </w:pPr>
            <w:r>
              <w:rPr>
                <w:rFonts w:ascii="Courier New" w:cs="Courier New" w:eastAsia="Courier New" w:hAnsi="Courier New"/>
                <w:sz w:val="15"/>
                <w:szCs w:val="15"/>
                <w:color w:val="auto"/>
              </w:rPr>
              <w:t>Less LIFO adjustment</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25,711,000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25,346,000</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81,379,960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80,074,811</w:t>
            </w:r>
          </w:p>
        </w:tc>
      </w:tr>
      <w:tr>
        <w:trPr>
          <w:trHeight w:val="172"/>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1,176,603</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2,206,736</w:t>
            </w:r>
          </w:p>
        </w:tc>
      </w:tr>
      <w:tr>
        <w:trPr>
          <w:trHeight w:val="172"/>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Prepaid income taxes</w:t>
            </w:r>
          </w:p>
        </w:tc>
        <w:tc>
          <w:tcPr>
            <w:tcW w:w="290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274,675</w:t>
            </w:r>
          </w:p>
        </w:tc>
      </w:tr>
      <w:tr>
        <w:trPr>
          <w:trHeight w:val="172"/>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1,848,000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1,823,000</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195,731,696</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198,630,929</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210,266,134</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207,227,241</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Less allowances for depreciation</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155,070,620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152,673,335</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55,195,514</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54,553,906</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Investment in securities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48,311,595</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43,638,983</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Investment in affiliated companies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35,829,484</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35,080,525</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8,082,555</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8,593,887</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92,223,634</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87,313,395</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$343,150,844</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$340,498,230</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344"/>
        </w:trPr>
        <w:tc>
          <w:tcPr>
            <w:tcW w:w="63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$ 26,694,413</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$ 29,786,395</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4,645,688</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5,215,159</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1,781,513</w:t>
            </w:r>
          </w:p>
        </w:tc>
        <w:tc>
          <w:tcPr>
            <w:tcW w:w="22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33,121,614</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35,001,554</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Deferred liabilities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9,683,855</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9,529,784</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1,632,500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774,000</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11,316,355</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10,303,784</w:t>
            </w:r>
          </w:p>
        </w:tc>
      </w:tr>
      <w:tr>
        <w:trPr>
          <w:trHeight w:val="172"/>
        </w:trPr>
        <w:tc>
          <w:tcPr>
            <w:tcW w:w="6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9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70,434,075</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70,434,075</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224,028,800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221,949,817</w:t>
            </w:r>
          </w:p>
        </w:tc>
      </w:tr>
      <w:tr>
        <w:trPr>
          <w:trHeight w:val="172"/>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Unrealized holding gains, net of tax</w:t>
            </w: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4,250,000</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2,809,000</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298,712,875</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295,192,892</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$343,150,844</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$340,498,230</w:t>
            </w:r>
          </w:p>
        </w:tc>
      </w:tr>
      <w:tr>
        <w:trPr>
          <w:trHeight w:val="172"/>
        </w:trPr>
        <w:tc>
          <w:tcPr>
            <w:tcW w:w="6340" w:type="dxa"/>
            <w:vAlign w:val="bottom"/>
          </w:tcPr>
          <w:p>
            <w:pPr>
              <w:spacing w:after="0"/>
              <w:rPr>
                <w:sz w:val="14"/>
                <w:szCs w:val="14"/>
                <w:color w:val="auto"/>
              </w:rPr>
            </w:pPr>
          </w:p>
        </w:tc>
        <w:tc>
          <w:tcPr>
            <w:tcW w:w="2900" w:type="dxa"/>
            <w:vAlign w:val="bottom"/>
          </w:tcPr>
          <w:p>
            <w:pPr>
              <w:jc w:val="right"/>
              <w:ind w:right="845"/>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5260"/>
        <w:spacing w:after="0"/>
        <w:rPr>
          <w:sz w:val="20"/>
          <w:szCs w:val="20"/>
          <w:color w:val="auto"/>
        </w:rPr>
      </w:pPr>
      <w:r>
        <w:rPr>
          <w:rFonts w:ascii="Courier New" w:cs="Courier New" w:eastAsia="Courier New" w:hAnsi="Courier New"/>
          <w:sz w:val="15"/>
          <w:szCs w:val="15"/>
          <w:color w:val="auto"/>
        </w:rPr>
        <w:t>The accompanying notes are an integral part of the condensed financial statements.</w:t>
      </w:r>
    </w:p>
    <w:p>
      <w:pPr>
        <w:sectPr>
          <w:pgSz w:w="11900" w:h="16838" w:orient="portrait"/>
          <w:cols w:equalWidth="0" w:num="1">
            <w:col w:w="11520"/>
          </w:cols>
          <w:pgMar w:left="240" w:top="28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40"/>
        <w:spacing w:after="0"/>
        <w:tabs>
          <w:tab w:leader="none" w:pos="4000" w:val="left"/>
        </w:tabs>
        <w:rPr>
          <w:sz w:val="20"/>
          <w:szCs w:val="20"/>
          <w:color w:val="auto"/>
        </w:rPr>
      </w:pPr>
      <w:r>
        <w:rPr>
          <w:rFonts w:ascii="Courier New" w:cs="Courier New" w:eastAsia="Courier New" w:hAnsi="Courier New"/>
          <w:sz w:val="15"/>
          <w:szCs w:val="15"/>
          <w:color w:val="auto"/>
        </w:rPr>
        <w:t>Page 3 of</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1520"/>
          </w:cols>
          <w:pgMar w:left="240" w:top="289" w:right="139" w:bottom="1440" w:gutter="0" w:footer="0" w:header="0"/>
          <w:type w:val="continuous"/>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25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2"/>
        </w:trPr>
        <w:tc>
          <w:tcPr>
            <w:tcW w:w="6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CONDENSED CONSOLIDATED STATEMENT OF CASH FLOWS - UNAUDITED</w:t>
            </w:r>
          </w:p>
        </w:tc>
        <w:tc>
          <w:tcPr>
            <w:tcW w:w="25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860"/>
        </w:trPr>
        <w:tc>
          <w:tcPr>
            <w:tcW w:w="6740" w:type="dxa"/>
            <w:vAlign w:val="bottom"/>
          </w:tcPr>
          <w:p>
            <w:pPr>
              <w:spacing w:after="0"/>
              <w:rPr>
                <w:sz w:val="24"/>
                <w:szCs w:val="24"/>
                <w:color w:val="auto"/>
              </w:rPr>
            </w:pPr>
          </w:p>
        </w:tc>
        <w:tc>
          <w:tcPr>
            <w:tcW w:w="45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THREE MONTHS ENDED FEBRUARY 28,</w:t>
            </w:r>
          </w:p>
        </w:tc>
      </w:tr>
      <w:tr>
        <w:trPr>
          <w:trHeight w:val="172"/>
        </w:trPr>
        <w:tc>
          <w:tcPr>
            <w:tcW w:w="6740" w:type="dxa"/>
            <w:vAlign w:val="bottom"/>
          </w:tcPr>
          <w:p>
            <w:pPr>
              <w:spacing w:after="0"/>
              <w:rPr>
                <w:sz w:val="14"/>
                <w:szCs w:val="14"/>
                <w:color w:val="auto"/>
              </w:rPr>
            </w:pPr>
          </w:p>
        </w:tc>
        <w:tc>
          <w:tcPr>
            <w:tcW w:w="45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14"/>
                <w:szCs w:val="14"/>
                <w:color w:val="auto"/>
              </w:rPr>
            </w:pPr>
          </w:p>
        </w:tc>
        <w:tc>
          <w:tcPr>
            <w:tcW w:w="256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1995</w:t>
            </w:r>
          </w:p>
        </w:tc>
        <w:tc>
          <w:tcPr>
            <w:tcW w:w="1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6740" w:type="dxa"/>
            <w:vAlign w:val="bottom"/>
          </w:tcPr>
          <w:p>
            <w:pPr>
              <w:spacing w:after="0"/>
              <w:rPr>
                <w:sz w:val="14"/>
                <w:szCs w:val="14"/>
                <w:color w:val="auto"/>
              </w:rPr>
            </w:pPr>
          </w:p>
        </w:tc>
        <w:tc>
          <w:tcPr>
            <w:tcW w:w="256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$5,874,788</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$5,209,879</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5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Changes (net) in  investment securities</w:t>
            </w:r>
          </w:p>
        </w:tc>
        <w:tc>
          <w:tcPr>
            <w:tcW w:w="2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(2,378,258)</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(1,718,687)</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2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(3,038,893)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(2,451,953)</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40,000</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6,500</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Dividend from affiliated company</w:t>
            </w: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272,376</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272,376</w:t>
            </w: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419,034</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277,856</w:t>
            </w:r>
          </w:p>
        </w:tc>
      </w:tr>
      <w:tr>
        <w:trPr>
          <w:trHeight w:val="172"/>
        </w:trPr>
        <w:tc>
          <w:tcPr>
            <w:tcW w:w="6740" w:type="dxa"/>
            <w:vAlign w:val="bottom"/>
          </w:tcPr>
          <w:p>
            <w:pPr>
              <w:spacing w:after="0"/>
              <w:rPr>
                <w:sz w:val="14"/>
                <w:szCs w:val="14"/>
                <w:color w:val="auto"/>
              </w:rPr>
            </w:pP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14"/>
                <w:szCs w:val="14"/>
                <w:color w:val="auto"/>
              </w:rPr>
            </w:pPr>
          </w:p>
        </w:tc>
        <w:tc>
          <w:tcPr>
            <w:tcW w:w="2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(4,685,741)</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(3,613,908)</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5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2"/>
        </w:trPr>
        <w:tc>
          <w:tcPr>
            <w:tcW w:w="6740" w:type="dxa"/>
            <w:vAlign w:val="bottom"/>
          </w:tcPr>
          <w:p>
            <w:pPr>
              <w:ind w:left="260"/>
              <w:spacing w:after="0"/>
              <w:rPr>
                <w:sz w:val="20"/>
                <w:szCs w:val="20"/>
                <w:color w:val="auto"/>
              </w:rPr>
            </w:pPr>
            <w:r>
              <w:rPr>
                <w:rFonts w:ascii="Courier New" w:cs="Courier New" w:eastAsia="Courier New" w:hAnsi="Courier New"/>
                <w:sz w:val="15"/>
                <w:szCs w:val="15"/>
                <w:color w:val="auto"/>
              </w:rPr>
              <w:t>Cash dividends</w:t>
            </w:r>
          </w:p>
        </w:tc>
        <w:tc>
          <w:tcPr>
            <w:tcW w:w="2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(2,817,363)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(2,889,640)</w:t>
            </w:r>
          </w:p>
        </w:tc>
      </w:tr>
      <w:tr>
        <w:trPr>
          <w:trHeight w:val="172"/>
        </w:trPr>
        <w:tc>
          <w:tcPr>
            <w:tcW w:w="6740" w:type="dxa"/>
            <w:vAlign w:val="bottom"/>
          </w:tcPr>
          <w:p>
            <w:pPr>
              <w:spacing w:after="0"/>
              <w:rPr>
                <w:sz w:val="14"/>
                <w:szCs w:val="14"/>
                <w:color w:val="auto"/>
              </w:rPr>
            </w:pP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5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(1,628,316)</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(1,293,669)</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42,314,957</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52,957,556</w:t>
            </w:r>
          </w:p>
        </w:tc>
      </w:tr>
      <w:tr>
        <w:trPr>
          <w:trHeight w:val="172"/>
        </w:trPr>
        <w:tc>
          <w:tcPr>
            <w:tcW w:w="6740" w:type="dxa"/>
            <w:vAlign w:val="bottom"/>
          </w:tcPr>
          <w:p>
            <w:pPr>
              <w:spacing w:after="0"/>
              <w:rPr>
                <w:sz w:val="14"/>
                <w:szCs w:val="14"/>
                <w:color w:val="auto"/>
              </w:rPr>
            </w:pP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$40,686,641</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$51,663,887</w:t>
            </w:r>
          </w:p>
        </w:tc>
      </w:tr>
      <w:tr>
        <w:trPr>
          <w:trHeight w:val="172"/>
        </w:trPr>
        <w:tc>
          <w:tcPr>
            <w:tcW w:w="6740" w:type="dxa"/>
            <w:vAlign w:val="bottom"/>
          </w:tcPr>
          <w:p>
            <w:pPr>
              <w:spacing w:after="0"/>
              <w:rPr>
                <w:sz w:val="14"/>
                <w:szCs w:val="14"/>
                <w:color w:val="auto"/>
              </w:rPr>
            </w:pPr>
          </w:p>
        </w:tc>
        <w:tc>
          <w:tcPr>
            <w:tcW w:w="2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176" w:lineRule="exact"/>
        <w:rPr>
          <w:sz w:val="20"/>
          <w:szCs w:val="20"/>
          <w:color w:val="auto"/>
        </w:rPr>
      </w:pPr>
    </w:p>
    <w:p>
      <w:pPr>
        <w:ind w:left="808" w:right="4480" w:hanging="808"/>
        <w:spacing w:after="0" w:line="241"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amounts are based on 14,086,815 and 14,448,201 weighted average number of shares outstanding at February 28, 1995 and 1994, respectively.</w:t>
      </w:r>
    </w:p>
    <w:p>
      <w:pPr>
        <w:spacing w:after="0" w:line="176" w:lineRule="exact"/>
        <w:rPr>
          <w:rFonts w:ascii="Courier New" w:cs="Courier New" w:eastAsia="Courier New" w:hAnsi="Courier New"/>
          <w:sz w:val="15"/>
          <w:szCs w:val="15"/>
          <w:color w:val="auto"/>
        </w:rPr>
      </w:pPr>
    </w:p>
    <w:p>
      <w:pPr>
        <w:ind w:left="808" w:right="4200" w:hanging="808"/>
        <w:spacing w:after="0" w:line="263" w:lineRule="auto"/>
        <w:tabs>
          <w:tab w:leader="none" w:pos="80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1993, the Company adopted the provisions of FASB Statement No. 109 and reported the cumulative effect of the change in the method of accounting for income taxes in the financial statements for 1994 in the amount of $510,200. The principal cause of this adjustment was due to the basis difference of an acquisition made in prior years which was accounted for as a purchase transaction.</w:t>
      </w:r>
    </w:p>
    <w:p>
      <w:pPr>
        <w:spacing w:after="0" w:line="161" w:lineRule="exact"/>
        <w:rPr>
          <w:rFonts w:ascii="Courier New" w:cs="Courier New" w:eastAsia="Courier New" w:hAnsi="Courier New"/>
          <w:sz w:val="14"/>
          <w:szCs w:val="14"/>
          <w:color w:val="auto"/>
        </w:rPr>
      </w:pPr>
    </w:p>
    <w:p>
      <w:pPr>
        <w:ind w:left="808" w:right="4200" w:hanging="808"/>
        <w:spacing w:after="0" w:line="242" w:lineRule="auto"/>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 1993, the Company adopted the provisions of FASB Statement No. 115 "Accounting for Certain Investments in Debt and Equity Securities" and initially reported the effects thereof in the 1994 financial statements. Under Statement No. 115 the Company classifies its investment in securities as available-for-sale, which is reported at fair value. Unrealized holding gains and losses (net of tax effect) are reported as a separate component of stockholders' equity. The fair value and cost of the investment in securities was $48.3 million and $41.5 million at February 28, 1995, respectively.</w:t>
      </w:r>
    </w:p>
    <w:p>
      <w:pPr>
        <w:spacing w:after="0" w:line="348" w:lineRule="exact"/>
        <w:rPr>
          <w:sz w:val="20"/>
          <w:szCs w:val="20"/>
          <w:color w:val="auto"/>
        </w:rPr>
      </w:pPr>
    </w:p>
    <w:p>
      <w:pPr>
        <w:ind w:left="3048"/>
        <w:spacing w:after="0"/>
        <w:tabs>
          <w:tab w:leader="none" w:pos="4008" w:val="left"/>
        </w:tabs>
        <w:rPr>
          <w:sz w:val="20"/>
          <w:szCs w:val="20"/>
          <w:color w:val="auto"/>
        </w:rPr>
      </w:pPr>
      <w:r>
        <w:rPr>
          <w:rFonts w:ascii="Courier New" w:cs="Courier New" w:eastAsia="Courier New" w:hAnsi="Courier New"/>
          <w:sz w:val="15"/>
          <w:szCs w:val="15"/>
          <w:color w:val="auto"/>
        </w:rPr>
        <w:t>Page 4 of</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1268"/>
          </w:cols>
          <w:pgMar w:left="232" w:top="289" w:right="39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Major components of net income expressed as a percentage of net sales are reflected below:</w:t>
      </w:r>
    </w:p>
    <w:p>
      <w:pPr>
        <w:spacing w:after="0" w:line="200" w:lineRule="exact"/>
        <w:rPr>
          <w:sz w:val="20"/>
          <w:szCs w:val="20"/>
          <w:color w:val="auto"/>
        </w:rPr>
      </w:pPr>
    </w:p>
    <w:p>
      <w:pPr>
        <w:spacing w:after="0" w:line="318"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Three Months Ended February 28</w:t>
            </w:r>
          </w:p>
        </w:tc>
      </w:tr>
      <w:tr>
        <w:trPr>
          <w:trHeight w:val="172"/>
        </w:trPr>
        <w:tc>
          <w:tcPr>
            <w:tcW w:w="2720" w:type="dxa"/>
            <w:vAlign w:val="bottom"/>
          </w:tcPr>
          <w:p>
            <w:pPr>
              <w:spacing w:after="0"/>
              <w:rPr>
                <w:sz w:val="14"/>
                <w:szCs w:val="14"/>
                <w:color w:val="auto"/>
              </w:rPr>
            </w:pPr>
          </w:p>
        </w:tc>
        <w:tc>
          <w:tcPr>
            <w:tcW w:w="3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1995</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720" w:type="dxa"/>
            <w:vAlign w:val="bottom"/>
          </w:tcPr>
          <w:p>
            <w:pPr>
              <w:spacing w:after="0"/>
              <w:rPr>
                <w:sz w:val="14"/>
                <w:szCs w:val="14"/>
                <w:color w:val="auto"/>
              </w:rPr>
            </w:pP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83.31%</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83.70%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SG&amp;A expenses</w:t>
            </w: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12.96</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12.71</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3.73</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1.87</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5.60</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1.64</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3.96</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Net sales increased less than 2% in the first quarter from 1994 to 1995. There were no significant changes in any Division between the two periods.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sales as a percentage of net sales improved from 83.70% in 1994 to</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83.31% in 1995. There were no significant changes in any Division between the two periods.</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Selling, general and administrative expenses as a percentage of net sales increased to 12.96% in 1995 from 12.71% in 1994. There were no significant changes in any Division between the two periods.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sources of other income are reflected below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February 28</w:t>
            </w:r>
          </w:p>
        </w:tc>
      </w:tr>
      <w:tr>
        <w:trPr>
          <w:trHeight w:val="172"/>
        </w:trPr>
        <w:tc>
          <w:tcPr>
            <w:tcW w:w="462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20" w:type="dxa"/>
            <w:vAlign w:val="bottom"/>
          </w:tcPr>
          <w:p>
            <w:pPr>
              <w:spacing w:after="0"/>
              <w:rPr>
                <w:sz w:val="14"/>
                <w:szCs w:val="14"/>
                <w:color w:val="auto"/>
              </w:rPr>
            </w:pPr>
          </w:p>
        </w:tc>
        <w:tc>
          <w:tcPr>
            <w:tcW w:w="17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620" w:type="dxa"/>
            <w:vAlign w:val="bottom"/>
          </w:tcPr>
          <w:p>
            <w:pPr>
              <w:spacing w:after="0"/>
              <w:rPr>
                <w:sz w:val="14"/>
                <w:szCs w:val="14"/>
                <w:color w:val="auto"/>
              </w:rPr>
            </w:pPr>
          </w:p>
        </w:tc>
        <w:tc>
          <w:tcPr>
            <w:tcW w:w="17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620" w:type="dxa"/>
            <w:vAlign w:val="bottom"/>
          </w:tcPr>
          <w:p>
            <w:pPr>
              <w:spacing w:after="0"/>
              <w:rPr>
                <w:sz w:val="20"/>
                <w:szCs w:val="20"/>
                <w:color w:val="auto"/>
              </w:rPr>
            </w:pPr>
            <w:r>
              <w:rPr>
                <w:rFonts w:ascii="Courier New" w:cs="Courier New" w:eastAsia="Courier New" w:hAnsi="Courier New"/>
                <w:sz w:val="15"/>
                <w:szCs w:val="15"/>
                <w:color w:val="auto"/>
              </w:rPr>
              <w:t>Equity in unremitted income of affiliated cos.</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$1,021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$953</w:t>
            </w:r>
          </w:p>
        </w:tc>
      </w:tr>
      <w:tr>
        <w:trPr>
          <w:trHeight w:val="172"/>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Interest (tax exempt)</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550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w:t>
            </w:r>
          </w:p>
        </w:tc>
      </w:tr>
      <w:tr>
        <w:trPr>
          <w:trHeight w:val="172"/>
        </w:trPr>
        <w:tc>
          <w:tcPr>
            <w:tcW w:w="462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543</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543</w:t>
            </w:r>
          </w:p>
        </w:tc>
      </w:tr>
      <w:tr>
        <w:trPr>
          <w:trHeight w:val="172"/>
        </w:trPr>
        <w:tc>
          <w:tcPr>
            <w:tcW w:w="46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w:t>
            </w:r>
          </w:p>
        </w:tc>
      </w:tr>
      <w:tr>
        <w:trPr>
          <w:trHeight w:val="172"/>
        </w:trPr>
        <w:tc>
          <w:tcPr>
            <w:tcW w:w="4620" w:type="dxa"/>
            <w:vAlign w:val="bottom"/>
          </w:tcPr>
          <w:p>
            <w:pPr>
              <w:spacing w:after="0"/>
              <w:rPr>
                <w:sz w:val="14"/>
                <w:szCs w:val="14"/>
                <w:color w:val="auto"/>
              </w:rPr>
            </w:pP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20" w:type="dxa"/>
            <w:vAlign w:val="bottom"/>
          </w:tcPr>
          <w:p>
            <w:pPr>
              <w:spacing w:after="0"/>
              <w:rPr>
                <w:sz w:val="14"/>
                <w:szCs w:val="14"/>
                <w:color w:val="auto"/>
              </w:rPr>
            </w:pP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$2,313</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$2,327</w:t>
            </w:r>
          </w:p>
        </w:tc>
      </w:tr>
      <w:tr>
        <w:trPr>
          <w:trHeight w:val="172"/>
        </w:trPr>
        <w:tc>
          <w:tcPr>
            <w:tcW w:w="4620" w:type="dxa"/>
            <w:vAlign w:val="bottom"/>
          </w:tcPr>
          <w:p>
            <w:pPr>
              <w:spacing w:after="0"/>
              <w:rPr>
                <w:sz w:val="14"/>
                <w:szCs w:val="14"/>
                <w:color w:val="auto"/>
              </w:rPr>
            </w:pP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The effective income tax rate remained approximately the same in the two periods: 29.23% in 1995 and 29.33% in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current ratio was 5.9 to 1 at February 28, 1995, 5.7 to 1 at November 30, 1994 and 5.8 to 1 at February 28, 1994. Working capital has remained relatively unchanged in the past year: $168 million (February 28, 1994); $169 million (May 31, 1994); $163 million (August 31, 1994); $164 million (November 30, 1994); and $163 million (February 28, 1995). Cash provided by operations increased to $5.9 million in the 1995 first quarter from $5.2 million in 1994. Cash provided by operating activities is expected to be adequate for normal future cash requirements. There were no significant commitments for capital expenditures at February 28, 1995. Capital expenditures that will be made in the future for normal requirements are anticipated to be made from funds generated by operating activities.</w:t>
      </w:r>
    </w:p>
    <w:p>
      <w:pPr>
        <w:spacing w:after="0" w:line="178" w:lineRule="exact"/>
        <w:rPr>
          <w:sz w:val="20"/>
          <w:szCs w:val="20"/>
          <w:color w:val="auto"/>
        </w:rPr>
      </w:pPr>
    </w:p>
    <w:p>
      <w:pPr>
        <w:ind w:left="3040"/>
        <w:spacing w:after="0"/>
        <w:tabs>
          <w:tab w:leader="none" w:pos="4000" w:val="left"/>
        </w:tabs>
        <w:rPr>
          <w:sz w:val="20"/>
          <w:szCs w:val="20"/>
          <w:color w:val="auto"/>
        </w:rPr>
      </w:pPr>
      <w:r>
        <w:rPr>
          <w:rFonts w:ascii="Courier New" w:cs="Courier New" w:eastAsia="Courier New" w:hAnsi="Courier New"/>
          <w:sz w:val="15"/>
          <w:szCs w:val="15"/>
          <w:color w:val="auto"/>
        </w:rPr>
        <w:t>Page 5 of</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0219"/>
          </w:cols>
          <w:pgMar w:left="240" w:top="289" w:right="1440" w:bottom="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 II - OTHER INFORMATION</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6"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ind w:left="348"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2" w:lineRule="exact"/>
        <w:rPr>
          <w:rFonts w:ascii="Courier New" w:cs="Courier New" w:eastAsia="Courier New" w:hAnsi="Courier New"/>
          <w:sz w:val="15"/>
          <w:szCs w:val="15"/>
          <w:color w:val="auto"/>
        </w:rPr>
      </w:pPr>
    </w:p>
    <w:p>
      <w:pPr>
        <w:ind w:left="808" w:hanging="450"/>
        <w:spacing w:after="0"/>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46"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left="8"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ROBERT H. SPILMAN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Robert H. Spilman, Chairman of the Board and Chief Executive Officer</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104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4-4-95</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PHILIP E. BOOKER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Philip E. Booker, Vice President, Controller (Chief Accounting Officer)</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104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4-4-95</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048"/>
        <w:spacing w:after="0"/>
        <w:tabs>
          <w:tab w:leader="none" w:pos="4008" w:val="left"/>
        </w:tabs>
        <w:rPr>
          <w:sz w:val="20"/>
          <w:szCs w:val="20"/>
          <w:color w:val="auto"/>
        </w:rPr>
      </w:pPr>
      <w:r>
        <w:rPr>
          <w:rFonts w:ascii="Courier New" w:cs="Courier New" w:eastAsia="Courier New" w:hAnsi="Courier New"/>
          <w:sz w:val="15"/>
          <w:szCs w:val="15"/>
          <w:color w:val="auto"/>
        </w:rPr>
        <w:t>Page 6 of</w:t>
      </w:r>
      <w:r>
        <w:rPr>
          <w:sz w:val="20"/>
          <w:szCs w:val="20"/>
          <w:color w:val="auto"/>
        </w:rPr>
        <w:tab/>
      </w:r>
      <w:r>
        <w:rPr>
          <w:rFonts w:ascii="Courier New" w:cs="Courier New" w:eastAsia="Courier New" w:hAnsi="Courier New"/>
          <w:sz w:val="13"/>
          <w:szCs w:val="13"/>
          <w:color w:val="auto"/>
        </w:rPr>
        <w:t>8</w:t>
      </w:r>
    </w:p>
    <w:p>
      <w:pPr>
        <w:sectPr>
          <w:pgSz w:w="11900" w:h="16838" w:orient="portrait"/>
          <w:cols w:equalWidth="0" w:num="1">
            <w:col w:w="10227"/>
          </w:cols>
          <w:pgMar w:left="232" w:top="28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7</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2"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10460"/>
          </w:cols>
          <w:pgMar w:left="500" w:top="289"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For the quarter ended</w:t>
      </w:r>
    </w:p>
    <w:p>
      <w:pPr>
        <w:spacing w:after="0" w:line="1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February 28,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3940" w:space="720"/>
            <w:col w:w="5800"/>
          </w:cols>
          <w:pgMar w:left="500" w:top="289" w:right="939" w:bottom="1440" w:gutter="0" w:footer="0" w:header="0"/>
          <w:type w:val="continuous"/>
        </w:sectPr>
      </w:pPr>
    </w:p>
    <w:p>
      <w:pPr>
        <w:spacing w:after="0" w:line="148"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4"/>
          <w:szCs w:val="14"/>
          <w:color w:val="auto"/>
        </w:rPr>
        <w:t>BASSETT FURNITURE INDUSTRIES, INCORPORATED</w:t>
      </w:r>
    </w:p>
    <w:p>
      <w:pPr>
        <w:spacing w:after="0" w:line="12"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460"/>
          </w:cols>
          <w:pgMar w:left="500" w:top="289"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Exhibit No.</w:t>
      </w:r>
    </w:p>
    <w:p>
      <w:pPr>
        <w:spacing w:after="0" w:line="1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3400" w:space="720"/>
            <w:col w:w="4900" w:space="720"/>
            <w:col w:w="720"/>
          </w:cols>
          <w:pgMar w:left="500" w:top="289" w:right="939" w:bottom="1440" w:gutter="0" w:footer="0" w:header="0"/>
          <w:type w:val="continuous"/>
        </w:sectPr>
      </w:pPr>
    </w:p>
    <w:p>
      <w:pPr>
        <w:ind w:left="90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- 8</w:t>
      </w:r>
    </w:p>
    <w:p>
      <w:pPr>
        <w:spacing w:after="0" w:line="209" w:lineRule="exact"/>
        <w:rPr>
          <w:sz w:val="20"/>
          <w:szCs w:val="20"/>
          <w:color w:val="auto"/>
        </w:rPr>
      </w:pPr>
    </w:p>
    <w:p>
      <w:pPr>
        <w:sectPr>
          <w:pgSz w:w="11900" w:h="16838" w:orient="portrait"/>
          <w:cols w:equalWidth="0" w:num="3">
            <w:col w:w="3400" w:space="720"/>
            <w:col w:w="4740" w:space="720"/>
            <w:col w:w="880"/>
          </w:cols>
          <w:pgMar w:left="500" w:top="289" w:right="9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Page 7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2">
            <w:col w:w="3580" w:space="180"/>
            <w:col w:w="6700"/>
          </w:cols>
          <w:pgMar w:left="500" w:top="289" w:right="939" w:bottom="1440" w:gutter="0" w:footer="0" w:header="0"/>
          <w:type w:val="continuous"/>
        </w:sectPr>
      </w:pPr>
    </w:p>
    <w:bookmarkStart w:id="7" w:name="page8"/>
    <w:bookmarkEnd w:id="7"/>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 5 FDS 1st Qtr 10Q</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3-MOS</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NOV-30-1995</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DEC-01-1994</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FEB-28-1995</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40,687</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48,312</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70,640</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81,380</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195,732</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210,266</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155,071</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343,151</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33,122</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70,434</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228,279</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343,151</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123,551</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125,864</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102,929</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118,945</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159</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6,919</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2,023</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4,896</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4,896</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.35</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99"/>
      </w:cols>
      <w:pgMar w:left="26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lowerLetter"/>
      <w:start w:val="1"/>
    </w:lvl>
    <w:lvl w:ilvl="1">
      <w:lvlJc w:val="left"/>
      <w:lvlText w:val="(%2)"/>
      <w:numFmt w:val="decimal"/>
      <w:start w:val="2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2019-12-20T04:53:40Z</dcterms:created>
  <dcterms:modified xsi:type="dcterms:W3CDTF">2019-12-20T04:53:40Z</dcterms:modified>
</cp:coreProperties>
</file>