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20" w:lineRule="exact"/>
        <w:rPr>
          <w:sz w:val="24"/>
          <w:szCs w:val="24"/>
          <w:color w:val="auto"/>
        </w:rPr>
      </w:pPr>
    </w:p>
    <w:p>
      <w:pPr>
        <w:ind w:left="3380" w:right="2260" w:hanging="1104"/>
        <w:spacing w:after="0" w:line="262" w:lineRule="auto"/>
        <w:tabs>
          <w:tab w:leader="none" w:pos="251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August 30, 2025</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OR</w:t>
      </w:r>
    </w:p>
    <w:p>
      <w:pPr>
        <w:spacing w:after="0" w:line="216" w:lineRule="exact"/>
        <w:rPr>
          <w:sz w:val="24"/>
          <w:szCs w:val="24"/>
          <w:color w:val="auto"/>
        </w:rPr>
      </w:pPr>
    </w:p>
    <w:p>
      <w:pPr>
        <w:ind w:left="3380" w:right="2260" w:hanging="1112"/>
        <w:spacing w:after="0" w:line="262" w:lineRule="auto"/>
        <w:tabs>
          <w:tab w:leader="none" w:pos="250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000-00209</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BASSETT FURNITURE INDUSTRIES, INCORPORATED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3" w:lineRule="exact"/>
        <w:rPr>
          <w:sz w:val="24"/>
          <w:szCs w:val="24"/>
          <w:color w:val="auto"/>
        </w:rPr>
      </w:pPr>
    </w:p>
    <w:tbl>
      <w:tblPr>
        <w:tblLayout w:type="fixed"/>
        <w:tblInd w:w="1640" w:type="dxa"/>
        <w:tblCellMar>
          <w:top w:w="0" w:type="dxa"/>
          <w:left w:w="0" w:type="dxa"/>
          <w:bottom w:w="0" w:type="dxa"/>
          <w:right w:w="0" w:type="dxa"/>
        </w:tblCellMar>
      </w:tblPr>
      <w:tr>
        <w:trPr>
          <w:trHeight w:val="253"/>
        </w:trPr>
        <w:tc>
          <w:tcPr>
            <w:tcW w:w="40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Virginia</w:t>
            </w:r>
          </w:p>
        </w:tc>
        <w:tc>
          <w:tcPr>
            <w:tcW w:w="500" w:type="dxa"/>
            <w:vAlign w:val="bottom"/>
          </w:tcPr>
          <w:p>
            <w:pPr>
              <w:spacing w:after="0"/>
              <w:rPr>
                <w:sz w:val="22"/>
                <w:szCs w:val="22"/>
                <w:color w:val="auto"/>
              </w:rPr>
            </w:pPr>
          </w:p>
        </w:tc>
        <w:tc>
          <w:tcPr>
            <w:tcW w:w="3540" w:type="dxa"/>
            <w:vAlign w:val="bottom"/>
            <w:gridSpan w:val="3"/>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54-0135270</w:t>
            </w:r>
          </w:p>
        </w:tc>
      </w:tr>
      <w:tr>
        <w:trPr>
          <w:trHeight w:val="218"/>
        </w:trPr>
        <w:tc>
          <w:tcPr>
            <w:tcW w:w="2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20" w:type="dxa"/>
            <w:vAlign w:val="bottom"/>
            <w:gridSpan w:val="4"/>
          </w:tcPr>
          <w:p>
            <w:pPr>
              <w:jc w:val="center"/>
              <w:ind w:right="1964"/>
              <w:spacing w:after="0"/>
              <w:rPr>
                <w:sz w:val="20"/>
                <w:szCs w:val="20"/>
                <w:color w:val="auto"/>
              </w:rPr>
            </w:pPr>
            <w:r>
              <w:rPr>
                <w:rFonts w:ascii="Times New Roman" w:cs="Times New Roman" w:eastAsia="Times New Roman" w:hAnsi="Times New Roman"/>
                <w:sz w:val="22"/>
                <w:szCs w:val="22"/>
                <w:color w:val="auto"/>
                <w:w w:val="98"/>
              </w:rPr>
              <w:t>3525 Fairystone Park Highway</w:t>
            </w:r>
          </w:p>
        </w:tc>
      </w:tr>
      <w:tr>
        <w:trPr>
          <w:trHeight w:val="230"/>
        </w:trPr>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2"/>
                <w:szCs w:val="22"/>
                <w:color w:val="auto"/>
                <w:w w:val="97"/>
              </w:rPr>
              <w:t>Bassett, Virginia 24055</w:t>
            </w:r>
          </w:p>
        </w:tc>
        <w:tc>
          <w:tcPr>
            <w:tcW w:w="2580" w:type="dxa"/>
            <w:vAlign w:val="bottom"/>
            <w:gridSpan w:val="2"/>
          </w:tcPr>
          <w:p>
            <w:pPr>
              <w:spacing w:after="0"/>
              <w:rPr>
                <w:sz w:val="19"/>
                <w:szCs w:val="19"/>
                <w:color w:val="auto"/>
              </w:rPr>
            </w:pPr>
          </w:p>
        </w:tc>
      </w:tr>
      <w:tr>
        <w:trPr>
          <w:trHeight w:val="218"/>
        </w:trPr>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20" w:type="dxa"/>
            <w:vAlign w:val="bottom"/>
            <w:gridSpan w:val="4"/>
          </w:tcPr>
          <w:p>
            <w:pPr>
              <w:jc w:val="center"/>
              <w:ind w:right="1964"/>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4"/>
        </w:trPr>
        <w:tc>
          <w:tcPr>
            <w:tcW w:w="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20" w:type="dxa"/>
            <w:vAlign w:val="bottom"/>
            <w:gridSpan w:val="3"/>
          </w:tcPr>
          <w:p>
            <w:pPr>
              <w:jc w:val="center"/>
              <w:ind w:right="2484"/>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(276) 629-6000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8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8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October 2, 2025 8,685,710 shares of common stock of the Registrant were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right="138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Financial Statements as of August 30, 2025 (unaudited) and November 30, 2024 and for the three and nine months ended August 30, 2025 (unaudited) and August 31,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shd w:val="clear" w:color="auto" w:fill="CCEEFF"/>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5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4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1.</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Use of Proceeds and Issuer Purchases of Equity Securities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5.</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6.</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24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240" w:type="dxa"/>
            <w:vAlign w:val="bottom"/>
          </w:tcPr>
          <w:p>
            <w:pPr>
              <w:spacing w:after="0"/>
              <w:rPr>
                <w:sz w:val="24"/>
                <w:szCs w:val="24"/>
                <w:color w:val="auto"/>
              </w:rPr>
            </w:pPr>
          </w:p>
        </w:tc>
        <w:tc>
          <w:tcPr>
            <w:tcW w:w="854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2 of 34</w:t>
            </w:r>
          </w:p>
        </w:tc>
        <w:tc>
          <w:tcPr>
            <w:tcW w:w="246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55"/>
        </w:trPr>
        <w:tc>
          <w:tcPr>
            <w:tcW w:w="2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8"/>
              </w:rPr>
              <w:t>ITEM 1. FINANCIAL STATEMENTS</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40" w:type="dxa"/>
            <w:vAlign w:val="bottom"/>
            <w:gridSpan w:val="16"/>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9"/>
              </w:rPr>
              <w:t>BASSETT FURNITURE INDUSTRIES, INCORPORATED AND SUBSIDIARIES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100" w:type="dxa"/>
            <w:vAlign w:val="bottom"/>
            <w:tcBorders>
              <w:top w:val="single" w:sz="8" w:color="auto"/>
              <w:bottom w:val="single" w:sz="8" w:color="auto"/>
            </w:tcBorders>
            <w:gridSpan w:val="9"/>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CONDENSED CONSOLIDATED STATEMENTS OF OPERATIONS</w:t>
            </w:r>
          </w:p>
        </w:tc>
        <w:tc>
          <w:tcPr>
            <w:tcW w:w="280" w:type="dxa"/>
            <w:vAlign w:val="bottom"/>
            <w:tcBorders>
              <w:top w:val="single" w:sz="8" w:color="auto"/>
            </w:tcBorders>
            <w:gridSpan w:val="2"/>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6780" w:type="dxa"/>
            <w:vAlign w:val="bottom"/>
            <w:gridSpan w:val="17"/>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FOR THE PERIODS ENDED AUGUST 30, 2025 AND AUGUST 31, 2024 – UNAUDITED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2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00" w:type="dxa"/>
            <w:vAlign w:val="bottom"/>
            <w:gridSpan w:val="2"/>
          </w:tcPr>
          <w:p>
            <w:pPr>
              <w:spacing w:after="0"/>
              <w:rPr>
                <w:sz w:val="24"/>
                <w:szCs w:val="24"/>
                <w:color w:val="auto"/>
              </w:rPr>
            </w:pPr>
          </w:p>
        </w:tc>
      </w:tr>
      <w:tr>
        <w:trPr>
          <w:trHeight w:val="439"/>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60" w:type="dxa"/>
            <w:vAlign w:val="bottom"/>
          </w:tcPr>
          <w:p>
            <w:pPr>
              <w:spacing w:after="0"/>
              <w:rPr>
                <w:sz w:val="24"/>
                <w:szCs w:val="24"/>
                <w:color w:val="auto"/>
              </w:rPr>
            </w:pP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r>
      <w:tr>
        <w:trPr>
          <w:trHeight w:val="210"/>
        </w:trPr>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7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80,103</w:t>
            </w: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75,619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246,613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245,583</w:t>
            </w:r>
          </w:p>
        </w:tc>
        <w:tc>
          <w:tcPr>
            <w:tcW w:w="80" w:type="dxa"/>
            <w:vAlign w:val="bottom"/>
            <w:shd w:val="clear" w:color="auto" w:fill="CCEEFF"/>
          </w:tcPr>
          <w:p>
            <w:pPr>
              <w:spacing w:after="0"/>
              <w:rPr>
                <w:sz w:val="18"/>
                <w:szCs w:val="18"/>
                <w:color w:val="auto"/>
              </w:rPr>
            </w:pPr>
          </w:p>
        </w:tc>
      </w:tr>
      <w:tr>
        <w:trPr>
          <w:trHeight w:val="229"/>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35,109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35,526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107,880</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113,863</w:t>
            </w:r>
          </w:p>
        </w:tc>
        <w:tc>
          <w:tcPr>
            <w:tcW w:w="80" w:type="dxa"/>
            <w:vAlign w:val="bottom"/>
          </w:tcPr>
          <w:p>
            <w:pPr>
              <w:spacing w:after="0"/>
              <w:rPr>
                <w:sz w:val="19"/>
                <w:szCs w:val="19"/>
                <w:color w:val="auto"/>
              </w:rPr>
            </w:pPr>
          </w:p>
        </w:tc>
      </w:tr>
      <w:tr>
        <w:trPr>
          <w:trHeight w:val="209"/>
        </w:trPr>
        <w:tc>
          <w:tcPr>
            <w:tcW w:w="4220" w:type="dxa"/>
            <w:vAlign w:val="bottom"/>
            <w:tcBorders>
              <w:top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44,994</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138,733</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133,188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142,141</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8"/>
                <w:szCs w:val="18"/>
                <w:color w:val="auto"/>
              </w:rPr>
            </w:pPr>
          </w:p>
        </w:tc>
      </w:tr>
      <w:tr>
        <w:trPr>
          <w:trHeight w:val="229"/>
        </w:trPr>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shd w:val="clear" w:color="auto" w:fill="CCEEFF"/>
          </w:tcPr>
          <w:p>
            <w:pPr>
              <w:spacing w:after="0"/>
              <w:rPr>
                <w:sz w:val="19"/>
                <w:szCs w:val="19"/>
                <w:color w:val="auto"/>
              </w:rPr>
            </w:pPr>
          </w:p>
        </w:tc>
      </w:tr>
      <w:tr>
        <w:trPr>
          <w:trHeight w:val="210"/>
        </w:trPr>
        <w:tc>
          <w:tcPr>
            <w:tcW w:w="4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100" w:type="dxa"/>
            <w:vAlign w:val="bottom"/>
            <w:gridSpan w:val="2"/>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18"/>
                <w:szCs w:val="18"/>
                <w:color w:val="auto"/>
              </w:rPr>
            </w:pPr>
          </w:p>
        </w:tc>
      </w:tr>
      <w:tr>
        <w:trPr>
          <w:trHeight w:val="230"/>
        </w:trPr>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3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r>
      <w:tr>
        <w:trPr>
          <w:trHeight w:val="209"/>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gridSpan w:val="2"/>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4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3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(2,691)</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(4,505)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4,573</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(12,899)</w:t>
            </w:r>
          </w:p>
        </w:tc>
      </w:tr>
      <w:tr>
        <w:trPr>
          <w:trHeight w:val="196"/>
        </w:trPr>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196"/>
        </w:trPr>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197"/>
        </w:trPr>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1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0.20</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 (LOSS) FOR THE PERIODS ENDED AUGUST 30, 2025 AND AUGUST 31, 2024 – UNAUDITED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August 31, 2024</w:t>
            </w:r>
          </w:p>
        </w:tc>
        <w:tc>
          <w:tcPr>
            <w:tcW w:w="2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8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19"/>
                <w:szCs w:val="19"/>
                <w:color w:val="auto"/>
              </w:rPr>
            </w:pPr>
          </w:p>
        </w:tc>
      </w:tr>
      <w:tr>
        <w:trPr>
          <w:trHeight w:val="209"/>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4,573</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(12,899)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associated with</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 Term Cash Awards (LTCA)</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5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associated with supplemental executive retirement defined</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 plan (SERP)</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09"/>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4,537</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(13,075)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 AND NOVEMBER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August 30, 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39,551</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20,360</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29"/>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93,624</w:t>
            </w:r>
          </w:p>
        </w:tc>
        <w:tc>
          <w:tcPr>
            <w:tcW w:w="0" w:type="dxa"/>
            <w:vAlign w:val="bottom"/>
          </w:tcPr>
          <w:p>
            <w:pPr>
              <w:spacing w:after="0"/>
              <w:rPr>
                <w:sz w:val="1"/>
                <w:szCs w:val="1"/>
                <w:color w:val="auto"/>
              </w:rPr>
            </w:pPr>
          </w:p>
        </w:tc>
      </w:tr>
      <w:tr>
        <w:trPr>
          <w:trHeight w:val="22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324,241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13,303</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25,742</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operating lease obligations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liabilites and accrued expenses</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88,395</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122,847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324,241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AUGUST 30, 2025 AND AUGUST 31, 2024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August 30, 2025</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gridSpan w:val="2"/>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(12,899)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10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Recoverable income taxes and other current assets</w:t>
            </w:r>
          </w:p>
        </w:tc>
        <w:tc>
          <w:tcPr>
            <w:tcW w:w="10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(5,364)</w:t>
            </w:r>
          </w:p>
        </w:tc>
      </w:tr>
      <w:tr>
        <w:trPr>
          <w:trHeight w:val="22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00" w:type="dxa"/>
            <w:vAlign w:val="bottom"/>
          </w:tcPr>
          <w:p>
            <w:pPr>
              <w:spacing w:after="0"/>
              <w:rPr>
                <w:sz w:val="19"/>
                <w:szCs w:val="19"/>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(15,694)</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(4,720)</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0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gridSpan w:val="2"/>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00" w:type="dxa"/>
            <w:vAlign w:val="bottom"/>
            <w:gridSpan w:val="2"/>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39,551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“ASC” included hereinafter refer to the Accounting Standards Codification established by the Financial Accounting Standards Board (“FASB”) as the source of authoritative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As of and for the periods ended August 30, 2025 and August 31, 2024 and as of November 30, 2024 we have concluded that none of the evaluated entities represent VIEs.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the sale of furniture and accessories is reported in the accompanying condensed consolidated statements of operations net of estimates for returns and allowances. We exclude from revenues amounts collected from customers for sales tax.</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fiscal year, which ends on the last Saturday of November, periodically results in a 53-week year instead of the normal 52 weeks. The prior fiscal year ended November 30, 2024 was a 53-week year, with the additional week being included in the first fiscal quarter. Accordingly, the information presented below includes 39 weeks of operations for the nine months ended August 30, 2025 as compared with 40 weeks included in the nine months ended August 31,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Interim Financial Presentation and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condensed consolidated financial statements. The results of operations for the three and nine months ended August 30, 2025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30, 2024. Certain prior period amounts have been reclassified to conform to current period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26.8% and 26.8% for the three and nine months ended August 30, 2025, respectively. The effective rates for the three and nine months ended August 30, 2025 differ from the federal statutory rate of 21% primarily due to the effects of state income taxes and various permanent differences.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22.0% and 17.3% for the three and nine months ended August 31, 2024, respectively. The effective rates for the three and nine months ended August 31, 2024 differ from the federal statutory rate of 21% primarily due to increases in the valuation allowance placed on deferred tax assets associated with Noa Home Inc. (“Noa Home”), the effects of state income taxes and various permanent differences.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of 2025, new tax legislation was enacted under the One Big Beautiful Bill Act (the “Act”). While the Act includes a wide range of provisions that could impact our financial results in future periods, we do not expect the passage of the Act to have a material impact on our results of operations or financial condition in the current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August 30, 2025 and August 31, 2024, $378 and $3,476, respectively, of lease right-of-use assets were added through the recognition of the corresponding lease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 net of refunds received during the nine months ended August 30, 2025 and August 31, 2024 was $388 and $48,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the nine months ended August 30, 2025 and August 31, 2024 was $25 and $16,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lease income as the lessor on a small number of leased premises which we have subleased to other tenants. Sublease income for closed stores and warehouses is included in selling general and administrative expense in the accompanying condensed consolidated statements of operations and was $149 and $399 for the three and nine months ended August 30, 2025, respectively, and $103 and $308 for the three and nine months ended August 31, 2024. We also sublease one location to a licensee. This sublease income is included in other loss, net in the accompanying condensed consolidated statements of operations and was $114 and $343 for the three and nine months ended August 30, 2025, respectively, and $114 and $343 for the three and nine months ended August 31, 2024,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$20,221 and $20,360 at August 30, 2025 and November 30, 2024, respectively, consisted of CDs. At August 30, 2025, the CDs had original terms averaging seven months, bearing interest at rates ranging from 1.0% to 4.4% and the weighted average remaining time to maturity was approximately five months and the weighted average yield of the CDs was approximately 3.8%. Each CD is placed with a federally insured financial institution and, except as noted below, all deposits are within federal deposit insurance limits. Due to the nature of these investments and their relatively short maturities, the carrying amount of the short-term investments at August 30, 2025 and November 30, 2024 approximates their fair value.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in CDs at August 30, 2025 and November 30, 2024 includes one CD in the amount of $2,500 which was placed with a financial institution that provides merchant services for our retail segment. This CD has been pledged as security for the merchant services agreement. The CD has a six-month term maturing in October 2025 and an interest rate of 2.0%. The requirement to maintain the pledge will be reassessed prior to the end of fiscal 2025, therefore the CD is classified as a current asset with our other CDs. This CD is in excess of the $250 Federal deposit insurance limit.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August 30, 2025</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209"/>
        </w:trPr>
        <w:tc>
          <w:tcPr>
            <w:tcW w:w="66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w:t>
            </w:r>
          </w:p>
        </w:tc>
        <w:tc>
          <w:tcPr>
            <w:tcW w:w="5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w:t>
            </w:r>
          </w:p>
        </w:tc>
      </w:tr>
      <w:tr>
        <w:trPr>
          <w:trHeight w:val="223"/>
        </w:trPr>
        <w:tc>
          <w:tcPr>
            <w:tcW w:w="660" w:type="dxa"/>
            <w:vAlign w:val="bottom"/>
          </w:tcPr>
          <w:p>
            <w:pPr>
              <w:spacing w:after="0"/>
              <w:rPr>
                <w:sz w:val="19"/>
                <w:szCs w:val="19"/>
                <w:color w:val="auto"/>
              </w:rPr>
            </w:pPr>
          </w:p>
        </w:tc>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conditions. Actual credit losses could differ from those estimates. We have elected to use the practical expedient under ASC Topic 326 which allows us to assume that current conditions as of the balance sheet date do not change over the expected life of the receivables, which is generally ninety days or less (see Note 16 regarding the early adoption of ASU 2025-05).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CONDENSED CONSOLIDATED FINANCIAL STATEMENTS-UNAUDITED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ectPr>
          <w:pgSz w:w="11900" w:h="16838" w:orient="portrait"/>
          <w:cols w:equalWidth="0" w:num="1">
            <w:col w:w="11240"/>
          </w:cols>
          <w:pgMar w:left="320" w:top="364"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the nine months ended August 30, 2025 was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November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recoveries credited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Write-offs against allowance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August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20" w:hanging="1113"/>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1,097</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w:t>
      </w:r>
    </w:p>
    <w:p>
      <w:pPr>
        <w:spacing w:after="0" w:line="9"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6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1260" w:hanging="125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968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320" w:space="700"/>
            <w:col w:w="3220"/>
          </w:cols>
          <w:pgMar w:left="320" w:top="364" w:right="339" w:bottom="1440" w:gutter="0" w:footer="0" w:header="0"/>
          <w:type w:val="continuous"/>
        </w:sectPr>
      </w:pP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accounts receivable written off against the reserve during the three and nine months ended August 30, 2025 originated during fiscal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August 30, 2025</w:t>
            </w:r>
          </w:p>
        </w:tc>
        <w:tc>
          <w:tcPr>
            <w:tcW w:w="16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209"/>
        </w:trPr>
        <w:tc>
          <w:tcPr>
            <w:tcW w:w="66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28,937</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16,975</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14,921</w:t>
            </w:r>
          </w:p>
        </w:tc>
        <w:tc>
          <w:tcPr>
            <w:tcW w:w="8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1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32,907</w:t>
            </w:r>
          </w:p>
        </w:tc>
        <w:tc>
          <w:tcPr>
            <w:tcW w:w="5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31,744</w:t>
            </w:r>
          </w:p>
        </w:tc>
        <w:tc>
          <w:tcPr>
            <w:tcW w:w="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1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(12,096)</w:t>
            </w:r>
          </w:p>
        </w:tc>
        <w:tc>
          <w:tcPr>
            <w:tcW w:w="5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(11,665)</w:t>
            </w:r>
          </w:p>
        </w:tc>
      </w:tr>
      <w:tr>
        <w:trPr>
          <w:trHeight w:val="230"/>
        </w:trPr>
        <w:tc>
          <w:tcPr>
            <w:tcW w:w="66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(5,820)</w:t>
            </w:r>
          </w:p>
        </w:tc>
        <w:tc>
          <w:tcPr>
            <w:tcW w:w="5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(5,395)</w:t>
            </w:r>
          </w:p>
        </w:tc>
      </w:tr>
      <w:tr>
        <w:trPr>
          <w:trHeight w:val="223"/>
        </w:trPr>
        <w:tc>
          <w:tcPr>
            <w:tcW w:w="6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61,459</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Retail Segment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5,395</w:t>
            </w: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18"/>
                <w:szCs w:val="18"/>
                <w:color w:val="auto"/>
              </w:rPr>
            </w:pPr>
          </w:p>
        </w:tc>
      </w:tr>
      <w:tr>
        <w:trPr>
          <w:trHeight w:val="22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w:t>
            </w: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30, 2025</w:t>
            </w: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have been reasonably accurate in the past. We have not made any significant changes to our methodology for determining inventory reserves in 2025 and do not anticipate that our methodology is likely to change in the future.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by reportable segment, including accumulated impairment losses, at both August 30, 2025 and November 30, 2024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Original</w:t>
            </w:r>
          </w:p>
        </w:tc>
        <w:tc>
          <w:tcPr>
            <w:tcW w:w="180" w:type="dxa"/>
            <w:vAlign w:val="bottom"/>
          </w:tcPr>
          <w:p>
            <w:pPr>
              <w:spacing w:after="0"/>
              <w:rPr>
                <w:sz w:val="18"/>
                <w:szCs w:val="18"/>
                <w:color w:val="auto"/>
              </w:rPr>
            </w:pPr>
          </w:p>
        </w:tc>
        <w:tc>
          <w:tcPr>
            <w:tcW w:w="14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9"/>
                <w:szCs w:val="19"/>
                <w:color w:val="auto"/>
              </w:rPr>
            </w:pPr>
          </w:p>
        </w:tc>
        <w:tc>
          <w:tcPr>
            <w:tcW w:w="14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Impairment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6"/>
              </w:rPr>
              <w:t>Carrying</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(1,971)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(9,306)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9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at August 30, 2025 and November 30, 2024 consisted of the following:</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60" w:type="dxa"/>
            <w:vAlign w:val="bottom"/>
          </w:tcPr>
          <w:p>
            <w:pPr>
              <w:spacing w:after="0"/>
              <w:rPr>
                <w:sz w:val="24"/>
                <w:szCs w:val="24"/>
                <w:color w:val="auto"/>
              </w:rPr>
            </w:pPr>
          </w:p>
        </w:tc>
        <w:tc>
          <w:tcPr>
            <w:tcW w:w="20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 net</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6,924</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intangible assets during the three and nine months ended August 30, 2025 and August 31, 2024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August 31, 2024</w:t>
            </w:r>
          </w:p>
        </w:tc>
        <w:tc>
          <w:tcPr>
            <w:tcW w:w="2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19"/>
                <w:szCs w:val="19"/>
                <w:color w:val="auto"/>
              </w:rPr>
            </w:pPr>
          </w:p>
        </w:tc>
      </w:tr>
      <w:tr>
        <w:trPr>
          <w:trHeight w:val="210"/>
        </w:trPr>
        <w:tc>
          <w:tcPr>
            <w:tcW w:w="4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1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2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10 of 34</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that exist at August 30, 2025 is as follows:</w:t>
            </w: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7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8"/>
                <w:szCs w:val="18"/>
                <w:color w:val="auto"/>
              </w:rPr>
            </w:pPr>
          </w:p>
        </w:tc>
      </w:tr>
      <w:tr>
        <w:trPr>
          <w:trHeight w:val="229"/>
        </w:trPr>
        <w:tc>
          <w:tcPr>
            <w:tcW w:w="11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Bank Credit Facility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August 30, 2025, we had $8,182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August 30, 2025,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$16,818.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Post Employment Benefit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The liability for the Supplemental Plan was $5,588 and $5,557 as of August 30, 2025 and November 30, 2024,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management employees in the amount of $400 each. We are accounting for the LTC Awards as a defined benefit pension plan. Currently, two of those employees have retired and are receiving benefits. The liability for the LTC Awards was $1,421 and $1,360 as of August 30, 2025 and November 30,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pension liability for the Supplemental Plan and LTC Awards is recorded as follows in the condensed 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6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6,217</w:t>
            </w:r>
          </w:p>
        </w:tc>
        <w:tc>
          <w:tcPr>
            <w:tcW w:w="6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6,125</w:t>
            </w:r>
          </w:p>
        </w:tc>
        <w:tc>
          <w:tcPr>
            <w:tcW w:w="160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pension liability</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11 of 34</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net periodic pension costs for our defined benefit plans for the three and nine months ended August 30, 2025 and August 31, 2024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August 31, 2024</w:t>
            </w:r>
          </w:p>
        </w:tc>
        <w:tc>
          <w:tcPr>
            <w:tcW w:w="2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19"/>
                <w:szCs w:val="19"/>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7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8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loss</w:t>
            </w: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$1,584 and $1,601 as of August 30, 2025 and November 30,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$3,616 and $3,486 as of August 30, 2025 and November 30, 2024,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4,870</w:t>
            </w:r>
          </w:p>
        </w:tc>
        <w:tc>
          <w:tcPr>
            <w:tcW w:w="6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4,757</w:t>
            </w:r>
          </w:p>
        </w:tc>
      </w:tr>
      <w:tr>
        <w:trPr>
          <w:trHeight w:val="22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compensation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recognized expense under our deferred compensation arrangements during the three and nine months ended August 30, 2025 and August 31, 2024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August 31, 2024</w:t>
            </w:r>
          </w:p>
        </w:tc>
        <w:tc>
          <w:tcPr>
            <w:tcW w:w="2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19"/>
                <w:szCs w:val="19"/>
                <w:color w:val="auto"/>
              </w:rPr>
            </w:pP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expense</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Gains and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August 30, 2025, selling, general and administrative expenses include a gain of $698 for proceeds received from a business interruption insurance claim arising from the previously disclosed cybersecurity incident which occurred during the third quarter of fiscal 2024. $569 of the gain is allocated to our retail segment and $129 is allocated to our wholesale segment. These insurance proceeds are included in cash provided by operating activities in the accompanying condensed consolidated statement of cash flows for the nine months ended August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August 31, 2024, we recognized a charge of $1,240 to accrue the remaining minimum charges payable under a contract for logistical services which our wholesale segment ceased utilizing during the third fiscal quarter of 2024. As of August 30, 2025, this liability has been settled with no remaining minimum charges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August 31, 2024, we recognized non-cash charges for asset impairments totaling $5,515 which consisted of the following: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for the impairment of plant and equipment in our wholesale segment related to the consolidation of our domestic wood production facilities.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for the impairment of long-lived assets at Noa Home. During the second quarter we concluded that Noa Home was not likely to achieve profitability in the foreseeable future and decided to cease operations. $1,827 of these charges are for the full impairment of the Noa Home trade name intangible asset, and $74 relates to the full impairment of customized software used in the Noa Home operations. All remaining Noa Home assets were substantially liquidated as of November 30,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estimates of the fair value of the impaired right-of-use assets included estimates of discounted cash flows based upon current market rents and other inputs which we consider to be Level 3 inputs as specified in the fair value hierarchy in ASC Topic 820, </w:t>
      </w:r>
      <w:r>
        <w:rPr>
          <w:rFonts w:ascii="Times New Roman" w:cs="Times New Roman" w:eastAsia="Times New Roman" w:hAnsi="Times New Roman"/>
          <w:sz w:val="18"/>
          <w:szCs w:val="18"/>
          <w:i w:val="1"/>
          <w:iCs w:val="1"/>
          <w:color w:val="auto"/>
        </w:rPr>
        <w:t>Fair Value Measurement and Disclosure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Reserve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2024 we recognized a restructuring charge of $440 representing accrued severance pay for certain affected employees. At August 30, 2025 and November 30, 2024, $0 and $432, respectively, of the accrual remained in other current liabilities. As of August 30, 2025, the cumulative total cost incurred for this restructuring was $440, of which $190 was incurred by our retail segment, $83 by our wholesale segment, and $167 was charged to corporate and other.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Guarantees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licensee lease obligation guarantees in the amounts of $4,393 and $5,131 at August 30, 2025 and November 30, 2024, respectively. The remaining term under these lease guarantees extends for six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these lease guarantees (an estimate of the cost to the Company to perform on the guarantee) at August 30, 2025 and November 30, 2024 was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August 30, 2025, we had commitments for two leases of real property which are expected to commence by the end of fiscal 2025. Together, these leases call for total annual rents averaging approximately $702 per year for an initial term of ten years. Both leases have two five-year renewal options.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(Loss)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net income (loss) allocable to common shares by the weighted average number of common shares outstanding, adjusted for participating securities, if any. The following reconciles basic and diluted earnings (loss)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9"/>
              </w:rPr>
              <w:t>Earnings</w:t>
            </w:r>
          </w:p>
        </w:tc>
      </w:tr>
      <w:tr>
        <w:trPr>
          <w:trHeight w:val="216"/>
        </w:trPr>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(Loss) Per</w:t>
            </w:r>
          </w:p>
        </w:tc>
      </w:tr>
      <w:tr>
        <w:trPr>
          <w:trHeight w:val="234"/>
        </w:trPr>
        <w:tc>
          <w:tcPr>
            <w:tcW w:w="2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661"/>
              <w:spacing w:after="0"/>
              <w:rPr>
                <w:sz w:val="20"/>
                <w:szCs w:val="20"/>
                <w:color w:val="auto"/>
              </w:rPr>
            </w:pPr>
            <w:r>
              <w:rPr>
                <w:rFonts w:ascii="Times New Roman" w:cs="Times New Roman" w:eastAsia="Times New Roman" w:hAnsi="Times New Roman"/>
                <w:sz w:val="18"/>
                <w:szCs w:val="18"/>
                <w:color w:val="auto"/>
              </w:rPr>
              <w:t>(Loss)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189"/>
        </w:trPr>
        <w:tc>
          <w:tcPr>
            <w:tcW w:w="444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quarter ended August 30, 2025:</w:t>
            </w:r>
          </w:p>
        </w:tc>
        <w:tc>
          <w:tcPr>
            <w:tcW w:w="1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8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8,650,651</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4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8,675,215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tcPr>
          <w:p>
            <w:pPr>
              <w:spacing w:after="0"/>
              <w:rPr>
                <w:sz w:val="22"/>
                <w:szCs w:val="22"/>
                <w:color w:val="auto"/>
              </w:rPr>
            </w:pPr>
          </w:p>
        </w:tc>
      </w:tr>
      <w:tr>
        <w:trPr>
          <w:trHeight w:val="197"/>
        </w:trPr>
        <w:tc>
          <w:tcPr>
            <w:tcW w:w="2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quarter ended August 31, 2024:</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8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(4,505)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8,725,008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8,725,008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4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nine months ended August 30, 2025:</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4,573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8,665,776</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4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2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8,687,948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tcPr>
          <w:p>
            <w:pPr>
              <w:spacing w:after="0"/>
              <w:rPr>
                <w:sz w:val="22"/>
                <w:szCs w:val="22"/>
                <w:color w:val="auto"/>
              </w:rPr>
            </w:pPr>
          </w:p>
        </w:tc>
      </w:tr>
      <w:tr>
        <w:trPr>
          <w:trHeight w:val="196"/>
        </w:trPr>
        <w:tc>
          <w:tcPr>
            <w:tcW w:w="2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nine months ended August 31, 2024:</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8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(12,899)</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8,742,766</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net loss for the period, potentially dilutive securities would have been anti-dilutive and are therefore excluded.</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August 30, 2025 and August 31, 2024, the following potentially dilutive shares were excluded from the computations as their effect was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94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7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3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August 30, 2025</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August 31, 2024</w:t>
            </w:r>
          </w:p>
        </w:tc>
        <w:tc>
          <w:tcPr>
            <w:tcW w:w="22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August 30, 2025</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19"/>
                <w:szCs w:val="19"/>
                <w:color w:val="auto"/>
              </w:rPr>
            </w:pPr>
          </w:p>
        </w:tc>
      </w:tr>
      <w:tr>
        <w:trPr>
          <w:trHeight w:val="209"/>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3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64,409</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37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14 of 34</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three and nine months ended August 31, 2024, the only such operating segment included in Corporate and other is Noa Home, which was acquired on September 2, 2022, subsequently closed during fiscal 2024 and substantially liquidated as of November 30, 2024. All sales reported in our Corporate and other category during fiscal 2024 were attributable to Noa Home, which generated substantially all of its sales outside of the United States.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segment information:</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4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August 31, 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August 30, 2025</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19"/>
                <w:szCs w:val="19"/>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50,787</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47,828</w:t>
            </w:r>
          </w:p>
        </w:tc>
        <w:tc>
          <w:tcPr>
            <w:tcW w:w="58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157,943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155,138</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(70,747)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(64,967)</w:t>
            </w:r>
          </w:p>
        </w:tc>
      </w:tr>
      <w:tr>
        <w:trPr>
          <w:trHeight w:val="21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90,171</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51,891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47,256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159,417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151,478</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 Noa Home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3,934</w:t>
            </w:r>
          </w:p>
        </w:tc>
      </w:tr>
      <w:tr>
        <w:trPr>
          <w:trHeight w:val="223"/>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9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8,055</w:t>
            </w:r>
          </w:p>
        </w:tc>
        <w:tc>
          <w:tcPr>
            <w:tcW w:w="3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4,440</w:t>
            </w:r>
          </w:p>
        </w:tc>
        <w:tc>
          <w:tcPr>
            <w:tcW w:w="58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25,030</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16,886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 (see Note 10)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on contract abandonment (see Note 10)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2,075</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3"/>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587</w:t>
            </w:r>
          </w:p>
        </w:tc>
        <w:tc>
          <w:tcPr>
            <w:tcW w:w="58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1,749</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3,790</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1,988</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385</w:t>
            </w:r>
          </w:p>
        </w:tc>
        <w:tc>
          <w:tcPr>
            <w:tcW w:w="58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1,525</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2,680</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1,121</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4"/>
        </w:trPr>
        <w:tc>
          <w:tcPr>
            <w:tcW w:w="4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August 30, 2025</w:t>
            </w:r>
          </w:p>
        </w:tc>
        <w:tc>
          <w:tcPr>
            <w:tcW w:w="16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91,063</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88,533</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145,189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158,084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87,989</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94,553</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9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341,170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14, Revenue Recognition, for disaggregated revenue information regarding sales of furniture and accessories by product type for the wholesale and retail segments.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Our accounts receivable, net, which are associated with our wholesale segment, were $13,135, $13,181 and $13,736 at August 30, 2025, November 30, 2024 and November 25, 2023.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$23,149, $25,742 and $22,788 as of August 30, 2025, November 30, 2024 and November 25, 2023, respectively. Substantially all of the customer deposits held as of November 30, 2024 related to performance obligations that were satisfied during the current year-to-date period and have therefore been recognized in revenue for the nine months ended August 30, 2025. Similarly, substantially all of the customer deposits held at August 30, 2025 are expected to be recognized as revenue within the next twelve months.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August 30, 2025 and November 30, 2024, our balance of prepaid commissions included in other current assets was $2,537 and $2,928,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the three and nine months ended August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2024, excluding intercompany transactions between our segments, is a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August 30, 2025</w:t>
            </w: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2"/>
          </w:tcPr>
          <w:p>
            <w:pPr>
              <w:jc w:val="right"/>
              <w:ind w:right="99"/>
              <w:spacing w:after="0" w:line="182" w:lineRule="exact"/>
              <w:rPr>
                <w:sz w:val="20"/>
                <w:szCs w:val="20"/>
                <w:color w:val="auto"/>
              </w:rPr>
            </w:pPr>
            <w:r>
              <w:rPr>
                <w:rFonts w:ascii="Times New Roman" w:cs="Times New Roman" w:eastAsia="Times New Roman" w:hAnsi="Times New Roman"/>
                <w:sz w:val="16"/>
                <w:szCs w:val="16"/>
                <w:color w:val="auto"/>
              </w:rPr>
              <w:t>Corporate</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Wholesale</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Retail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&amp; Other</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Wholesale</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Retail</w:t>
            </w: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&amp; Other (2)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Upholstery</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28,606</w:t>
            </w:r>
          </w:p>
        </w:tc>
        <w:tc>
          <w:tcPr>
            <w:tcW w:w="8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25,631</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43,142</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3,865</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2,271</w:t>
            </w:r>
          </w:p>
        </w:tc>
        <w:tc>
          <w:tcPr>
            <w:tcW w:w="8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3,730</w:t>
            </w:r>
          </w:p>
        </w:tc>
        <w:tc>
          <w:tcPr>
            <w:tcW w:w="2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1,229</w:t>
            </w:r>
          </w:p>
        </w:tc>
        <w:tc>
          <w:tcPr>
            <w:tcW w:w="60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4,959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2,669</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6,783</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2,959</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7,617</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10,576</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2,974</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7,307</w:t>
            </w:r>
          </w:p>
        </w:tc>
        <w:tc>
          <w:tcPr>
            <w:tcW w:w="8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3,175</w:t>
            </w:r>
          </w:p>
        </w:tc>
        <w:tc>
          <w:tcPr>
            <w:tcW w:w="2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5,909</w:t>
            </w:r>
          </w:p>
        </w:tc>
        <w:tc>
          <w:tcPr>
            <w:tcW w:w="60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9,084</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mattresses and other (1)</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6,924</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6,870</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988</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7,858</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Consolidated net sales of furniture and</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28,212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51,891</w:t>
            </w:r>
          </w:p>
        </w:tc>
        <w:tc>
          <w:tcPr>
            <w:tcW w:w="84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80,103</w:t>
            </w:r>
          </w:p>
        </w:tc>
        <w:tc>
          <w:tcPr>
            <w:tcW w:w="200" w:type="dxa"/>
            <w:vAlign w:val="bottom"/>
          </w:tcPr>
          <w:p>
            <w:pPr>
              <w:spacing w:after="0"/>
              <w:rPr>
                <w:sz w:val="15"/>
                <w:szCs w:val="15"/>
                <w:color w:val="auto"/>
              </w:rPr>
            </w:pP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27,375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47,256</w:t>
            </w: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988</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75,619</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accessories</w:t>
            </w: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August 30, 2025</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2"/>
          </w:tcPr>
          <w:p>
            <w:pPr>
              <w:jc w:val="right"/>
              <w:ind w:right="99"/>
              <w:spacing w:after="0" w:line="182" w:lineRule="exact"/>
              <w:rPr>
                <w:sz w:val="20"/>
                <w:szCs w:val="20"/>
                <w:color w:val="auto"/>
              </w:rPr>
            </w:pPr>
            <w:r>
              <w:rPr>
                <w:rFonts w:ascii="Times New Roman" w:cs="Times New Roman" w:eastAsia="Times New Roman" w:hAnsi="Times New Roman"/>
                <w:sz w:val="16"/>
                <w:szCs w:val="16"/>
                <w:color w:val="auto"/>
              </w:rPr>
              <w:t>Corporate</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Wholesale</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Retail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&amp; Other</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Wholesale</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Retail</w:t>
            </w: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&amp; Other (2)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Upholstery</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57,555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87,641</w:t>
            </w:r>
          </w:p>
        </w:tc>
        <w:tc>
          <w:tcPr>
            <w:tcW w:w="8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145,196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59,169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82,690</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141,859</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11,894</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5,990</w:t>
            </w:r>
          </w:p>
        </w:tc>
        <w:tc>
          <w:tcPr>
            <w:tcW w:w="8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11,254</w:t>
            </w:r>
          </w:p>
        </w:tc>
        <w:tc>
          <w:tcPr>
            <w:tcW w:w="2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3,173</w:t>
            </w:r>
          </w:p>
        </w:tc>
        <w:tc>
          <w:tcPr>
            <w:tcW w:w="3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14,427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22,957</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10,510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24,336</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34,846</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8,731</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21,031</w:t>
            </w:r>
          </w:p>
        </w:tc>
        <w:tc>
          <w:tcPr>
            <w:tcW w:w="8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9,238</w:t>
            </w:r>
          </w:p>
        </w:tc>
        <w:tc>
          <w:tcPr>
            <w:tcW w:w="2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19,684</w:t>
            </w:r>
          </w:p>
        </w:tc>
        <w:tc>
          <w:tcPr>
            <w:tcW w:w="3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28,922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mattresses and other (1)</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21,798</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21,595</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3,934</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25,529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Consolidated net sales of furniture and</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87,196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159,417</w:t>
            </w:r>
          </w:p>
        </w:tc>
        <w:tc>
          <w:tcPr>
            <w:tcW w:w="84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246,613</w:t>
            </w:r>
          </w:p>
        </w:tc>
        <w:tc>
          <w:tcPr>
            <w:tcW w:w="200" w:type="dxa"/>
            <w:vAlign w:val="bottom"/>
          </w:tcPr>
          <w:p>
            <w:pPr>
              <w:spacing w:after="0"/>
              <w:rPr>
                <w:sz w:val="15"/>
                <w:szCs w:val="15"/>
                <w:color w:val="auto"/>
              </w:rPr>
            </w:pP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90,171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151,478</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3,934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245,583</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accessories</w:t>
            </w: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for the three and nine months ended August 31, 2024 includes the sales of Noa Home, which was acquired on September 2, 2022, closed during fiscal 2024 and substantially liquidated as of November 30,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Changes to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changes in our stockholders’ equity occurred during the three and nine months ended August 30, 2025 and August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r>
      <w:tr>
        <w:trPr>
          <w:trHeight w:val="439"/>
        </w:trPr>
        <w:tc>
          <w:tcPr>
            <w:tcW w:w="4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30, 2025</w:t>
            </w:r>
          </w:p>
        </w:tc>
        <w:tc>
          <w:tcPr>
            <w:tcW w:w="8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3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43,410</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43,808</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43,681</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r>
      <w:tr>
        <w:trPr>
          <w:trHeight w:val="209"/>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3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43,378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43,674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43,378</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43,674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8,681,851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8,761,332</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8,736,046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8,768,221</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20,139</w:t>
            </w: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58,256</w:t>
            </w: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(46,843)</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(110,695)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(91,849)</w:t>
            </w:r>
          </w:p>
        </w:tc>
      </w:tr>
      <w:tr>
        <w:trPr>
          <w:trHeight w:val="209"/>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8,675,518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8,734,628</w:t>
            </w:r>
          </w:p>
        </w:tc>
        <w:tc>
          <w:tcPr>
            <w:tcW w:w="3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8,675,518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8,734,628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3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r>
      <w:tr>
        <w:trPr>
          <w:trHeight w:val="209"/>
        </w:trPr>
        <w:tc>
          <w:tcPr>
            <w:tcW w:w="46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6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122,597</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127,807</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122,847</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(4,505)</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(12,899)</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(1,756)</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(4,909)</w:t>
            </w:r>
          </w:p>
        </w:tc>
      </w:tr>
      <w:tr>
        <w:trPr>
          <w:trHeight w:val="209"/>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3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121,583</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121,388</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121,583</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121,388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3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793</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costs, net of tax</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757</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757</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52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8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balance of cumulative translation adjustments, net of tax, was zero at both August 30, 2025 and November 30, 2024.</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40" w:type="dxa"/>
            <w:vAlign w:val="bottom"/>
          </w:tcPr>
          <w:p>
            <w:pPr>
              <w:spacing w:after="0"/>
              <w:rPr>
                <w:sz w:val="24"/>
                <w:szCs w:val="24"/>
                <w:color w:val="auto"/>
              </w:rPr>
            </w:pP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18 of 34</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Accounting Pronouncements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amendments in ASU 2023-07 will become effective for us for our 2025 fiscal year and for interim periods beginning with our 2026 fiscal year. While we do not expect that this guidance will have a material impact upon our financial position and results of operations, it will result in a significant change to our segment disclosures for the year ending November 29, 2025.</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 Income Statement – Reporting Comprehensive Income – Expense Disaggregation Disclosures (Subtopic ASC 220-40)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provided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Accounting Standards Update 2025-05 – Financial Instruments – Credit Losses (Topic ASC 326) Measurement of Credit Losses for Accounts Receivable and Contract Assets. The amendments in this ASU provide entities with a practical expedient they may elect to use when developing an estimate of expected credit losses on current accounts receivable and current contract asset balances arising from transactions accounted for under Topic ASC 606 – Revenue from Contracts with Customers. Under this practical expedient, entities may elect to assume that current conditions as of the balance sheet date do not change for the remaining life of the asset. The amendments in ASU 2025-05 become effective for fiscal years and for interim periods beginning after December 15, 2025, and early adoption is permitted. We have elected to adopt ASU 2025-05 beginning with the third quarter of fiscal 2025 and have elected to utilize the practical expedient provided therein. The adoption of this ASU did not have a material impact on our financial position or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Safe-harbor,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83"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tariffs, retaliatory tariffs, duties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asset impairment charges arising from the ongoing efforts to consolidate our retail warehouses.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30,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Our fiscal year, which ends on the last Saturday of November, periodically results in a 53-week year instead of the normal 52 weeks. The prior fiscal year ending November 30, 2024 was a 53-week year, with the additional week being included in the first fiscal quarter. Accordingly, the information presented below includes 39 weeks of operations for the nine months ended August 30, 2025 as compared to 40 weeks included in the nine months ended August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Bassett is a leading retailer, manufacturer and marketer of branded home furnishings. We were founded in 1902 and incorporated under the laws of Virginia in 1930. Our rich 123-year history has instilled the principles of quality, value, and integrity in everything we do, while simultaneously providing us with the expertise to respond to ever-changing consumer tastes and meet the demands of a global economy.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60% of our wholesale sales arise from our network of 87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a network of over 30 independent sales representatives who have stated geographical territories. These sales representatives are compensated based on a standard commission rate.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We introduced a new web platform late in 2023 that leverages world class features including enhanced customer research capabilities and streamlined navigation. We know that we are driving a significant percentage of the retail foot traffic to our store network and our open market customers through engagement with www.bassettfurniture.com. Although e-commerce sales continue to be small in relation to in-store sales, we are pleased that we have seen a greater than 30% e-commerce sales increase for the nine months ended August 30, 2025 as compared to the same period of 2024. We will continue to invest in ongoing improvements to the aesthetics and user experience that we provide on our website.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Inc. (“Noa Home”). A mid-priced e-commerce furniture retailer headquartered in Montreal, Canada, Noa Home had operations in Canada, Australia, Singapore and the United Kingdom. After nearly two years of operating losses, we concluded during the second quarter of 2024 that Noa Home was not likely to achieve profitability at any time in the foreseeable future and decided to cease operations by selling the inventory in an orderly fashion. As of November 30, 2024, we had substantially completed the liquidation of Noa Home’s assets and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have a factory in Martinsville, Virginia that assembles and finishes our custom bedroom and dining offerings. We also own a facility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Approximately 80%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Periods ended August 30, 2025 compared with the periods ended August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 of operations for the three and nine months ended August 30, 2025 and August 31, 2024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Quarter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Change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Nine Months Ended*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6"/>
                <w:szCs w:val="16"/>
                <w:color w:val="auto"/>
                <w:w w:val="97"/>
              </w:rPr>
              <w:t>August 30, 2025</w:t>
            </w:r>
          </w:p>
        </w:tc>
        <w:tc>
          <w:tcPr>
            <w:tcW w:w="12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August 31, 2024</w:t>
            </w: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Dollars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August 30, 2025</w:t>
            </w:r>
          </w:p>
        </w:tc>
        <w:tc>
          <w:tcPr>
            <w:tcW w:w="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August 31, 2024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 of furniture and</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80,103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2"/>
              </w:rPr>
              <w:t>$ 75,619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4,484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246,613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8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$ 245,583</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1,030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Cost of furniture and accessories</w:t>
            </w:r>
          </w:p>
        </w:tc>
        <w:tc>
          <w:tcPr>
            <w:tcW w:w="100" w:type="dxa"/>
            <w:vAlign w:val="bottom"/>
          </w:tcPr>
          <w:p>
            <w:pPr>
              <w:spacing w:after="0"/>
              <w:rPr>
                <w:sz w:val="16"/>
                <w:szCs w:val="16"/>
                <w:color w:val="auto"/>
              </w:rPr>
            </w:pPr>
          </w:p>
        </w:tc>
        <w:tc>
          <w:tcPr>
            <w:tcW w:w="6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35,109</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43.8%</w:t>
            </w: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35,526</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107,880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43.7%</w:t>
            </w:r>
          </w:p>
        </w:tc>
        <w:tc>
          <w:tcPr>
            <w:tcW w:w="8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113,863</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46.4%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sold</w:t>
            </w: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44,994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56.2%</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40,093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4,901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138,733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56.3%</w:t>
            </w:r>
          </w:p>
        </w:tc>
        <w:tc>
          <w:tcPr>
            <w:tcW w:w="8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131,720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7,013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44,401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55.4%</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45,210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133,188</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54.0%</w:t>
            </w:r>
          </w:p>
        </w:tc>
        <w:tc>
          <w:tcPr>
            <w:tcW w:w="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142,141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contract abandonment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8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1,240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Asset impairment charges</w:t>
            </w:r>
          </w:p>
        </w:tc>
        <w:tc>
          <w:tcPr>
            <w:tcW w:w="1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5,515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8"/>
              </w:rPr>
              <w:t>$ (6,357)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6,950</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 (17,176)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22,721</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*39 weeks for fiscal 2025 as compared with 40 weeks for fiscal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revenue for the three months ended August 30, 2025 increased $4,484 or 5.9% over the prior year period. This consisted of a $4,635 or 9.8% increase in retail sales from our Company-owned stores and an $837 or 3.1% increase in sales to external wholesale customers, partially offset by a $988 decline in sales by Noa Home, which was closed during the second half of fiscal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margins for the three months ended August 30, 2025 increased 320 basis points over the prior year period primarily due to margin improvements at wholesale partially offset by a slight decrease in retail margins from our Company-owned stores. In addition, the wholesale gross margin in the prior year period was negatively impacted by $609 of unproductive labor costs incurred during the temporary shutdown resulting from the cybersecurity incident that occurred during the third quarter of fiscal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three months ended August 30, 2025 decreased 440 basis points from 2024 primarily due to the benefit of cost reductions implemented during the second half of fiscal 2024, on-going cost containment activities and greater leverage of fixed costs due to higher sales levels.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Year-to-Date Results: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sales revenue for the nine months ended August 30, 2025 increased $1,030 or 0.4% over the prior year period. Normalizing for the additional week in the first nine months of 2024, consolidated sales increased 3.0% which included a 7.9% increase in retail sales, partially offset by a 0.8% decrease in sales to external wholesale customers and a $3,934 decline due to the closure of Noa Home during the second half of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margins for the nine months ended August 30, 2025 increased 270 basis points over the prior year period. Gross margins in the prior year were adversely impacted by increased inventory valuation charges of $1,729 in the wholesale segment, $472 in the retail segment and $500 in the Noa Home operation, as well as $609 of unproductive labor costs incurred during the temporary shutdown resulting from the cybersecurity incident. Excluding the above-mentioned additional inventory valuation charges and unproductive labor costs in 2024, gross margins would have increased 130 basis points primarily due to improved margins in the wholesale segment.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nine months ended August 30, 2025 decreased 390 basis points from 2024 primarily due to the benefit of cost reductions implemented during the second half of fiscal 2024 coupled with on-going cost containment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three and nine months ended August 31, 2024, the only such operating segment included in Corporate and other is Noa Home, which was acquired on September 2, 2022, subsequently closed during fiscal 2024 and substantially liquidated as of November 30, 2024. All sales reported in our Corporate and other category during fiscal 2024 were attributable to Noa Home, which generated substantially all of its sales outside of the United States.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Income (Loss) Before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as well as non-operating income and expenses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jc w:val="right"/>
              <w:ind w:right="279"/>
              <w:spacing w:after="0"/>
              <w:rPr>
                <w:sz w:val="20"/>
                <w:szCs w:val="20"/>
                <w:color w:val="auto"/>
              </w:rPr>
            </w:pPr>
            <w:r>
              <w:rPr>
                <w:rFonts w:ascii="Times New Roman" w:cs="Times New Roman" w:eastAsia="Times New Roman" w:hAnsi="Times New Roman"/>
                <w:sz w:val="16"/>
                <w:szCs w:val="16"/>
                <w:color w:val="auto"/>
              </w:rPr>
              <w:t>Quarter Ended August 30, 2025</w:t>
            </w: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w:t>
            </w:r>
          </w:p>
        </w:tc>
        <w:tc>
          <w:tcPr>
            <w:tcW w:w="100" w:type="dxa"/>
            <w:vAlign w:val="bottom"/>
          </w:tcPr>
          <w:p>
            <w:pPr>
              <w:spacing w:after="0"/>
              <w:rPr>
                <w:sz w:val="16"/>
                <w:szCs w:val="16"/>
                <w:color w:val="auto"/>
              </w:rPr>
            </w:pPr>
          </w:p>
        </w:tc>
      </w:tr>
      <w:tr>
        <w:trPr>
          <w:trHeight w:val="210"/>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Non-GAAP Presentation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Presentation</w:t>
            </w:r>
          </w:p>
        </w:tc>
      </w:tr>
      <w:tr>
        <w:trPr>
          <w:trHeight w:val="188"/>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Corporate &amp;</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Special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7"/>
              </w:rPr>
              <w:t>Non-</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Wholesale</w:t>
            </w:r>
          </w:p>
        </w:tc>
        <w:tc>
          <w:tcPr>
            <w:tcW w:w="30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Eliminations</w:t>
            </w:r>
          </w:p>
        </w:tc>
        <w:tc>
          <w:tcPr>
            <w:tcW w:w="22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Items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Operating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Consolidated</w:t>
            </w:r>
          </w:p>
        </w:tc>
      </w:tr>
      <w:tr>
        <w:trPr>
          <w:trHeight w:val="199"/>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 of furniture and accessories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80,103</w:t>
            </w: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Cost of furniture and accessories sold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32,950</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24,710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(22,551(2)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35,109</w:t>
            </w:r>
          </w:p>
        </w:tc>
        <w:tc>
          <w:tcPr>
            <w:tcW w:w="100" w:type="dxa"/>
            <w:vAlign w:val="bottom"/>
          </w:tcPr>
          <w:p>
            <w:pPr>
              <w:spacing w:after="0"/>
              <w:rPr>
                <w:sz w:val="18"/>
                <w:szCs w:val="18"/>
                <w:color w:val="auto"/>
              </w:rPr>
            </w:pPr>
          </w:p>
        </w:tc>
      </w:tr>
      <w:tr>
        <w:trPr>
          <w:trHeight w:val="19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17,837</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27,181</w:t>
            </w:r>
          </w:p>
        </w:tc>
        <w:tc>
          <w:tcPr>
            <w:tcW w:w="2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44,994</w:t>
            </w: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44,401</w:t>
            </w:r>
          </w:p>
        </w:tc>
        <w:tc>
          <w:tcPr>
            <w:tcW w:w="100" w:type="dxa"/>
            <w:vAlign w:val="bottom"/>
          </w:tcPr>
          <w:p>
            <w:pPr>
              <w:spacing w:after="0"/>
              <w:rPr>
                <w:sz w:val="18"/>
                <w:szCs w:val="18"/>
                <w:color w:val="auto"/>
              </w:rPr>
            </w:pPr>
          </w:p>
        </w:tc>
      </w:tr>
      <w:tr>
        <w:trPr>
          <w:trHeight w:val="19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(7,419)</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593</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472</w:t>
            </w:r>
          </w:p>
        </w:tc>
      </w:tr>
      <w:tr>
        <w:trPr>
          <w:trHeight w:val="20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(7,419)</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1,095</w:t>
            </w: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gridSpan w:val="6"/>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9"/>
        </w:trPr>
        <w:tc>
          <w:tcPr>
            <w:tcW w:w="2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319"/>
              <w:spacing w:after="0"/>
              <w:rPr>
                <w:sz w:val="20"/>
                <w:szCs w:val="20"/>
                <w:color w:val="auto"/>
              </w:rPr>
            </w:pPr>
            <w:r>
              <w:rPr>
                <w:rFonts w:ascii="Times New Roman" w:cs="Times New Roman" w:eastAsia="Times New Roman" w:hAnsi="Times New Roman"/>
                <w:sz w:val="16"/>
                <w:szCs w:val="16"/>
                <w:color w:val="auto"/>
              </w:rPr>
              <w:t>Quarter Ended August 31, 2024</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w:t>
            </w:r>
          </w:p>
        </w:tc>
        <w:tc>
          <w:tcPr>
            <w:tcW w:w="100" w:type="dxa"/>
            <w:vAlign w:val="bottom"/>
          </w:tcPr>
          <w:p>
            <w:pPr>
              <w:spacing w:after="0"/>
              <w:rPr>
                <w:sz w:val="16"/>
                <w:szCs w:val="16"/>
                <w:color w:val="auto"/>
              </w:rPr>
            </w:pPr>
          </w:p>
        </w:tc>
      </w:tr>
      <w:tr>
        <w:trPr>
          <w:trHeight w:val="210"/>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Non-GAAP Presentation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Presentation</w:t>
            </w:r>
          </w:p>
        </w:tc>
      </w:tr>
      <w:tr>
        <w:trPr>
          <w:trHeight w:val="188"/>
        </w:trPr>
        <w:tc>
          <w:tcPr>
            <w:tcW w:w="2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Corporate &amp;</w:t>
            </w:r>
          </w:p>
        </w:tc>
        <w:tc>
          <w:tcPr>
            <w:tcW w:w="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7"/>
              </w:rPr>
              <w:t>Special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7"/>
              </w:rPr>
              <w:t>Non-</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Wholesale</w:t>
            </w:r>
          </w:p>
        </w:tc>
        <w:tc>
          <w:tcPr>
            <w:tcW w:w="30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Eliminations</w:t>
            </w:r>
          </w:p>
        </w:tc>
        <w:tc>
          <w:tcPr>
            <w:tcW w:w="22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Items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Operating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Consolidated</w:t>
            </w:r>
          </w:p>
        </w:tc>
      </w:tr>
      <w:tr>
        <w:trPr>
          <w:trHeight w:val="199"/>
        </w:trPr>
        <w:tc>
          <w:tcPr>
            <w:tcW w:w="2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 of furniture and 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47,828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47,256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(20,453(1)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75,619</w:t>
            </w: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Cost of furniture and accessories sold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33,147</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22,285</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(20,410(2)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35,526</w:t>
            </w:r>
          </w:p>
        </w:tc>
        <w:tc>
          <w:tcPr>
            <w:tcW w:w="100" w:type="dxa"/>
            <w:vAlign w:val="bottom"/>
          </w:tcPr>
          <w:p>
            <w:pPr>
              <w:spacing w:after="0"/>
              <w:rPr>
                <w:sz w:val="18"/>
                <w:szCs w:val="18"/>
                <w:color w:val="auto"/>
              </w:rPr>
            </w:pPr>
          </w:p>
        </w:tc>
      </w:tr>
      <w:tr>
        <w:trPr>
          <w:trHeight w:val="19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14,681</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24,971</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40,093</w:t>
            </w: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10,241</w:t>
            </w:r>
          </w:p>
        </w:tc>
        <w:tc>
          <w:tcPr>
            <w:tcW w:w="30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27,811</w:t>
            </w: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45,210</w:t>
            </w:r>
          </w:p>
        </w:tc>
      </w:tr>
      <w:tr>
        <w:trPr>
          <w:trHeight w:val="219"/>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contract abandonment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4,440</w:t>
            </w:r>
          </w:p>
        </w:tc>
        <w:tc>
          <w:tcPr>
            <w:tcW w:w="3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(2,840)</w:t>
            </w:r>
          </w:p>
        </w:tc>
        <w:tc>
          <w:tcPr>
            <w:tcW w:w="2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(6,963)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tcPr>
          <w:p>
            <w:pPr>
              <w:spacing w:after="0"/>
              <w:rPr>
                <w:sz w:val="17"/>
                <w:szCs w:val="17"/>
                <w:color w:val="auto"/>
              </w:rPr>
            </w:pP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(1,240)</w:t>
            </w:r>
          </w:p>
        </w:tc>
        <w:tc>
          <w:tcPr>
            <w:tcW w:w="1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(6,357)</w:t>
            </w: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692</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4,440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(2,840)</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(5,774)</w:t>
            </w: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jc w:val="right"/>
              <w:ind w:right="59"/>
              <w:spacing w:after="0"/>
              <w:rPr>
                <w:sz w:val="20"/>
                <w:szCs w:val="20"/>
                <w:color w:val="auto"/>
              </w:rPr>
            </w:pPr>
            <w:r>
              <w:rPr>
                <w:rFonts w:ascii="Times New Roman" w:cs="Times New Roman" w:eastAsia="Times New Roman" w:hAnsi="Times New Roman"/>
                <w:sz w:val="16"/>
                <w:szCs w:val="16"/>
                <w:color w:val="auto"/>
              </w:rPr>
              <w:t>Nine Months Ended August 30, 2025*</w:t>
            </w: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w:t>
            </w:r>
          </w:p>
        </w:tc>
        <w:tc>
          <w:tcPr>
            <w:tcW w:w="100" w:type="dxa"/>
            <w:vAlign w:val="bottom"/>
          </w:tcPr>
          <w:p>
            <w:pPr>
              <w:spacing w:after="0"/>
              <w:rPr>
                <w:sz w:val="16"/>
                <w:szCs w:val="16"/>
                <w:color w:val="auto"/>
              </w:rPr>
            </w:pPr>
          </w:p>
        </w:tc>
      </w:tr>
      <w:tr>
        <w:trPr>
          <w:trHeight w:val="210"/>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Non-GAAP Presentation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Presentation</w:t>
            </w:r>
          </w:p>
        </w:tc>
      </w:tr>
      <w:tr>
        <w:trPr>
          <w:trHeight w:val="188"/>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Corporate &amp;</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7"/>
              </w:rPr>
              <w:t>Non-</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Wholesale</w:t>
            </w:r>
          </w:p>
        </w:tc>
        <w:tc>
          <w:tcPr>
            <w:tcW w:w="30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Eliminations</w:t>
            </w:r>
          </w:p>
        </w:tc>
        <w:tc>
          <w:tcPr>
            <w:tcW w:w="100" w:type="dxa"/>
            <w:vAlign w:val="bottom"/>
          </w:tcPr>
          <w:p>
            <w:pPr>
              <w:spacing w:after="0"/>
              <w:rPr>
                <w:sz w:val="18"/>
                <w:szCs w:val="18"/>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Special Items</w:t>
            </w:r>
          </w:p>
        </w:tc>
        <w:tc>
          <w:tcPr>
            <w:tcW w:w="160" w:type="dxa"/>
            <w:vAlign w:val="bottom"/>
          </w:tcPr>
          <w:p>
            <w:pPr>
              <w:spacing w:after="0"/>
              <w:rPr>
                <w:sz w:val="18"/>
                <w:szCs w:val="18"/>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Operating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Consolidated</w:t>
            </w:r>
          </w:p>
        </w:tc>
      </w:tr>
      <w:tr>
        <w:trPr>
          <w:trHeight w:val="199"/>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 of furniture and accessories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157,943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159,417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(70,747(1)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246,613</w:t>
            </w: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Cost of furniture and accessories sold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102,789</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75,485</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(70,394(2)</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107,880</w:t>
            </w:r>
          </w:p>
        </w:tc>
        <w:tc>
          <w:tcPr>
            <w:tcW w:w="100" w:type="dxa"/>
            <w:vAlign w:val="bottom"/>
          </w:tcPr>
          <w:p>
            <w:pPr>
              <w:spacing w:after="0"/>
              <w:rPr>
                <w:sz w:val="18"/>
                <w:szCs w:val="18"/>
                <w:color w:val="auto"/>
              </w:rPr>
            </w:pPr>
          </w:p>
        </w:tc>
      </w:tr>
      <w:tr>
        <w:trPr>
          <w:trHeight w:val="19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55,154</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83,932</w:t>
            </w: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138,733</w:t>
            </w: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83,831</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20,166</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(933(3)</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133,188</w:t>
            </w:r>
          </w:p>
        </w:tc>
        <w:tc>
          <w:tcPr>
            <w:tcW w:w="100" w:type="dxa"/>
            <w:vAlign w:val="bottom"/>
          </w:tcPr>
          <w:p>
            <w:pPr>
              <w:spacing w:after="0"/>
              <w:rPr>
                <w:sz w:val="18"/>
                <w:szCs w:val="18"/>
                <w:color w:val="auto"/>
              </w:rPr>
            </w:pPr>
          </w:p>
        </w:tc>
      </w:tr>
      <w:tr>
        <w:trPr>
          <w:trHeight w:val="19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(20,166)</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5,545</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1,552</w:t>
            </w: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(851)</w:t>
            </w:r>
          </w:p>
        </w:tc>
      </w:tr>
      <w:tr>
        <w:trPr>
          <w:trHeight w:val="20"/>
        </w:trPr>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(20,166)</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7"/>
                <w:szCs w:val="17"/>
                <w:color w:val="auto"/>
              </w:rPr>
            </w:pP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6,246</w:t>
            </w: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gridSpan w:val="6"/>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9"/>
        </w:trPr>
        <w:tc>
          <w:tcPr>
            <w:tcW w:w="2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99"/>
              <w:spacing w:after="0"/>
              <w:rPr>
                <w:sz w:val="20"/>
                <w:szCs w:val="20"/>
                <w:color w:val="auto"/>
              </w:rPr>
            </w:pPr>
            <w:r>
              <w:rPr>
                <w:rFonts w:ascii="Times New Roman" w:cs="Times New Roman" w:eastAsia="Times New Roman" w:hAnsi="Times New Roman"/>
                <w:sz w:val="16"/>
                <w:szCs w:val="16"/>
                <w:color w:val="auto"/>
              </w:rPr>
              <w:t>Nine Months Ended August 31, 2024*</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w:t>
            </w:r>
          </w:p>
        </w:tc>
        <w:tc>
          <w:tcPr>
            <w:tcW w:w="100" w:type="dxa"/>
            <w:vAlign w:val="bottom"/>
          </w:tcPr>
          <w:p>
            <w:pPr>
              <w:spacing w:after="0"/>
              <w:rPr>
                <w:sz w:val="16"/>
                <w:szCs w:val="16"/>
                <w:color w:val="auto"/>
              </w:rPr>
            </w:pPr>
          </w:p>
        </w:tc>
      </w:tr>
      <w:tr>
        <w:trPr>
          <w:trHeight w:val="210"/>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Non-GAAP Presentation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Presentation</w:t>
            </w:r>
          </w:p>
        </w:tc>
      </w:tr>
      <w:tr>
        <w:trPr>
          <w:trHeight w:val="188"/>
        </w:trPr>
        <w:tc>
          <w:tcPr>
            <w:tcW w:w="2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Corporate &amp;</w:t>
            </w:r>
          </w:p>
        </w:tc>
        <w:tc>
          <w:tcPr>
            <w:tcW w:w="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7"/>
              </w:rPr>
              <w:t>Non-</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Wholesale</w:t>
            </w:r>
          </w:p>
        </w:tc>
        <w:tc>
          <w:tcPr>
            <w:tcW w:w="30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Eliminations</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Special Items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Operating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Consolidated</w:t>
            </w:r>
          </w:p>
        </w:tc>
      </w:tr>
      <w:tr>
        <w:trPr>
          <w:trHeight w:val="199"/>
        </w:trPr>
        <w:tc>
          <w:tcPr>
            <w:tcW w:w="2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 of furniture and 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155,138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151,478</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(64,967(1)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245,583</w:t>
            </w: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Cost of furniture and accessories sold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105,763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70,805</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2,239</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(64,944(2)</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113,863</w:t>
            </w:r>
          </w:p>
        </w:tc>
        <w:tc>
          <w:tcPr>
            <w:tcW w:w="100" w:type="dxa"/>
            <w:vAlign w:val="bottom"/>
          </w:tcPr>
          <w:p>
            <w:pPr>
              <w:spacing w:after="0"/>
              <w:rPr>
                <w:sz w:val="18"/>
                <w:szCs w:val="18"/>
                <w:color w:val="auto"/>
              </w:rPr>
            </w:pPr>
          </w:p>
        </w:tc>
      </w:tr>
      <w:tr>
        <w:trPr>
          <w:trHeight w:val="19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49,375</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80,673</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131,720</w:t>
            </w: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32,489</w:t>
            </w:r>
          </w:p>
        </w:tc>
        <w:tc>
          <w:tcPr>
            <w:tcW w:w="30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87,347</w:t>
            </w: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23,195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(890(3)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142,141</w:t>
            </w:r>
          </w:p>
        </w:tc>
      </w:tr>
      <w:tr>
        <w:trPr>
          <w:trHeight w:val="205"/>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contract abandonment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Asset impairment charges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(5)</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100" w:type="dxa"/>
            <w:vAlign w:val="bottom"/>
          </w:tcPr>
          <w:p>
            <w:pPr>
              <w:spacing w:after="0"/>
              <w:rPr>
                <w:sz w:val="18"/>
                <w:szCs w:val="18"/>
                <w:color w:val="auto"/>
              </w:rPr>
            </w:pPr>
          </w:p>
        </w:tc>
      </w:tr>
      <w:tr>
        <w:trPr>
          <w:trHeight w:val="19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16,886</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(6,674)</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(6,755)</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(17,176)</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2,075</w:t>
            </w: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r>
      <w:tr>
        <w:trPr>
          <w:trHeight w:val="20"/>
        </w:trPr>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16,886</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(6,674)</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(21,500)</w:t>
            </w:r>
          </w:p>
        </w:tc>
        <w:tc>
          <w:tcPr>
            <w:tcW w:w="8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(6,755)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(15,590)</w:t>
            </w:r>
          </w:p>
        </w:tc>
      </w:tr>
      <w:tr>
        <w:trPr>
          <w:trHeight w:val="20"/>
        </w:trPr>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*39 weeks for fiscal 2025 as compared with 40 weeks for fiscal 2024.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segment consolidation table:</w:t>
      </w:r>
    </w:p>
    <w:p>
      <w:pPr>
        <w:spacing w:after="0" w:line="230"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27" w:lineRule="exact"/>
        <w:rPr>
          <w:rFonts w:ascii="Times New Roman" w:cs="Times New Roman" w:eastAsia="Times New Roman" w:hAnsi="Times New Roman"/>
          <w:sz w:val="18"/>
          <w:szCs w:val="18"/>
          <w:color w:val="auto"/>
        </w:rPr>
      </w:pPr>
    </w:p>
    <w:p>
      <w:pPr>
        <w:ind w:left="340" w:right="22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 as well as the change for the period in the elimination of intercompany profit in ending retail inventory.</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9" w:lineRule="exact"/>
        <w:rPr>
          <w:rFonts w:ascii="Times New Roman" w:cs="Times New Roman" w:eastAsia="Times New Roman" w:hAnsi="Times New Roman"/>
          <w:sz w:val="18"/>
          <w:szCs w:val="18"/>
          <w:color w:val="auto"/>
        </w:rPr>
      </w:pPr>
    </w:p>
    <w:p>
      <w:pPr>
        <w:ind w:left="340" w:right="38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charge for accruing the remaining minimum payments under a contract for logistical services in Riverside, CA which we no longer utilize.</w:t>
      </w:r>
    </w:p>
    <w:p>
      <w:pPr>
        <w:ind w:left="340" w:right="12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asset impairment charges of $2,887 and $727 in our retail and wholesale segments, respectively, a $1,827 charge for the impairment of the Noa Home trade name intangible asset, and a $74 charge for the impairment of Noa Home customized software.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wholesale segment for the three and nine months ended August 30, 2025 and August 31, 2024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color w:val="auto"/>
              </w:rPr>
              <w:t>Quarter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Nine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August 30, 2025</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August 31, 2024</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August 30, 2025</w:t>
            </w: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August 31, 2024</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50,787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47,828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2,959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157,943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155,138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2,805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10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17,837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5"/>
              </w:rPr>
              <w:t>14,681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3,156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55,154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49,375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5,779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9,782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10,241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30,124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32,489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(2,365)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8,055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4,440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3,615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25,030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16,886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8,144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460" w:hanging="324"/>
        <w:spacing w:after="0" w:line="281"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7"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weeks for fiscal 2025 as compared with 40 weeks for fiscal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color w:val="auto"/>
              </w:rPr>
              <w:t>Quarter Ended</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color w:val="auto"/>
              </w:rPr>
              <w:t>August 30, 2025</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color w:val="auto"/>
              </w:rPr>
              <w:t>August 31, 2024</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Total Change</w:t>
            </w:r>
          </w:p>
        </w:tc>
      </w:tr>
      <w:tr>
        <w:trPr>
          <w:trHeight w:val="196"/>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External</w:t>
            </w: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External</w:t>
            </w: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Dollars</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Percent</w:t>
            </w:r>
          </w:p>
        </w:tc>
        <w:tc>
          <w:tcPr>
            <w:tcW w:w="140" w:type="dxa"/>
            <w:vAlign w:val="bottom"/>
          </w:tcPr>
          <w:p>
            <w:pPr>
              <w:spacing w:after="0"/>
              <w:rPr>
                <w:sz w:val="17"/>
                <w:szCs w:val="17"/>
                <w:color w:val="auto"/>
              </w:rPr>
            </w:pPr>
          </w:p>
        </w:tc>
      </w:tr>
      <w:tr>
        <w:trPr>
          <w:trHeight w:val="182"/>
        </w:trPr>
        <w:tc>
          <w:tcPr>
            <w:tcW w:w="15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Bassett Custom</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18,704</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32,912</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17,511</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30,580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3,865</w:t>
            </w: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743</w:t>
            </w:r>
          </w:p>
        </w:tc>
        <w:tc>
          <w:tcPr>
            <w:tcW w:w="22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4,608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3,730</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4,265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6,273</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2,959</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6,391</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2,974</w:t>
            </w: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4,020</w:t>
            </w:r>
          </w:p>
        </w:tc>
        <w:tc>
          <w:tcPr>
            <w:tcW w:w="22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6,994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3,175</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3,417</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6,592</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28,212</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50,787</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27,375</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47,828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2,959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393"/>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Nine Months Ended*</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color w:val="auto"/>
              </w:rPr>
              <w:t>August 30, 2025</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color w:val="auto"/>
              </w:rPr>
              <w:t>August 31, 2024</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Total Change</w:t>
            </w:r>
          </w:p>
        </w:tc>
      </w:tr>
      <w:tr>
        <w:trPr>
          <w:trHeight w:val="196"/>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External</w:t>
            </w: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External</w:t>
            </w: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Dollars</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Percent</w:t>
            </w:r>
          </w:p>
        </w:tc>
        <w:tc>
          <w:tcPr>
            <w:tcW w:w="140" w:type="dxa"/>
            <w:vAlign w:val="bottom"/>
          </w:tcPr>
          <w:p>
            <w:pPr>
              <w:spacing w:after="0"/>
              <w:rPr>
                <w:sz w:val="17"/>
                <w:szCs w:val="17"/>
                <w:color w:val="auto"/>
              </w:rPr>
            </w:pPr>
          </w:p>
        </w:tc>
      </w:tr>
      <w:tr>
        <w:trPr>
          <w:trHeight w:val="182"/>
        </w:trPr>
        <w:tc>
          <w:tcPr>
            <w:tcW w:w="15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Bassett Custom</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57,555</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44,285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101,840</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59,169</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100,014</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11,894</w:t>
            </w: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2,164</w:t>
            </w:r>
          </w:p>
        </w:tc>
        <w:tc>
          <w:tcPr>
            <w:tcW w:w="22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14,058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11,254</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1,462</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12,716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9,016</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12,015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21,031</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10,510</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12,062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22,572</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8,731</w:t>
            </w: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12,283</w:t>
            </w:r>
          </w:p>
        </w:tc>
        <w:tc>
          <w:tcPr>
            <w:tcW w:w="22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21,014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9,238</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10,598</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19,836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87,196</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157,943</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90,171</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155,138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weeks for fiscal 2025 as compared with 40 weeks for fiscal 2024.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three months ended August 30, 2025 increased $2,959 or 6.2% over the prior year, consisting of a 9.2% increase in shipments to our retail store network, a 0.8% increase in shipments to the open market, and a 9.6% increase in Lane Venture shipments. Gross margins for the three months ended August 30, 2025 increased 440 basis points over the prior year period. Excluding the $609 of unproductive labor costs incurred during the temporary shutdown resulting from the cybersecurity incident in the prior year period, gross margins would have increased by 310 basis points. This margin increase was driven by improved pricing strategies in both the upholstery and wood operations coupled with greater leverage of fixed costs from higher sales levels. SG&amp;A expenses as a percentage of sales decreased 210 basis points primarily due to the benefit of cost reductions implemented during the second half of fiscal 2024 coupled with greater leverage of fixed costs from higher sales levels.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the nine months ended August 30, 2025 increased $2,805 or 1.8% over the prior year. Normalizing for the additional week in the first nine months of 2024, net sales increased 4.4%, consisting of a 9.1% increase in shipments to our retail store network, partially offset by a 1.5% decrease in shipments to the open market and a 3.4% decrease in Lane Venture shipments. Gross margins for the nine months ended August 30, 2025 increased 310 basis points over the prior year. Excluding the $1,729 of increased inventory valuation charges in 2024 and $609 of unproductive labor costs incurred during the temporary shutdown resulting from the cybersecurity incident in 2024, gross margins would have increased by 160 basis points due primarily to improved margins in our Bassett Custom Upholstery business from manufacturing efficiency gains, increased margins in our Lane Venture operations due to improved customer mix and improved margins in the Bassett Leather business, and improved pricing strategies in the remaining wood and upholstery operations, partially offset by the prior year including a reduction in the warranty and returns reserve from improved experience in warranty and returns claims and improved administration of those claims. SG&amp;A expenses as a percentage of sales decreased 180 basis points primarily due to lower bad debt costs coupled with the benefit of cost reductions implemented during the second half of fiscal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backlog at August 30, 2025 was $16,596 as compared to $21,750 at November 30, 2024 and $18,481 at August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Retail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retail segment for the periods ended August 30, 2025 and August 31, 2024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Quarter Ended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Nine Months Ended*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August 30, 2025</w:t>
            </w: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August 31, 2024</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August 30, 2025</w:t>
            </w: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August 31, 2024</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51,891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2"/>
              </w:rPr>
              <w:t>$ 47,256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4,635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159,417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151,478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7,939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10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27,181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24,971</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2,210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83,932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80,673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3,259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27,514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53.0%</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27,811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83,831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87,347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(3,516)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8"/>
              </w:rPr>
              <w:t>$ (2,840)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2,507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(6,674)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460" w:hanging="324"/>
        <w:spacing w:after="0" w:line="281"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*39 weeks for fiscal 2025 as compared with 40 weeks for fiscal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Quarter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Nine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158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August 30, 2025</w:t>
            </w: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August 31, 2024</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August 30, 2025</w:t>
            </w: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August 31, 2024</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$ 28,606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55.1%</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2"/>
              </w:rPr>
              <w:t>$ 25,631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2,975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87,641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82,690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4,951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1,229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1,042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3,173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2,817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6,783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7,617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22,957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24,336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(1,379)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7,307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5,909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19,684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1,347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mattresses</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6,924</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7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6,870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21,798</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21,595</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203</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other (1)</w:t>
            </w:r>
          </w:p>
        </w:tc>
        <w:tc>
          <w:tcPr>
            <w:tcW w:w="7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6"/>
              </w:rPr>
              <w:t>$ 51,891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2"/>
              </w:rPr>
              <w:t>$ 47,256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4,635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159,417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151,478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7,939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sale of goods other than Bassett-branded products, such as accessories and bedding, and also includes the sale of furniture protection plans.</w:t>
      </w:r>
    </w:p>
    <w:p>
      <w:pPr>
        <w:spacing w:after="0" w:line="22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weeks for fiscal 2025 as compared with 40 weeks for fiscal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 - Retail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for the three months ended August 30, 2025 increased $4,635 or 9.8% over the prior year period. Written sales (the value of sales orders taken but not delivered) increased 2.4% from the third quarter of 2024. Gross margin for the three months ended August 30, 2025 declined 40 basis points from the prior period due to lower margins for both in-line and clearance goods as we have become more aggressive in cycling through unproductive inventory coupled with increased promotional activity. SG&amp;A expenses as a percentage of sales for the three months ended August 30, 2025 decreased 590 basis points primarily due to the benefit of cost reductions implemented during the second half of fiscal 2024, lower advertising and marketing costs, efficiency gains in our warehouse and delivery operation along with greater leverage of fixed costs due to higher sales levels.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Retail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nine months ended August 30, 2025 increased $7,939 or 5.2% over the prior year period. Normalizing for the additional week in the first nine months of 2024, net sales increased by 7.9%. Written sales (the value of sales orders taken but not delivered) declined 0.2% from the prior year period. Normalizing for the additional week in the first nine months of 2024, written sales increased 2.3%. Gross margin for the nine months ended August 30, 2025 declined 70 basis points over the prior period. Excluding the $471 of additional inventory valuation charges in the prior year period, gross margins would have decreased by 100 basis points due to lower margins for both in-line and clearance goods as we have become more aggressive in cycling through unproductive inventory coupled with increased promotional activity. SG&amp;A expenses as a percentage of sales for the nine months ended August 30, 2025 decreased 510 basis points primarily due to the benefit of cost reductions implemented during the second half of fiscal 2024, lower advertising and marketing costs, efficiency gains in our warehouse and delivery operation along with greater leverage of fixed costs due to higher sales levels.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August 30, 2025 was $32,206 compared to $37,053 at November 30, 2024 and $33,251 at August 31,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two reportable segments discussed above, we include our remaining business activities and assets in a reconciling category known as Corporate and other, which includes the shared costs of various corporate functions along with any operating segments that do not meet the requirements to be reportable segments. Therefore, prior to fiscal 2025, Noa Home was included within the Corporate and other reconciling category and accounted for all of the sales and gross profit within this reconciling category. Revenues, costs and expenses of Corporate and other for the periods ended August 30, 2025 and August 31, 2024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color w:val="auto"/>
              </w:rPr>
              <w:t>Quarter Ended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color w:val="auto"/>
              </w:rPr>
              <w:t>Nine Months Ended*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August 30,</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August 31,</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August 30,</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August 31,</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Dollars</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9"/>
              </w:rPr>
              <w:t>Percent</w:t>
            </w:r>
          </w:p>
        </w:tc>
        <w:tc>
          <w:tcPr>
            <w:tcW w:w="12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Dollars</w:t>
            </w: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Percent</w:t>
            </w:r>
          </w:p>
        </w:tc>
        <w:tc>
          <w:tcPr>
            <w:tcW w:w="0" w:type="dxa"/>
            <w:vAlign w:val="bottom"/>
          </w:tcPr>
          <w:p>
            <w:pPr>
              <w:spacing w:after="0"/>
              <w:rPr>
                <w:sz w:val="1"/>
                <w:szCs w:val="1"/>
                <w:color w:val="auto"/>
              </w:rPr>
            </w:pPr>
          </w:p>
        </w:tc>
      </w:tr>
      <w:tr>
        <w:trPr>
          <w:trHeight w:val="199"/>
        </w:trPr>
        <w:tc>
          <w:tcPr>
            <w:tcW w:w="2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(988)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(3,934)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17"/>
                <w:szCs w:val="17"/>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tcPr>
          <w:p>
            <w:pPr>
              <w:spacing w:after="0"/>
              <w:rPr>
                <w:sz w:val="17"/>
                <w:szCs w:val="17"/>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(1,695)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7,419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7,447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20,166</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23,195</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(3,029)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Net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(456)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(21,500)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*39 weeks for fiscal 2025 as compared with 40 weeks for fiscal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gross profit declined from the prior year period due to the closure and liquidation of Noa Home during fiscal 2024. The $28 and $3,029 decrease in SG&amp;A expenses for the three and nine months ended August 30, 2025, respectively, was primarily due to closure of Noa Home and decreased corporate overhead spending from better expense management, including the benefit of cost reductions implemented during the second half of fiscal 2024, partially offset by increased incentive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Items Affecting Net Income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for the three and nine months ended August 30, 2025 was $472 and $1,552, respectively, compared to $692 and $2,075, respectively, for the three and nine months ended August 31, 2024. The decline from the prior year period is primarily due to lower balances of interest-bearing cash and cash equivalents, as well as lower average rates earned on our cash and cash equivalents and investments in CDs compared to the preceding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(loss), net, for the three and nine months ended August 30, 2025 was $30 and $(851), respectively, compared to $(109) and $(489), respectively, for the three and nine months ended August 31, 2024. The net change from the prior year quarter and year to date was primarily due to changes in the net costs associated with Company-owned life insurance compared to the prior year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26.8% and 26.8% for the three and nine months ended August 30, 2025, respectively. The effective rates for the three and nine months ended August 30, 2025 differ from the federal statutory rate of 21% primarily due to the effects of state income taxes and various permanent differences.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22.0% and 17.3% for the three and nine months ended August 31, 2024, respectively. The effective rates for the three and nine months ended August 31, 2024 differ from the federal statutory rate of 21% primarily due to increases in the valuation allowance placed on deferred tax assets associated with Noa Home, the effects of state income taxes and various permanent differences.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of 2025, new tax legislation was enacted under the One Big Beautiful Bill Act (the “Act”). While the Act includes a wide range of provisions that could impact our financial results in future periods, we do not expect the passage of the Act to have a material impact on our results of operations or financial condition in the current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first nine months of fiscal 2025 was $5,726 compared to cash used in operations of $2,323 for the first nine months of fiscal 2024, representing an improvement of $8,049 in cash flows from operations. This increase was primarily the result of improved operating income and changes in working capital due to the timing impact of expenditures as a result of an additional week in the first nine months of 2024, partially offset by a planned increase in inventory levels.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cash position declined $5,138 during the first nine months of 2025. During the first nine months of fiscal 2025, we spent $3,737 on purchases of property and equipment. We also paid $5,210 in dividends during the first nine months of 2025. We repurchased $1,522 of shares under our stock repurchase program during the first nine months of 2025 compared to repurchases of $1,127 in the prior year period. We expect capital expenditures for the full year to range from $5 million to $7 million. As of August 30, 2025, $18,882 remains available for future purchases under our stock repurchase plan. With cash and cash equivalents and short-term investments totaling $54,634 on hand at August 30, 2025, expected future operating cash flows and the availability under our credit line noted below, we believe we have sufficient liquidity to fund operations for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Credit Facility with our bank. This Credit Facility provides for a line of credit of up to $25,000. At August 30, 2025, we had $8,182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not to exceed 3.35 times.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August 30, 2025,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$16,818.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one of our licensee-owned stores, and we lease land and buildings used in our wholesale manufacturing operations. We also lease certain personal property such as lift trucks, office equipment and local delivery trucks. The present value of our obligations for leases with terms in excess of one year at August 30, 2025 is $93,300 and is included in our accompanying condensed consolidated balance sheet at August 30, 2025. We were contingently liable under licensee lease obligation guarantees in the amount of $4,393 at August 30, 2025. The remaining terms under these lease guarantees extend for six years. See Note 11 to our condensed consolidated financial statements for additional details regarding our lease guarantees.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Retail Real Estate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 substantial investment in real estate acquired for use as retail locations and occupied by Company-owned retail stores. Such real estate is included in property and equipment, net, in the accompanying condensed consolidated balance sheet and consists of eight properties with an aggregate square footage of 203,465 and a net book value of $23,680 at August 30, 2025.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In addition, we have guaranteed certain lease obligations of licensee operators for some of their store locations. See Note 11 to our condensed consolidated financial statements for further discussion of lease guarantees, including descriptions of the terms of such commitments and methods used to mitigate risks associated with these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11 to our condensed consolidated financial statements for further information regarding certain contingencies as of August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$23,680 at August 30, 2025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$4,393 which we have guaranteed on behalf of certain licensees as of August 30, 2025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August 30, 2025, the unamortized balance of such right-of-use assets used in continuing operations totaled $80,532. Should we have to close or otherwise abandon one of these leased locations, we could incur additional impairment charges if rental market conditions do not support a fair value for the right of use asset in excess of its carrying value.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u w:val="single" w:color="auto"/>
          <w:color w:val="auto"/>
        </w:rPr>
        <w:t>PART II - OTHER INFORMATION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by or on behalf of the Company or any “affiliated purchaser,” as defined by Rule 10b-18(a)</w:t>
      </w:r>
    </w:p>
    <w:p>
      <w:pPr>
        <w:spacing w:after="0" w:line="27" w:lineRule="exact"/>
        <w:rPr>
          <w:sz w:val="20"/>
          <w:szCs w:val="20"/>
          <w:color w:val="auto"/>
        </w:rPr>
      </w:pPr>
    </w:p>
    <w:p>
      <w:pPr>
        <w:ind w:firstLine="8"/>
        <w:spacing w:after="0" w:line="260" w:lineRule="auto"/>
        <w:tabs>
          <w:tab w:leader="none" w:pos="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for the three months ended August 30, 2025 and the approximate dollar value of shares that may yet be purchased pursuant to our stock repurchase program: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4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4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 that May Yet</w:t>
            </w:r>
          </w:p>
        </w:tc>
      </w:tr>
      <w:tr>
        <w:trPr>
          <w:trHeight w:val="216"/>
        </w:trPr>
        <w:tc>
          <w:tcPr>
            <w:tcW w:w="4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44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16"/>
        </w:trPr>
        <w:tc>
          <w:tcPr>
            <w:tcW w:w="44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38"/>
        </w:trPr>
        <w:tc>
          <w:tcPr>
            <w:tcW w:w="44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1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Programs (1)</w:t>
            </w:r>
          </w:p>
        </w:tc>
      </w:tr>
      <w:tr>
        <w:trPr>
          <w:trHeight w:val="209"/>
        </w:trPr>
        <w:tc>
          <w:tcPr>
            <w:tcW w:w="44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2025 - July 5, 2025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July 6, 2025 - August 2, 2025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18,882</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2025 - August 30, 2025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18,882</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repurchase Company stock under a plan which was originally announced in 1998. On March 9, 2022, the Board of Directors increased the remaining limit of the repurchase plan to $40,000. At August 30, 2025, $18,882 remained available for share repurchases under the plan.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August 30, 2025, none of our directors or officers (as defined in Rule 16a-1(f) of the Securities Exchange Act of 1934, as amended) adopted or terminated a Rule 10b5-1 trading arrangement or a non-Rule 10b5-1 trading arrangement (in each case, as defined in Item 408(a) of Regulation S-K) for the purchase or sale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3a – Articles of Incorporation as amended to date are incorporated herein by reference to the Exhibit to Form 10-Q for the fiscal quarter ended February 28, 1994.</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3b – </w:t>
      </w:r>
      <w:hyperlink r:id="rId41">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July 22,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auto"/>
          </w:rPr>
          <w:t xml:space="preserve">Exhibit 10 – </w:t>
        </w:r>
        <w:r>
          <w:rPr>
            <w:rFonts w:ascii="Times New Roman" w:cs="Times New Roman" w:eastAsia="Times New Roman" w:hAnsi="Times New Roman"/>
            <w:sz w:val="18"/>
            <w:szCs w:val="18"/>
            <w:u w:val="single" w:color="auto"/>
            <w:color w:val="0000EE"/>
          </w:rPr>
          <w:t>Eighth Amended and Restated Credit Agreement with Truist Bank dated May 15, 2024 is incorporated herein by reference to Exhibit 10</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to Form 10-Q filed with the SEC on July 11, 2024</w:t>
        </w:r>
        <w:r>
          <w:rPr>
            <w:rFonts w:ascii="Times New Roman" w:cs="Times New Roman" w:eastAsia="Times New Roman" w:hAnsi="Times New Roman"/>
            <w:sz w:val="18"/>
            <w:szCs w:val="18"/>
            <w:color w:val="000000"/>
          </w:rPr>
          <w:t>. Registrant hereby agrees to furnish the SEC, upon request, other instruments defining the rights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holders of long-term debt of the Registrant.</w:t>
      </w:r>
    </w:p>
    <w:p>
      <w:pPr>
        <w:spacing w:after="0" w:line="175" w:lineRule="exact"/>
        <w:rPr>
          <w:rFonts w:ascii="Times New Roman" w:cs="Times New Roman" w:eastAsia="Times New Roman" w:hAnsi="Times New Roman"/>
          <w:sz w:val="18"/>
          <w:szCs w:val="18"/>
          <w:color w:val="0000EE"/>
        </w:rPr>
      </w:pPr>
    </w:p>
    <w:p>
      <w:pPr>
        <w:ind w:left="34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Exhibit 31a – </w:t>
      </w:r>
      <w:r>
        <w:rPr>
          <w:rFonts w:ascii="Times New Roman" w:cs="Times New Roman" w:eastAsia="Times New Roman" w:hAnsi="Times New Roman"/>
          <w:sz w:val="18"/>
          <w:szCs w:val="18"/>
          <w:u w:val="single" w:color="auto"/>
          <w:color w:val="0000EE"/>
        </w:rPr>
        <w:t>Chief Executive Officer’s certification pursuant to Section 302 of the Sarbanes-Oxley Act of 2002</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 of 34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ind w:right="320"/>
        <w:spacing w:after="0"/>
        <w:rPr>
          <w:sz w:val="20"/>
          <w:szCs w:val="20"/>
          <w:color w:val="auto"/>
        </w:rPr>
      </w:pPr>
      <w:r>
        <w:rPr>
          <w:rFonts w:ascii="Times New Roman" w:cs="Times New Roman" w:eastAsia="Times New Roman" w:hAnsi="Times New Roman"/>
          <w:sz w:val="18"/>
          <w:szCs w:val="18"/>
          <w:u w:val="single" w:color="auto"/>
          <w:color w:val="auto"/>
        </w:rPr>
        <w:t>PART II - OTHER INFORMATION-CONTINUED</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u w:val="single" w:color="auto"/>
          <w:color w:val="auto"/>
        </w:rPr>
        <w:t>AUGUST 30, 2025</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31b – </w:t>
      </w:r>
      <w:r>
        <w:rPr>
          <w:rFonts w:ascii="Times New Roman" w:cs="Times New Roman" w:eastAsia="Times New Roman" w:hAnsi="Times New Roman"/>
          <w:sz w:val="18"/>
          <w:szCs w:val="18"/>
          <w:u w:val="single" w:color="auto"/>
          <w:color w:val="0000EE"/>
        </w:rPr>
        <w:t>Chief Financial Officer’s certification pursuant to Section 302 of the Sarbanes-Oxley Act of 2002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Exhibit 32a – </w:t>
      </w:r>
      <w:r>
        <w:rPr>
          <w:rFonts w:ascii="Times New Roman" w:cs="Times New Roman" w:eastAsia="Times New Roman" w:hAnsi="Times New Roman"/>
          <w:sz w:val="18"/>
          <w:szCs w:val="18"/>
          <w:u w:val="single" w:color="auto"/>
          <w:color w:val="0000EE"/>
        </w:rPr>
        <w:t>Chief Executive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Exhibit 32b – </w:t>
      </w:r>
      <w:r>
        <w:rPr>
          <w:rFonts w:ascii="Times New Roman" w:cs="Times New Roman" w:eastAsia="Times New Roman" w:hAnsi="Times New Roman"/>
          <w:sz w:val="18"/>
          <w:szCs w:val="18"/>
          <w:u w:val="single" w:color="auto"/>
          <w:color w:val="0000EE"/>
        </w:rPr>
        <w:t>Chief Financial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101.INS Inline XBRL Instance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101.SCH Inline XBRL Taxonomy Extension Schema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101.LAB Inline XBRL Taxonomy Extension Labels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33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33" w:name="page34"/>
    <w:bookmarkEnd w:id="33"/>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97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970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34 of 34</w:t>
      </w:r>
    </w:p>
    <w:p>
      <w:pPr>
        <w:sectPr>
          <w:pgSz w:w="11900" w:h="16838" w:orient="portrait"/>
          <w:cols w:equalWidth="0" w:num="1">
            <w:col w:w="10400"/>
          </w:cols>
          <w:pgMar w:left="320" w:top="580" w:right="11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97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August 30, 2025,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783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August 30, 2025,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3"/>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1" Type="http://schemas.openxmlformats.org/officeDocument/2006/relationships/hyperlink" Target="http://www.sec.gov/Archives/edgar/data/10329/000143774925023205/ex_841551.htm" TargetMode="External"/><Relationship Id="rId42" Type="http://schemas.openxmlformats.org/officeDocument/2006/relationships/hyperlink" Target="http://www.sec.gov/Archives/edgar/data/10329/000143774924022523/ex_6956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2025-10-08T15:12:31Z</dcterms:created>
  <dcterms:modified xsi:type="dcterms:W3CDTF">2025-10-08T15:12:31Z</dcterms:modified>
</cp:coreProperties>
</file>