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September 28,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BASSETT FURNITURE INDUSTRIES, INCORPORATED</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p>
      <w:pPr>
        <w:spacing w:after="0" w:line="200" w:lineRule="exact"/>
        <w:rPr>
          <w:sz w:val="24"/>
          <w:szCs w:val="24"/>
          <w:color w:val="auto"/>
        </w:rPr>
      </w:pPr>
    </w:p>
    <w:p>
      <w:pPr>
        <w:spacing w:after="0" w:line="343"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VIRGINIA</w:t>
      </w:r>
    </w:p>
    <w:p>
      <w:pPr>
        <w:spacing w:after="0" w:line="27" w:lineRule="exact"/>
        <w:rPr>
          <w:sz w:val="24"/>
          <w:szCs w:val="24"/>
          <w:color w:val="auto"/>
        </w:rPr>
      </w:pPr>
    </w:p>
    <w:p>
      <w:pPr>
        <w:ind w:left="74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000-00209</w:t>
      </w:r>
    </w:p>
    <w:p>
      <w:pPr>
        <w:spacing w:after="0" w:line="27" w:lineRule="exact"/>
        <w:rPr>
          <w:sz w:val="24"/>
          <w:szCs w:val="24"/>
          <w:color w:val="auto"/>
        </w:rPr>
      </w:pPr>
    </w:p>
    <w:p>
      <w:pPr>
        <w:jc w:val="center"/>
        <w:ind w:right="1460"/>
        <w:spacing w:after="0"/>
        <w:rPr>
          <w:sz w:val="20"/>
          <w:szCs w:val="20"/>
          <w:color w:val="auto"/>
        </w:rPr>
      </w:pPr>
      <w:r>
        <w:rPr>
          <w:rFonts w:ascii="Arial" w:cs="Arial" w:eastAsia="Arial" w:hAnsi="Arial"/>
          <w:sz w:val="16"/>
          <w:szCs w:val="16"/>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54-0135270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4"/>
          <w:szCs w:val="24"/>
          <w:color w:val="auto"/>
        </w:rPr>
      </w:pPr>
    </w:p>
    <w:p>
      <w:pPr>
        <w:sectPr>
          <w:pgSz w:w="11900" w:h="16838" w:orient="portrait"/>
          <w:cols w:equalWidth="0" w:num="3">
            <w:col w:w="4060" w:space="720"/>
            <w:col w:w="3180" w:space="720"/>
            <w:col w:w="2560"/>
          </w:cols>
          <w:pgMar w:left="320" w:top="760" w:right="339" w:bottom="1440" w:gutter="0" w:footer="0" w:header="0"/>
          <w:type w:val="continuous"/>
        </w:sectPr>
      </w:pPr>
    </w:p>
    <w:p>
      <w:pPr>
        <w:spacing w:after="0" w:line="30" w:lineRule="exact"/>
        <w:rPr>
          <w:sz w:val="24"/>
          <w:szCs w:val="24"/>
          <w:color w:val="auto"/>
        </w:rPr>
      </w:pPr>
    </w:p>
    <w:p>
      <w:pPr>
        <w:jc w:val="center"/>
        <w:ind w:left="1340"/>
        <w:spacing w:after="0"/>
        <w:rPr>
          <w:sz w:val="20"/>
          <w:szCs w:val="20"/>
          <w:color w:val="auto"/>
        </w:rPr>
      </w:pPr>
      <w:r>
        <w:rPr>
          <w:rFonts w:ascii="Arial" w:cs="Arial" w:eastAsia="Arial" w:hAnsi="Arial"/>
          <w:sz w:val="17"/>
          <w:szCs w:val="17"/>
          <w:b w:val="1"/>
          <w:bCs w:val="1"/>
          <w:color w:val="auto"/>
        </w:rPr>
        <w:t>3525 FAIRYSTONE PARK HIGHWAY</w:t>
      </w:r>
    </w:p>
    <w:p>
      <w:pPr>
        <w:spacing w:after="0" w:line="39" w:lineRule="exact"/>
        <w:rPr>
          <w:sz w:val="24"/>
          <w:szCs w:val="24"/>
          <w:color w:val="auto"/>
        </w:rPr>
      </w:pPr>
    </w:p>
    <w:p>
      <w:pPr>
        <w:jc w:val="center"/>
        <w:ind w:left="1340"/>
        <w:spacing w:after="0"/>
        <w:rPr>
          <w:sz w:val="20"/>
          <w:szCs w:val="20"/>
          <w:color w:val="auto"/>
        </w:rPr>
      </w:pPr>
      <w:r>
        <w:rPr>
          <w:rFonts w:ascii="Arial" w:cs="Arial" w:eastAsia="Arial" w:hAnsi="Arial"/>
          <w:sz w:val="18"/>
          <w:szCs w:val="18"/>
          <w:b w:val="1"/>
          <w:bCs w:val="1"/>
          <w:color w:val="auto"/>
        </w:rPr>
        <w:t>BASSETT, VIRGINIA</w:t>
      </w:r>
    </w:p>
    <w:p>
      <w:pPr>
        <w:spacing w:after="0" w:line="9" w:lineRule="exact"/>
        <w:rPr>
          <w:sz w:val="24"/>
          <w:szCs w:val="24"/>
          <w:color w:val="auto"/>
        </w:rPr>
      </w:pPr>
    </w:p>
    <w:p>
      <w:pPr>
        <w:jc w:val="center"/>
        <w:ind w:left="134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820"/>
        <w:spacing w:after="0"/>
        <w:rPr>
          <w:sz w:val="20"/>
          <w:szCs w:val="20"/>
          <w:color w:val="auto"/>
        </w:rPr>
      </w:pPr>
      <w:r>
        <w:rPr>
          <w:rFonts w:ascii="Arial" w:cs="Arial" w:eastAsia="Arial" w:hAnsi="Arial"/>
          <w:sz w:val="18"/>
          <w:szCs w:val="18"/>
          <w:b w:val="1"/>
          <w:bCs w:val="1"/>
          <w:color w:val="auto"/>
        </w:rPr>
        <w:t>24055</w:t>
      </w:r>
    </w:p>
    <w:p>
      <w:pPr>
        <w:spacing w:after="0" w:line="27" w:lineRule="exact"/>
        <w:rPr>
          <w:sz w:val="24"/>
          <w:szCs w:val="24"/>
          <w:color w:val="auto"/>
        </w:rPr>
      </w:pPr>
    </w:p>
    <w:p>
      <w:pPr>
        <w:jc w:val="center"/>
        <w:ind w:right="282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6860" w:space="720"/>
            <w:col w:w="3660"/>
          </w:cols>
          <w:pgMar w:left="320" w:top="760"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w:t>
      </w:r>
      <w:r>
        <w:rPr>
          <w:rFonts w:ascii="Arial" w:cs="Arial" w:eastAsia="Arial" w:hAnsi="Arial"/>
          <w:sz w:val="18"/>
          <w:szCs w:val="18"/>
          <w:color w:val="auto"/>
        </w:rPr>
        <w:t>’</w:t>
      </w:r>
      <w:r>
        <w:rPr>
          <w:rFonts w:ascii="Arial" w:cs="Arial" w:eastAsia="Arial" w:hAnsi="Arial"/>
          <w:sz w:val="18"/>
          <w:szCs w:val="18"/>
          <w:b w:val="1"/>
          <w:bCs w:val="1"/>
          <w:color w:val="auto"/>
        </w:rPr>
        <w:t>s telephone number, including area code (276) 629-6000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0" w:lineRule="auto"/>
        <w:tabs>
          <w:tab w:leader="none" w:pos="21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3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Trading Symbol</w:t>
            </w:r>
          </w:p>
        </w:tc>
        <w:tc>
          <w:tcPr>
            <w:tcW w:w="320" w:type="dxa"/>
            <w:vAlign w:val="bottom"/>
          </w:tcPr>
          <w:p>
            <w:pPr>
              <w:spacing w:after="0"/>
              <w:rPr>
                <w:sz w:val="20"/>
                <w:szCs w:val="20"/>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Name of exchange on which registered</w:t>
            </w:r>
          </w:p>
        </w:tc>
      </w:tr>
      <w:tr>
        <w:trPr>
          <w:trHeight w:val="224"/>
        </w:trPr>
        <w:tc>
          <w:tcPr>
            <w:tcW w:w="4040" w:type="dxa"/>
            <w:vAlign w:val="bottom"/>
          </w:tcPr>
          <w:p>
            <w:pPr>
              <w:jc w:val="center"/>
              <w:spacing w:after="0"/>
              <w:rPr>
                <w:sz w:val="20"/>
                <w:szCs w:val="20"/>
                <w:color w:val="auto"/>
              </w:rPr>
            </w:pPr>
            <w:r>
              <w:rPr>
                <w:rFonts w:ascii="Arial" w:cs="Arial" w:eastAsia="Arial" w:hAnsi="Arial"/>
                <w:sz w:val="18"/>
                <w:szCs w:val="18"/>
                <w:color w:val="auto"/>
                <w:w w:val="90"/>
              </w:rPr>
              <w:t>Common Stock ($5.00 par value)</w:t>
            </w:r>
          </w:p>
        </w:tc>
        <w:tc>
          <w:tcPr>
            <w:tcW w:w="32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3"/>
              </w:rPr>
              <w:t>BSET</w:t>
            </w:r>
          </w:p>
        </w:tc>
        <w:tc>
          <w:tcPr>
            <w:tcW w:w="32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7"/>
              </w:rPr>
              <w:t>NASDAQ</w:t>
            </w:r>
          </w:p>
        </w:tc>
      </w:tr>
    </w:tbl>
    <w:p>
      <w:pPr>
        <w:spacing w:after="0" w:line="187"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September 28, 2023, Bassett Furniture Industries issued a news release relating to the third quarter financial results for the fiscal year ending November 25, 2023. A copy of the news release announcing this information is attached to this report as Exhibit 99.1.</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News Release issued by Bassett Furniture Industries, Inc. on September 28, 2023.</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 w:name="page3"/>
    <w:bookmarkEnd w:id="2"/>
    <w:p>
      <w:pPr>
        <w:ind w:left="52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BASSETT FURNITURE INDUSTRIES,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5640" w:right="2980" w:hanging="5628"/>
        <w:spacing w:after="0" w:line="273" w:lineRule="auto"/>
        <w:tabs>
          <w:tab w:leader="none" w:pos="5620" w:val="left"/>
        </w:tabs>
        <w:rPr>
          <w:sz w:val="20"/>
          <w:szCs w:val="20"/>
          <w:color w:val="auto"/>
        </w:rPr>
      </w:pPr>
      <w:r>
        <w:rPr>
          <w:rFonts w:ascii="Arial" w:cs="Arial" w:eastAsia="Arial" w:hAnsi="Arial"/>
          <w:sz w:val="18"/>
          <w:szCs w:val="18"/>
          <w:color w:val="auto"/>
        </w:rPr>
        <w:t>Date: September 28, 2023</w:t>
      </w:r>
      <w:r>
        <w:rPr>
          <w:sz w:val="20"/>
          <w:szCs w:val="20"/>
          <w:color w:val="auto"/>
        </w:rPr>
        <w:tab/>
      </w:r>
      <w:r>
        <w:rPr>
          <w:rFonts w:ascii="Arial" w:cs="Arial" w:eastAsia="Arial" w:hAnsi="Arial"/>
          <w:sz w:val="17"/>
          <w:szCs w:val="17"/>
          <w:color w:val="auto"/>
        </w:rPr>
        <w:t>By: /s/ J. Michael Daniel J. Michael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-144780</wp:posOffset>
            </wp:positionV>
            <wp:extent cx="27089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Title: Senior Vice President – Chief Financial Officer</w:t>
      </w:r>
    </w:p>
    <w:p>
      <w:pPr>
        <w:sectPr>
          <w:pgSz w:w="11900" w:h="16838" w:orient="portrait"/>
          <w:cols w:equalWidth="0" w:num="1">
            <w:col w:w="10440"/>
          </w:cols>
          <w:pgMar w:left="320" w:top="584" w:right="11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097280"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7280" cy="3771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Bassett Furniture Industries,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P.O. Box 626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Bassett, VA 24055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Michael Daniel</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Vice President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(276) 629-6614 – Investors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mdaniel@bassettfurniture.com</w:t>
      </w:r>
    </w:p>
    <w:p>
      <w:pPr>
        <w:spacing w:after="0" w:line="200" w:lineRule="exact"/>
        <w:rPr>
          <w:sz w:val="20"/>
          <w:szCs w:val="20"/>
          <w:color w:val="auto"/>
        </w:rPr>
      </w:pPr>
    </w:p>
    <w:p>
      <w:pPr>
        <w:sectPr>
          <w:pgSz w:w="11900" w:h="16838" w:orient="portrait"/>
          <w:cols w:equalWidth="0" w:num="2">
            <w:col w:w="7160" w:space="720"/>
            <w:col w:w="3360"/>
          </w:cols>
          <w:pgMar w:left="320" w:top="337" w:right="33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For Immediate Release</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D. Morrison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Vice President of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(276) 629-6450 – Media</w:t>
      </w:r>
    </w:p>
    <w:p>
      <w:pPr>
        <w:spacing w:after="0" w:line="200" w:lineRule="exact"/>
        <w:rPr>
          <w:sz w:val="20"/>
          <w:szCs w:val="20"/>
          <w:color w:val="auto"/>
        </w:rPr>
      </w:pPr>
    </w:p>
    <w:p>
      <w:pPr>
        <w:sectPr>
          <w:pgSz w:w="11900" w:h="16838" w:orient="portrait"/>
          <w:cols w:equalWidth="0" w:num="2">
            <w:col w:w="7160" w:space="720"/>
            <w:col w:w="3360"/>
          </w:cols>
          <w:pgMar w:left="320" w:top="337" w:right="339" w:bottom="1440" w:gutter="0" w:footer="0" w:header="0"/>
          <w:type w:val="continuous"/>
        </w:sectPr>
      </w:pPr>
    </w:p>
    <w:p>
      <w:pPr>
        <w:spacing w:after="0" w:line="208" w:lineRule="exact"/>
        <w:rPr>
          <w:sz w:val="20"/>
          <w:szCs w:val="20"/>
          <w:color w:val="auto"/>
        </w:rPr>
      </w:pPr>
    </w:p>
    <w:p>
      <w:pPr>
        <w:spacing w:after="0"/>
        <w:rPr>
          <w:sz w:val="20"/>
          <w:szCs w:val="20"/>
          <w:color w:val="auto"/>
        </w:rPr>
      </w:pPr>
      <w:r>
        <w:rPr>
          <w:rFonts w:ascii="Arial" w:cs="Arial" w:eastAsia="Arial" w:hAnsi="Arial"/>
          <w:sz w:val="32"/>
          <w:szCs w:val="32"/>
          <w:color w:val="auto"/>
        </w:rPr>
        <w:t>Bassett Furniture News Release</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Bassett Announces Fiscal Third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(Bassett, Va.) – September 28, 2023 – Bassett Furniture Industries, Inc. (Nasdaq: BSET) announced today its results of operations for its third quarter ended August 26,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2023 Third Quarter Highlights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Sales</w:t>
            </w:r>
          </w:p>
        </w:tc>
        <w:tc>
          <w:tcPr>
            <w:tcW w:w="9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4"/>
              </w:rPr>
              <w:t>Operating Income (Loss)</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3rd Qtr</w:t>
            </w: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Dollar</w:t>
            </w: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3rd Qtr</w:t>
            </w:r>
          </w:p>
        </w:tc>
        <w:tc>
          <w:tcPr>
            <w:tcW w:w="1200" w:type="dxa"/>
            <w:vAlign w:val="bottom"/>
            <w:gridSpan w:val="2"/>
          </w:tcPr>
          <w:p>
            <w:pPr>
              <w:ind w:left="300"/>
              <w:spacing w:after="0"/>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8"/>
                <w:szCs w:val="18"/>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3rd Qtr</w:t>
            </w: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8"/>
                <w:szCs w:val="18"/>
                <w:color w:val="auto"/>
              </w:rPr>
            </w:pPr>
          </w:p>
        </w:tc>
      </w:tr>
      <w:tr>
        <w:trPr>
          <w:trHeight w:val="223"/>
        </w:trPr>
        <w:tc>
          <w:tcPr>
            <w:tcW w:w="2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2022</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0"/>
              </w:rPr>
              <w:t>Change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9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Sales</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Sales</w:t>
            </w:r>
          </w:p>
        </w:tc>
        <w:tc>
          <w:tcPr>
            <w:tcW w:w="160" w:type="dxa"/>
            <w:vAlign w:val="bottom"/>
          </w:tcPr>
          <w:p>
            <w:pPr>
              <w:spacing w:after="0"/>
              <w:rPr>
                <w:sz w:val="19"/>
                <w:szCs w:val="19"/>
                <w:color w:val="auto"/>
              </w:rPr>
            </w:pPr>
          </w:p>
        </w:tc>
      </w:tr>
      <w:tr>
        <w:trPr>
          <w:trHeight w:val="210"/>
        </w:trPr>
        <w:tc>
          <w:tcPr>
            <w:tcW w:w="232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Consolidated </w:t>
            </w:r>
            <w:r>
              <w:rPr>
                <w:rFonts w:ascii="Arial" w:cs="Arial" w:eastAsia="Arial" w:hAnsi="Arial"/>
                <w:sz w:val="24"/>
                <w:szCs w:val="24"/>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(30.8)</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10.7</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Wholesale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(22.3)</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6.3</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(18.6)</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3.9</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5"/>
                <w:szCs w:val="25"/>
                <w:color w:val="auto"/>
                <w:vertAlign w:val="superscript"/>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consolidated results include certain intercompany eliminations. See Table 4, “Segment Information” below for an illustration of the effects of these items on our consolidated sales and operating income.</w:t>
      </w:r>
    </w:p>
    <w:p>
      <w:pPr>
        <w:spacing w:after="0" w:line="170" w:lineRule="exact"/>
        <w:rPr>
          <w:rFonts w:ascii="Arial" w:cs="Arial" w:eastAsia="Arial" w:hAnsi="Arial"/>
          <w:sz w:val="18"/>
          <w:szCs w:val="18"/>
          <w:color w:val="auto"/>
        </w:rPr>
      </w:pPr>
    </w:p>
    <w:p>
      <w:pPr>
        <w:ind w:left="340" w:right="20" w:hanging="332"/>
        <w:spacing w:after="0" w:line="25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Corporate and Other includes the operations of Noa Home Inc. for 2023 along with the shared Corporate costs that are benefiting both the Wholesale and Retail segments. This represents a change in our segment presentation from prior year periods. Previously, those shared Corporate costs had been included in the Wholesale segment and the operations of Noa Home Inc. were included in the Retail segment. Prior period results have been restated to conform to the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 w:name="page5"/>
    <w:bookmarkEnd w:id="4"/>
    <w:p>
      <w:pPr>
        <w:jc w:val="both"/>
        <w:spacing w:after="0" w:line="257" w:lineRule="auto"/>
        <w:rPr>
          <w:sz w:val="20"/>
          <w:szCs w:val="20"/>
          <w:color w:val="auto"/>
        </w:rPr>
      </w:pPr>
      <w:r>
        <w:rPr>
          <w:rFonts w:ascii="Arial" w:cs="Arial" w:eastAsia="Arial" w:hAnsi="Arial"/>
          <w:sz w:val="18"/>
          <w:szCs w:val="18"/>
          <w:color w:val="auto"/>
        </w:rPr>
        <w:t>Writing new business, both at wholesale and retail, proved very difficult in the twelve weeks between Memorial Day and the start of our Labor Day promotion in late August. Although we continue to see increased business around the important holiday events, day-to-day store traffic and wholesale order writing between the big events remain very challenging. We first began to see signs of a slowdown in the third quarter of 2022 and this year’s period represented another 4.6% decline in wholesale orders. Despite this softness, we continue to maintain a strong balance sheet while executing on the elements of our growth plans with the expectation of returning to profitability.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Wholesale margins of 11.2% were comparable to our second quarter margins despite an 8.5% sequential decline in wholesale revenue. Once again, we wrote down the value of certain slow-moving styles of our Club Level imported motion line, this time to the tune of $800 thousand. Recall that our Club Level inventory peaked at $22 million at the end of August 2022. At the most recent August close, our inventory was slightly over $11 million, or some 49% less than last year. Recognizing that we have some $6 million of excess and discontinued inventory, we still have several good selling styles in the Club Level line which produce good margins. Ultimately, we believe that $5 to $6 million of inventory will be sufficient to support this strategically important assortment.</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counter-balance to this situation is the steady performance of our domestic upholstery team that was able to improve margins over last year while dealing with a 31% decline in shipments. Their ability to drive efficiency and manage costs in such a demanding environment is impressive. Imported wood margins declined compared to last year but improved sequentially as compared to the second quarter on reduced shipments. The pandemic-related freight costs imbedded in our oldest import wood inventory is beginning to burn off, a trend which should accelerate and result in margin expansion in the coming months. Work schedules in our two domestic wood plants improved as the quarter wore on and continued on that path in the first weeks of the current quarter. It is hard to see the positive in a quarter where wholesale shipments declined by 28%, but we do have several trends that point to better results moving ahead.</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retail results for the quarter constituted the primary basis for the Company’s overall operating loss. Things have changed dramatically from 2022, our best retail year ever. In short, for the period, we did not generate enough retail revenue to break even. Actually, retail gross margins were comparable to prior year amidst a 26% decline in sales, but we were unable to reduce our fixed and variable SG&amp;A costs enough to maintain profitability with the reported level of sales. In the five weeks prior to this writing (which include the first four weeks of Q4), average weekly sales have improved markedly, but were aided by the expected Labor Day boost and by several new product introductions that coincided with the promotion. Although we cannot predict the longevity or the depth of the furniture industry’s current slump, we are once again focused on the disciplines of margin improvement, customer service, digital outreach, and store upgrades as we head toward 2024. Over the next four months, we also look forward to opening two new stores and re-opening an existing location that has been closed for remodeling.</w:t>
      </w:r>
    </w:p>
    <w:p>
      <w:pPr>
        <w:spacing w:after="0" w:line="178"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August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marked the debut of our new bassettfurniture.com website. The project was three years in the making and included the complete re-architecture of our product data, which now serves as the foundation of the new platform. We believe that, over time, we will improve site traffic and enhance both e-commerce and store conversions as a result of this investment. We are already seeing that engagement has improved as consumers are spending more time on the new site with each visit compared to previous metrics with our old platform. The launch of the new website coincided with the mailing of our fall catalog and the styling of the merchandise and its corresponding imagery represents a fresh new style direction for Bassett and the sell-through of the new items is off to a good start.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 w:name="page6"/>
    <w:bookmarkEnd w:id="5"/>
    <w:p>
      <w:pPr>
        <w:jc w:val="both"/>
        <w:spacing w:after="0" w:line="257" w:lineRule="auto"/>
        <w:rPr>
          <w:sz w:val="20"/>
          <w:szCs w:val="20"/>
          <w:color w:val="auto"/>
        </w:rPr>
      </w:pPr>
      <w:r>
        <w:rPr>
          <w:rFonts w:ascii="Arial" w:cs="Arial" w:eastAsia="Arial" w:hAnsi="Arial"/>
          <w:sz w:val="18"/>
          <w:szCs w:val="18"/>
          <w:color w:val="auto"/>
        </w:rPr>
        <w:t>We have now completed our first year of Noa Home ownership and we continue to use their perspective to provide insight for Bassett’s e-commerce journey and to build the future of the Noa brand. Advertising efficiency has been the recent focus at Noa as they have been able to reduce spending significantly while keeping their web traffic largely intact. A targeted entry into the U.S. market is imminent as is our expansion of their product offerings. Noa management is also evaluating the contributions of their global markets as they strive to further build North American penetration in Canada and the U.S.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Balancing investment in the business, returns to shareholders, and cash flow planning is particularly important in a tough sales climate. To date in 2023, the Company has returned approximately $8.5 million to shareholders in the form of dividends and share repurchases, including the 12.5% dividend increase, which was approved by our Board of Directors in July. Capital expenditures will likely come in between $17 and $19 million this year. Operating cash flow for the third quarter was $3.8 million. Our capital expenditure plan for 2024 is currently being formulated but will be significantly less than this year’s level of investment. We will continue to evaluate our capital allocation strategy closely as we better understand the implications of the current business landscape.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Robert H. Spilman, Jr., Chairman and CEO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Bassett Furniture Industries, Inc.</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Bassett Furniture Industries, Inc. (NASDAQ:BSET), is a leading manufacturer and marketer of high quality home furnishings. With 89 company- and licensee-owned stores at the time of this release, Bassett has leveraged its strong brand name in furniture into a network of corporate and licensed stores that focus on providing consumers with a friendly environment for buying furniture and accessories. Bassett’s retail strategy includes stylish, custom-built furniture that features the latest on-trend furniture styles, free in-home design visits, and coordinated decorating accessories. Bassett also has a traditional wholesale business with more than 700 accounts on the open market, across the United States and internationally and a logistics business specializing in home furnishings. For more information, visit the Company’s website at bassettfurniture.com. (BSET-E)</w:t>
      </w:r>
    </w:p>
    <w:p>
      <w:pPr>
        <w:spacing w:after="0" w:line="390" w:lineRule="exact"/>
        <w:rPr>
          <w:sz w:val="20"/>
          <w:szCs w:val="20"/>
          <w:color w:val="auto"/>
        </w:rPr>
      </w:pPr>
    </w:p>
    <w:p>
      <w:pPr>
        <w:jc w:val="both"/>
        <w:ind w:firstLine="414"/>
        <w:spacing w:after="0" w:line="289" w:lineRule="auto"/>
        <w:rPr>
          <w:sz w:val="20"/>
          <w:szCs w:val="20"/>
          <w:color w:val="auto"/>
        </w:rPr>
      </w:pPr>
      <w:r>
        <w:rPr>
          <w:rFonts w:ascii="Arial" w:cs="Arial" w:eastAsia="Arial" w:hAnsi="Arial"/>
          <w:sz w:val="16"/>
          <w:szCs w:val="16"/>
          <w:b w:val="1"/>
          <w:bCs w:val="1"/>
          <w:color w:val="auto"/>
        </w:rPr>
        <w:t xml:space="preserve">Certain of the statements in this release, particularly those preceded by, followed by or including the words </w:t>
      </w:r>
      <w:r>
        <w:rPr>
          <w:rFonts w:ascii="Arial" w:cs="Arial" w:eastAsia="Arial" w:hAnsi="Arial"/>
          <w:sz w:val="16"/>
          <w:szCs w:val="16"/>
          <w:color w:val="auto"/>
        </w:rPr>
        <w:t>“</w:t>
      </w:r>
      <w:r>
        <w:rPr>
          <w:rFonts w:ascii="Arial" w:cs="Arial" w:eastAsia="Arial" w:hAnsi="Arial"/>
          <w:sz w:val="16"/>
          <w:szCs w:val="16"/>
          <w:b w:val="1"/>
          <w:bCs w:val="1"/>
          <w:color w:val="auto"/>
        </w:rPr>
        <w:t>believes,</w:t>
      </w:r>
      <w:r>
        <w:rPr>
          <w:rFonts w:ascii="Arial" w:cs="Arial" w:eastAsia="Arial" w:hAnsi="Arial"/>
          <w:sz w:val="16"/>
          <w:szCs w:val="16"/>
          <w:color w:val="auto"/>
        </w:rPr>
        <w:t>” “</w:t>
      </w:r>
      <w:r>
        <w:rPr>
          <w:rFonts w:ascii="Arial" w:cs="Arial" w:eastAsia="Arial" w:hAnsi="Arial"/>
          <w:sz w:val="16"/>
          <w:szCs w:val="16"/>
          <w:b w:val="1"/>
          <w:bCs w:val="1"/>
          <w:color w:val="auto"/>
        </w:rPr>
        <w:t>plans,</w:t>
      </w:r>
      <w:r>
        <w:rPr>
          <w:rFonts w:ascii="Arial" w:cs="Arial" w:eastAsia="Arial" w:hAnsi="Arial"/>
          <w:sz w:val="16"/>
          <w:szCs w:val="16"/>
          <w:color w:val="auto"/>
        </w:rPr>
        <w:t>” “</w:t>
      </w:r>
      <w:r>
        <w:rPr>
          <w:rFonts w:ascii="Arial" w:cs="Arial" w:eastAsia="Arial" w:hAnsi="Arial"/>
          <w:sz w:val="16"/>
          <w:szCs w:val="16"/>
          <w:b w:val="1"/>
          <w:bCs w:val="1"/>
          <w:color w:val="auto"/>
        </w:rPr>
        <w:t>expects,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anticipates,</w:t>
      </w:r>
      <w:r>
        <w:rPr>
          <w:rFonts w:ascii="Arial" w:cs="Arial" w:eastAsia="Arial" w:hAnsi="Arial"/>
          <w:sz w:val="16"/>
          <w:szCs w:val="16"/>
          <w:color w:val="auto"/>
        </w:rPr>
        <w:t>” “</w:t>
      </w:r>
      <w:r>
        <w:rPr>
          <w:rFonts w:ascii="Arial" w:cs="Arial" w:eastAsia="Arial" w:hAnsi="Arial"/>
          <w:sz w:val="16"/>
          <w:szCs w:val="16"/>
          <w:b w:val="1"/>
          <w:bCs w:val="1"/>
          <w:color w:val="auto"/>
        </w:rPr>
        <w:t>intends,</w:t>
      </w:r>
      <w:r>
        <w:rPr>
          <w:rFonts w:ascii="Arial" w:cs="Arial" w:eastAsia="Arial" w:hAnsi="Arial"/>
          <w:sz w:val="16"/>
          <w:szCs w:val="16"/>
          <w:color w:val="auto"/>
        </w:rPr>
        <w:t>” “</w:t>
      </w:r>
      <w:r>
        <w:rPr>
          <w:rFonts w:ascii="Arial" w:cs="Arial" w:eastAsia="Arial" w:hAnsi="Arial"/>
          <w:sz w:val="16"/>
          <w:szCs w:val="16"/>
          <w:b w:val="1"/>
          <w:bCs w:val="1"/>
          <w:color w:val="auto"/>
        </w:rPr>
        <w:t>should,</w:t>
      </w:r>
      <w:r>
        <w:rPr>
          <w:rFonts w:ascii="Arial" w:cs="Arial" w:eastAsia="Arial" w:hAnsi="Arial"/>
          <w:sz w:val="16"/>
          <w:szCs w:val="16"/>
          <w:color w:val="auto"/>
        </w:rPr>
        <w:t>” “</w:t>
      </w:r>
      <w:r>
        <w:rPr>
          <w:rFonts w:ascii="Arial" w:cs="Arial" w:eastAsia="Arial" w:hAnsi="Arial"/>
          <w:sz w:val="16"/>
          <w:szCs w:val="16"/>
          <w:b w:val="1"/>
          <w:bCs w:val="1"/>
          <w:color w:val="auto"/>
        </w:rPr>
        <w:t>estimates,</w:t>
      </w:r>
      <w:r>
        <w:rPr>
          <w:rFonts w:ascii="Arial" w:cs="Arial" w:eastAsia="Arial" w:hAnsi="Arial"/>
          <w:sz w:val="16"/>
          <w:szCs w:val="16"/>
          <w:color w:val="auto"/>
        </w:rPr>
        <w:t xml:space="preserve">” </w:t>
      </w:r>
      <w:r>
        <w:rPr>
          <w:rFonts w:ascii="Arial" w:cs="Arial" w:eastAsia="Arial" w:hAnsi="Arial"/>
          <w:sz w:val="16"/>
          <w:szCs w:val="16"/>
          <w:b w:val="1"/>
          <w:bCs w:val="1"/>
          <w:color w:val="auto"/>
        </w:rPr>
        <w:t>or similar expressions, or those relating to or anticipating financial results or changes in operations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for periods beyond the end of the third fiscal quarter of 2023, constitute </w:t>
      </w:r>
      <w:r>
        <w:rPr>
          <w:rFonts w:ascii="Arial" w:cs="Arial" w:eastAsia="Arial" w:hAnsi="Arial"/>
          <w:sz w:val="16"/>
          <w:szCs w:val="16"/>
          <w:color w:val="auto"/>
        </w:rPr>
        <w:t>“</w:t>
      </w:r>
      <w:r>
        <w:rPr>
          <w:rFonts w:ascii="Arial" w:cs="Arial" w:eastAsia="Arial" w:hAnsi="Arial"/>
          <w:sz w:val="16"/>
          <w:szCs w:val="16"/>
          <w:b w:val="1"/>
          <w:bCs w:val="1"/>
          <w:color w:val="auto"/>
        </w:rPr>
        <w:t>forward looking statements</w:t>
      </w:r>
      <w:r>
        <w:rPr>
          <w:rFonts w:ascii="Arial" w:cs="Arial" w:eastAsia="Arial" w:hAnsi="Arial"/>
          <w:sz w:val="16"/>
          <w:szCs w:val="16"/>
          <w:color w:val="auto"/>
        </w:rPr>
        <w:t>”</w:t>
      </w:r>
      <w:r>
        <w:rPr>
          <w:rFonts w:ascii="Arial" w:cs="Arial" w:eastAsia="Arial" w:hAnsi="Arial"/>
          <w:sz w:val="16"/>
          <w:szCs w:val="16"/>
          <w:b w:val="1"/>
          <w:bCs w:val="1"/>
          <w:color w:val="auto"/>
        </w:rPr>
        <w:t xml:space="preserve"> within the meaning of Section 27A of the</w:t>
      </w:r>
    </w:p>
    <w:p>
      <w:pPr>
        <w:spacing w:after="0" w:line="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Securities Act of 1933, as amended. For those statements, Bassett claims the protection of the safe harbor for forward looking statements contained in the Private Securities Litigation Reform Act of 1995. In many cases, Bassett cannot predict what factors would cause actual results to differ materially from those indicated in the forward-looking statements. Expectations included in the forward-looking statements are based on preliminary information as well as certain assumptions which management believes to be reasonable at this time. The following important factors affect Bassett and could cause actual results to differ materially from those indicated in the forward looking statements: the effects of national and global economic or other conditions and future events on the retail demand for home furnishings and the ability of Bassett</w:t>
      </w:r>
      <w:r>
        <w:rPr>
          <w:rFonts w:ascii="Arial" w:cs="Arial" w:eastAsia="Arial" w:hAnsi="Arial"/>
          <w:sz w:val="16"/>
          <w:szCs w:val="16"/>
          <w:color w:val="auto"/>
        </w:rPr>
        <w:t>’</w:t>
      </w:r>
      <w:r>
        <w:rPr>
          <w:rFonts w:ascii="Arial" w:cs="Arial" w:eastAsia="Arial" w:hAnsi="Arial"/>
          <w:sz w:val="16"/>
          <w:szCs w:val="16"/>
          <w:b w:val="1"/>
          <w:bCs w:val="1"/>
          <w:color w:val="auto"/>
        </w:rPr>
        <w:t>s customers and consumers to obtain credit; the success of marketing, logistics, retail and other initiatives; and the economic, competitive, governmental and other factors identified in Bassett</w:t>
      </w:r>
      <w:r>
        <w:rPr>
          <w:rFonts w:ascii="Arial" w:cs="Arial" w:eastAsia="Arial" w:hAnsi="Arial"/>
          <w:sz w:val="16"/>
          <w:szCs w:val="16"/>
          <w:color w:val="auto"/>
        </w:rPr>
        <w:t>’</w:t>
      </w:r>
      <w:r>
        <w:rPr>
          <w:rFonts w:ascii="Arial" w:cs="Arial" w:eastAsia="Arial" w:hAnsi="Arial"/>
          <w:sz w:val="16"/>
          <w:szCs w:val="16"/>
          <w:b w:val="1"/>
          <w:bCs w:val="1"/>
          <w:color w:val="auto"/>
        </w:rPr>
        <w:t>s filings with the Securities and Exchange Commission. Any forward-looking statement that Bassett makes speaks only as of the date of such statement, and Bassett undertakes no obligation to update any forward-looking statements, whether as a result of new information, future events or otherwise. Comparisons of results for current and any prior periods are not intended to express any future trends or indication of future performance, unless expressed as such, and should only be viewed as historical data.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Table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8"/>
                <w:szCs w:val="18"/>
                <w:color w:val="auto"/>
              </w:rPr>
              <w:t>Quarter Ended</w:t>
            </w:r>
          </w:p>
        </w:tc>
        <w:tc>
          <w:tcPr>
            <w:tcW w:w="8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color w:val="auto"/>
              </w:rPr>
              <w:t>Nine Months Ended</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4"/>
          </w:tcPr>
          <w:p>
            <w:pPr>
              <w:jc w:val="right"/>
              <w:ind w:right="660"/>
              <w:spacing w:after="0"/>
              <w:rPr>
                <w:sz w:val="20"/>
                <w:szCs w:val="20"/>
                <w:color w:val="auto"/>
              </w:rPr>
            </w:pPr>
            <w:r>
              <w:rPr>
                <w:rFonts w:ascii="Arial" w:cs="Arial" w:eastAsia="Arial" w:hAnsi="Arial"/>
                <w:sz w:val="18"/>
                <w:szCs w:val="18"/>
                <w:color w:val="auto"/>
              </w:rPr>
              <w:t>August 26, 2023</w:t>
            </w:r>
          </w:p>
        </w:tc>
        <w:tc>
          <w:tcPr>
            <w:tcW w:w="120" w:type="dxa"/>
            <w:vAlign w:val="bottom"/>
          </w:tcPr>
          <w:p>
            <w:pPr>
              <w:spacing w:after="0"/>
              <w:rPr>
                <w:sz w:val="18"/>
                <w:szCs w:val="18"/>
                <w:color w:val="auto"/>
              </w:rPr>
            </w:pPr>
          </w:p>
        </w:tc>
        <w:tc>
          <w:tcPr>
            <w:tcW w:w="1880" w:type="dxa"/>
            <w:vAlign w:val="bottom"/>
            <w:gridSpan w:val="3"/>
          </w:tcPr>
          <w:p>
            <w:pPr>
              <w:jc w:val="right"/>
              <w:ind w:right="310"/>
              <w:spacing w:after="0"/>
              <w:rPr>
                <w:sz w:val="20"/>
                <w:szCs w:val="20"/>
                <w:color w:val="auto"/>
              </w:rPr>
            </w:pPr>
            <w:r>
              <w:rPr>
                <w:rFonts w:ascii="Arial" w:cs="Arial" w:eastAsia="Arial" w:hAnsi="Arial"/>
                <w:sz w:val="18"/>
                <w:szCs w:val="18"/>
                <w:color w:val="auto"/>
              </w:rPr>
              <w:t>August 27, 2022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4"/>
          </w:tcPr>
          <w:p>
            <w:pPr>
              <w:jc w:val="right"/>
              <w:ind w:right="680"/>
              <w:spacing w:after="0"/>
              <w:rPr>
                <w:sz w:val="20"/>
                <w:szCs w:val="20"/>
                <w:color w:val="auto"/>
              </w:rPr>
            </w:pPr>
            <w:r>
              <w:rPr>
                <w:rFonts w:ascii="Arial" w:cs="Arial" w:eastAsia="Arial" w:hAnsi="Arial"/>
                <w:sz w:val="18"/>
                <w:szCs w:val="18"/>
                <w:color w:val="auto"/>
              </w:rPr>
              <w:t>August 26, 2023</w:t>
            </w:r>
          </w:p>
        </w:tc>
        <w:tc>
          <w:tcPr>
            <w:tcW w:w="120" w:type="dxa"/>
            <w:vAlign w:val="bottom"/>
          </w:tcPr>
          <w:p>
            <w:pPr>
              <w:spacing w:after="0"/>
              <w:rPr>
                <w:sz w:val="18"/>
                <w:szCs w:val="18"/>
                <w:color w:val="auto"/>
              </w:rPr>
            </w:pPr>
          </w:p>
        </w:tc>
        <w:tc>
          <w:tcPr>
            <w:tcW w:w="1880" w:type="dxa"/>
            <w:vAlign w:val="bottom"/>
            <w:gridSpan w:val="3"/>
          </w:tcPr>
          <w:p>
            <w:pPr>
              <w:jc w:val="right"/>
              <w:ind w:right="310"/>
              <w:spacing w:after="0"/>
              <w:rPr>
                <w:sz w:val="20"/>
                <w:szCs w:val="20"/>
                <w:color w:val="auto"/>
              </w:rPr>
            </w:pPr>
            <w:r>
              <w:rPr>
                <w:rFonts w:ascii="Arial" w:cs="Arial" w:eastAsia="Arial" w:hAnsi="Arial"/>
                <w:sz w:val="18"/>
                <w:szCs w:val="18"/>
                <w:color w:val="auto"/>
              </w:rPr>
              <w:t>August 27, 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Percent of</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Percent of</w:t>
            </w: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Percent of</w:t>
            </w: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Percent of</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Amount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Net Sales</w:t>
            </w: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Amount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Net Sales</w:t>
            </w:r>
          </w:p>
        </w:tc>
        <w:tc>
          <w:tcPr>
            <w:tcW w:w="12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w w:val="96"/>
              </w:rPr>
              <w:t>Amount</w:t>
            </w:r>
          </w:p>
        </w:tc>
        <w:tc>
          <w:tcPr>
            <w:tcW w:w="22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Net Sales</w:t>
            </w:r>
          </w:p>
        </w:tc>
        <w:tc>
          <w:tcPr>
            <w:tcW w:w="120" w:type="dxa"/>
            <w:vAlign w:val="bottom"/>
          </w:tcPr>
          <w:p>
            <w:pPr>
              <w:spacing w:after="0"/>
              <w:rPr>
                <w:sz w:val="20"/>
                <w:szCs w:val="20"/>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Net Sales</w:t>
            </w: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sales of furniture and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accessories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87,217</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118,012</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295,434</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364,582</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2"/>
        </w:trPr>
        <w:tc>
          <w:tcPr>
            <w:tcW w:w="2200" w:type="dxa"/>
            <w:vAlign w:val="bottom"/>
          </w:tcPr>
          <w:p>
            <w:pPr>
              <w:spacing w:after="0" w:line="201" w:lineRule="exact"/>
              <w:rPr>
                <w:sz w:val="20"/>
                <w:szCs w:val="20"/>
                <w:color w:val="auto"/>
              </w:rPr>
            </w:pPr>
            <w:r>
              <w:rPr>
                <w:rFonts w:ascii="Arial" w:cs="Arial" w:eastAsia="Arial" w:hAnsi="Arial"/>
                <w:sz w:val="18"/>
                <w:szCs w:val="18"/>
                <w:color w:val="auto"/>
              </w:rPr>
              <w:t>Cost of furniture and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42,173</w:t>
            </w: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7"/>
                <w:szCs w:val="17"/>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57,240</w:t>
            </w: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140,360</w:t>
            </w:r>
          </w:p>
        </w:tc>
        <w:tc>
          <w:tcPr>
            <w:tcW w:w="220" w:type="dxa"/>
            <w:vAlign w:val="bottom"/>
          </w:tcPr>
          <w:p>
            <w:pPr>
              <w:spacing w:after="0"/>
              <w:rPr>
                <w:sz w:val="17"/>
                <w:szCs w:val="17"/>
                <w:color w:val="auto"/>
              </w:rPr>
            </w:pP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180,479</w:t>
            </w:r>
          </w:p>
        </w:tc>
        <w:tc>
          <w:tcPr>
            <w:tcW w:w="200" w:type="dxa"/>
            <w:vAlign w:val="bottom"/>
          </w:tcPr>
          <w:p>
            <w:pPr>
              <w:spacing w:after="0"/>
              <w:rPr>
                <w:sz w:val="17"/>
                <w:szCs w:val="17"/>
                <w:color w:val="auto"/>
              </w:rPr>
            </w:pPr>
          </w:p>
        </w:tc>
        <w:tc>
          <w:tcPr>
            <w:tcW w:w="10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7"/>
        </w:trPr>
        <w:tc>
          <w:tcPr>
            <w:tcW w:w="2200" w:type="dxa"/>
            <w:vAlign w:val="bottom"/>
          </w:tcPr>
          <w:p>
            <w:pPr>
              <w:spacing w:after="0"/>
              <w:rPr>
                <w:sz w:val="20"/>
                <w:szCs w:val="20"/>
                <w:color w:val="auto"/>
              </w:rPr>
            </w:pPr>
            <w:r>
              <w:rPr>
                <w:rFonts w:ascii="Arial" w:cs="Arial" w:eastAsia="Arial" w:hAnsi="Arial"/>
                <w:sz w:val="18"/>
                <w:szCs w:val="18"/>
                <w:color w:val="auto"/>
              </w:rPr>
              <w:t>accessories sold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45,044</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60,772</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155,074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184,103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expenses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48,848</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54,695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154,709</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160,536</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02"/>
        </w:trPr>
        <w:tc>
          <w:tcPr>
            <w:tcW w:w="2200" w:type="dxa"/>
            <w:vAlign w:val="bottom"/>
          </w:tcPr>
          <w:p>
            <w:pPr>
              <w:spacing w:after="0" w:line="201" w:lineRule="exact"/>
              <w:rPr>
                <w:sz w:val="20"/>
                <w:szCs w:val="20"/>
                <w:color w:val="auto"/>
              </w:rPr>
            </w:pPr>
            <w:r>
              <w:rPr>
                <w:rFonts w:ascii="Arial" w:cs="Arial" w:eastAsia="Arial" w:hAnsi="Arial"/>
                <w:sz w:val="18"/>
                <w:szCs w:val="18"/>
                <w:color w:val="auto"/>
              </w:rPr>
              <w:t>Gain on sale of retail real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estate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4,595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4,595</w:t>
            </w:r>
          </w:p>
        </w:tc>
        <w:tc>
          <w:tcPr>
            <w:tcW w:w="2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Gain on revaluation of</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200" w:type="dxa"/>
            <w:vAlign w:val="bottom"/>
            <w:tcBorders>
              <w:top w:val="single" w:sz="8" w:color="CCEEFF"/>
            </w:tcBorders>
          </w:tcPr>
          <w:p>
            <w:pPr>
              <w:ind w:left="180"/>
              <w:spacing w:after="0" w:line="195" w:lineRule="exact"/>
              <w:rPr>
                <w:sz w:val="20"/>
                <w:szCs w:val="20"/>
                <w:color w:val="auto"/>
              </w:rPr>
            </w:pPr>
            <w:r>
              <w:rPr>
                <w:rFonts w:ascii="Arial" w:cs="Arial" w:eastAsia="Arial" w:hAnsi="Arial"/>
                <w:sz w:val="18"/>
                <w:szCs w:val="18"/>
                <w:color w:val="auto"/>
              </w:rPr>
              <w:t>Income (loss) from</w:t>
            </w: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(3,804)</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10,672</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1,378</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28,162</w:t>
            </w:r>
          </w:p>
        </w:tc>
        <w:tc>
          <w:tcPr>
            <w:tcW w:w="2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923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1,644</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62"/>
        </w:trPr>
        <w:tc>
          <w:tcPr>
            <w:tcW w:w="2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Other loss, net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220" w:type="dxa"/>
            <w:vAlign w:val="bottom"/>
            <w:shd w:val="clear" w:color="auto" w:fill="CCEEFF"/>
          </w:tcPr>
          <w:p>
            <w:pPr>
              <w:jc w:val="right"/>
              <w:ind w:right="81"/>
              <w:spacing w:after="0" w:line="162" w:lineRule="exact"/>
              <w:rPr>
                <w:sz w:val="20"/>
                <w:szCs w:val="20"/>
                <w:color w:val="auto"/>
              </w:rPr>
            </w:pPr>
            <w:r>
              <w:rPr>
                <w:rFonts w:ascii="Arial" w:cs="Arial" w:eastAsia="Arial" w:hAnsi="Arial"/>
                <w:sz w:val="16"/>
                <w:szCs w:val="16"/>
                <w:color w:val="auto"/>
                <w:w w:val="74"/>
              </w:rPr>
              <w:t>)</w:t>
            </w: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200" w:type="dxa"/>
            <w:vAlign w:val="bottom"/>
            <w:shd w:val="clear" w:color="auto" w:fill="CCEEFF"/>
          </w:tcPr>
          <w:p>
            <w:pPr>
              <w:jc w:val="right"/>
              <w:ind w:right="61"/>
              <w:spacing w:after="0" w:line="162" w:lineRule="exact"/>
              <w:rPr>
                <w:sz w:val="20"/>
                <w:szCs w:val="20"/>
                <w:color w:val="auto"/>
              </w:rPr>
            </w:pPr>
            <w:r>
              <w:rPr>
                <w:rFonts w:ascii="Arial" w:cs="Arial" w:eastAsia="Arial" w:hAnsi="Arial"/>
                <w:sz w:val="16"/>
                <w:szCs w:val="16"/>
                <w:color w:val="auto"/>
                <w:w w:val="74"/>
              </w:rPr>
              <w:t>)</w:t>
            </w:r>
          </w:p>
        </w:tc>
        <w:tc>
          <w:tcPr>
            <w:tcW w:w="10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68"/>
        </w:trPr>
        <w:tc>
          <w:tcPr>
            <w:tcW w:w="220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80" w:type="dxa"/>
            <w:vAlign w:val="bottom"/>
            <w:gridSpan w:val="2"/>
            <w:shd w:val="clear" w:color="auto" w:fill="CCEEFF"/>
          </w:tcPr>
          <w:p>
            <w:pPr>
              <w:jc w:val="right"/>
              <w:ind w:right="220"/>
              <w:spacing w:after="0" w:line="68" w:lineRule="exact"/>
              <w:rPr>
                <w:sz w:val="20"/>
                <w:szCs w:val="20"/>
                <w:color w:val="auto"/>
              </w:rPr>
            </w:pPr>
            <w:r>
              <w:rPr>
                <w:rFonts w:ascii="Arial" w:cs="Arial" w:eastAsia="Arial" w:hAnsi="Arial"/>
                <w:sz w:val="7"/>
                <w:szCs w:val="7"/>
                <w:color w:val="auto"/>
              </w:rPr>
              <w:t>(309</w:t>
            </w:r>
          </w:p>
        </w:tc>
        <w:tc>
          <w:tcPr>
            <w:tcW w:w="116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gridSpan w:val="2"/>
            <w:shd w:val="clear" w:color="auto" w:fill="CCEEFF"/>
          </w:tcPr>
          <w:p>
            <w:pPr>
              <w:jc w:val="right"/>
              <w:ind w:right="220"/>
              <w:spacing w:after="0" w:line="68" w:lineRule="exact"/>
              <w:rPr>
                <w:sz w:val="20"/>
                <w:szCs w:val="20"/>
                <w:color w:val="auto"/>
              </w:rPr>
            </w:pPr>
            <w:r>
              <w:rPr>
                <w:rFonts w:ascii="Arial" w:cs="Arial" w:eastAsia="Arial" w:hAnsi="Arial"/>
                <w:sz w:val="7"/>
                <w:szCs w:val="7"/>
                <w:color w:val="auto"/>
              </w:rPr>
              <w:t>(714</w:t>
            </w:r>
          </w:p>
        </w:tc>
        <w:tc>
          <w:tcPr>
            <w:tcW w:w="116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6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6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20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Income (loss) from</w:t>
            </w: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w w:val="95"/>
              </w:rPr>
              <w:t>continuing operations before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(3,190)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10,078</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1,641</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26,312</w:t>
            </w:r>
          </w:p>
        </w:tc>
        <w:tc>
          <w:tcPr>
            <w:tcW w:w="2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00" w:type="dxa"/>
            <w:vAlign w:val="bottom"/>
            <w:vMerge w:val="restart"/>
          </w:tcPr>
          <w:p>
            <w:pPr>
              <w:spacing w:after="0"/>
              <w:rPr>
                <w:sz w:val="20"/>
                <w:szCs w:val="20"/>
                <w:color w:val="auto"/>
              </w:rPr>
            </w:pPr>
            <w:r>
              <w:rPr>
                <w:rFonts w:ascii="Arial" w:cs="Arial" w:eastAsia="Arial" w:hAnsi="Arial"/>
                <w:sz w:val="18"/>
                <w:szCs w:val="18"/>
                <w:color w:val="auto"/>
                <w:w w:val="93"/>
              </w:rPr>
              <w:t>Income tax expense (benefit)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60"/>
              <w:spacing w:after="0" w:line="162" w:lineRule="exact"/>
              <w:rPr>
                <w:sz w:val="20"/>
                <w:szCs w:val="20"/>
                <w:color w:val="auto"/>
              </w:rPr>
            </w:pPr>
            <w:r>
              <w:rPr>
                <w:rFonts w:ascii="Arial" w:cs="Arial" w:eastAsia="Arial" w:hAnsi="Arial"/>
                <w:sz w:val="18"/>
                <w:szCs w:val="18"/>
                <w:color w:val="auto"/>
              </w:rPr>
              <w:t>)</w:t>
            </w: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2,305</w:t>
            </w: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711</w:t>
            </w:r>
          </w:p>
        </w:tc>
        <w:tc>
          <w:tcPr>
            <w:tcW w:w="220" w:type="dxa"/>
            <w:vAlign w:val="bottom"/>
          </w:tcPr>
          <w:p>
            <w:pPr>
              <w:spacing w:after="0"/>
              <w:rPr>
                <w:sz w:val="14"/>
                <w:szCs w:val="14"/>
                <w:color w:val="auto"/>
              </w:rPr>
            </w:pP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6,505</w:t>
            </w:r>
          </w:p>
        </w:tc>
        <w:tc>
          <w:tcPr>
            <w:tcW w:w="200" w:type="dxa"/>
            <w:vAlign w:val="bottom"/>
          </w:tcPr>
          <w:p>
            <w:pPr>
              <w:spacing w:after="0"/>
              <w:rPr>
                <w:sz w:val="14"/>
                <w:szCs w:val="14"/>
                <w:color w:val="auto"/>
              </w:rPr>
            </w:pPr>
          </w:p>
        </w:tc>
        <w:tc>
          <w:tcPr>
            <w:tcW w:w="10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68"/>
        </w:trPr>
        <w:tc>
          <w:tcPr>
            <w:tcW w:w="2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tcPr>
          <w:p>
            <w:pPr>
              <w:jc w:val="right"/>
              <w:ind w:right="220"/>
              <w:spacing w:after="0" w:line="68" w:lineRule="exact"/>
              <w:rPr>
                <w:sz w:val="20"/>
                <w:szCs w:val="20"/>
                <w:color w:val="auto"/>
              </w:rPr>
            </w:pPr>
            <w:r>
              <w:rPr>
                <w:rFonts w:ascii="Arial" w:cs="Arial" w:eastAsia="Arial" w:hAnsi="Arial"/>
                <w:sz w:val="7"/>
                <w:szCs w:val="7"/>
                <w:color w:val="auto"/>
              </w:rPr>
              <w:t>(599</w:t>
            </w:r>
          </w:p>
        </w:tc>
        <w:tc>
          <w:tcPr>
            <w:tcW w:w="11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2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Income (loss) from</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continuing operations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line="190" w:lineRule="exact"/>
              <w:rPr>
                <w:sz w:val="20"/>
                <w:szCs w:val="20"/>
                <w:color w:val="auto"/>
              </w:rPr>
            </w:pPr>
            <w:r>
              <w:rPr>
                <w:rFonts w:ascii="Arial" w:cs="Arial" w:eastAsia="Arial" w:hAnsi="Arial"/>
                <w:sz w:val="18"/>
                <w:szCs w:val="18"/>
                <w:color w:val="auto"/>
              </w:rPr>
              <w:t>(2,591)</w:t>
            </w:r>
          </w:p>
        </w:tc>
        <w:tc>
          <w:tcPr>
            <w:tcW w:w="11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line="190" w:lineRule="exact"/>
              <w:rPr>
                <w:sz w:val="20"/>
                <w:szCs w:val="20"/>
                <w:color w:val="auto"/>
              </w:rPr>
            </w:pPr>
            <w:r>
              <w:rPr>
                <w:rFonts w:ascii="Arial" w:cs="Arial" w:eastAsia="Arial" w:hAnsi="Arial"/>
                <w:sz w:val="18"/>
                <w:szCs w:val="18"/>
                <w:color w:val="auto"/>
              </w:rPr>
              <w:t>7,773</w:t>
            </w:r>
          </w:p>
        </w:tc>
        <w:tc>
          <w:tcPr>
            <w:tcW w:w="11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line="190" w:lineRule="exact"/>
              <w:rPr>
                <w:sz w:val="20"/>
                <w:szCs w:val="20"/>
                <w:color w:val="auto"/>
              </w:rPr>
            </w:pPr>
            <w:r>
              <w:rPr>
                <w:rFonts w:ascii="Arial" w:cs="Arial" w:eastAsia="Arial" w:hAnsi="Arial"/>
                <w:sz w:val="18"/>
                <w:szCs w:val="18"/>
                <w:color w:val="auto"/>
              </w:rPr>
              <w:t>930</w:t>
            </w:r>
          </w:p>
        </w:tc>
        <w:tc>
          <w:tcPr>
            <w:tcW w:w="22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line="190" w:lineRule="exact"/>
              <w:rPr>
                <w:sz w:val="20"/>
                <w:szCs w:val="20"/>
                <w:color w:val="auto"/>
              </w:rPr>
            </w:pPr>
            <w:r>
              <w:rPr>
                <w:rFonts w:ascii="Arial" w:cs="Arial" w:eastAsia="Arial" w:hAnsi="Arial"/>
                <w:sz w:val="18"/>
                <w:szCs w:val="18"/>
                <w:color w:val="auto"/>
              </w:rPr>
              <w:t>19,807</w:t>
            </w:r>
          </w:p>
        </w:tc>
        <w:tc>
          <w:tcPr>
            <w:tcW w:w="2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180"/>
              <w:spacing w:after="0" w:line="201" w:lineRule="exact"/>
              <w:rPr>
                <w:sz w:val="20"/>
                <w:szCs w:val="20"/>
                <w:color w:val="auto"/>
              </w:rPr>
            </w:pPr>
            <w:r>
              <w:rPr>
                <w:rFonts w:ascii="Arial" w:cs="Arial" w:eastAsia="Arial" w:hAnsi="Arial"/>
                <w:sz w:val="18"/>
                <w:szCs w:val="18"/>
                <w:color w:val="auto"/>
                <w:w w:val="95"/>
              </w:rPr>
              <w:t>Income from operations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180"/>
              <w:spacing w:after="0"/>
              <w:rPr>
                <w:sz w:val="20"/>
                <w:szCs w:val="20"/>
                <w:color w:val="auto"/>
              </w:rPr>
            </w:pPr>
            <w:r>
              <w:rPr>
                <w:rFonts w:ascii="Arial" w:cs="Arial" w:eastAsia="Arial" w:hAnsi="Arial"/>
                <w:sz w:val="18"/>
                <w:szCs w:val="18"/>
                <w:color w:val="auto"/>
              </w:rPr>
              <w:t>logistical services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1,712</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Gain on disposal (less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53,061</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14,261</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spacing w:after="0" w:line="201" w:lineRule="exact"/>
              <w:rPr>
                <w:sz w:val="20"/>
                <w:szCs w:val="20"/>
                <w:color w:val="auto"/>
              </w:rPr>
            </w:pPr>
            <w:r>
              <w:rPr>
                <w:rFonts w:ascii="Arial" w:cs="Arial" w:eastAsia="Arial" w:hAnsi="Arial"/>
                <w:sz w:val="18"/>
                <w:szCs w:val="18"/>
                <w:color w:val="auto"/>
              </w:rPr>
              <w:t>Income (loss) from</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w w:val="94"/>
              </w:rPr>
              <w:t>discontinued operations -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(145)</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40,512</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200" w:type="dxa"/>
            <w:vAlign w:val="bottom"/>
          </w:tcPr>
          <w:p>
            <w:pPr>
              <w:spacing w:after="0"/>
              <w:rPr>
                <w:sz w:val="20"/>
                <w:szCs w:val="20"/>
                <w:color w:val="auto"/>
              </w:rPr>
            </w:pPr>
            <w:r>
              <w:rPr>
                <w:rFonts w:ascii="Arial" w:cs="Arial" w:eastAsia="Arial" w:hAnsi="Arial"/>
                <w:sz w:val="18"/>
                <w:szCs w:val="18"/>
                <w:color w:val="auto"/>
              </w:rPr>
              <w:t>of tax</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(2,591)</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7,628</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930</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60,319</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00" w:type="dxa"/>
            <w:vAlign w:val="bottom"/>
          </w:tcPr>
          <w:p>
            <w:pPr>
              <w:spacing w:after="0" w:line="201" w:lineRule="exact"/>
              <w:rPr>
                <w:sz w:val="20"/>
                <w:szCs w:val="20"/>
                <w:color w:val="auto"/>
              </w:rPr>
            </w:pPr>
            <w:r>
              <w:rPr>
                <w:rFonts w:ascii="Arial" w:cs="Arial" w:eastAsia="Arial" w:hAnsi="Arial"/>
                <w:sz w:val="18"/>
                <w:szCs w:val="18"/>
                <w:color w:val="auto"/>
              </w:rPr>
              <w:t>Basic and diluted earnings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(loss) per share: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Income (loss) from</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(0.30)</w:t>
            </w: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0.84</w:t>
            </w: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180"/>
              <w:spacing w:after="0" w:line="201" w:lineRule="exact"/>
              <w:rPr>
                <w:sz w:val="20"/>
                <w:szCs w:val="20"/>
                <w:color w:val="auto"/>
              </w:rPr>
            </w:pPr>
            <w:r>
              <w:rPr>
                <w:rFonts w:ascii="Arial" w:cs="Arial" w:eastAsia="Arial" w:hAnsi="Arial"/>
                <w:sz w:val="18"/>
                <w:szCs w:val="18"/>
                <w:color w:val="auto"/>
              </w:rPr>
              <w:t>Income (loss) from</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(0.02)</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4.26</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20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200" w:type="dxa"/>
            <w:vAlign w:val="bottom"/>
            <w:shd w:val="clear" w:color="auto" w:fill="CCEEFF"/>
          </w:tcPr>
          <w:p>
            <w:pPr>
              <w:ind w:left="340"/>
              <w:spacing w:after="0" w:line="195" w:lineRule="exact"/>
              <w:rPr>
                <w:sz w:val="20"/>
                <w:szCs w:val="20"/>
                <w:color w:val="auto"/>
              </w:rPr>
            </w:pPr>
            <w:r>
              <w:rPr>
                <w:rFonts w:ascii="Arial" w:cs="Arial" w:eastAsia="Arial" w:hAnsi="Arial"/>
                <w:sz w:val="18"/>
                <w:szCs w:val="18"/>
                <w:color w:val="auto"/>
              </w:rPr>
              <w:t>Basic and diluted</w:t>
            </w:r>
          </w:p>
        </w:tc>
        <w:tc>
          <w:tcPr>
            <w:tcW w:w="80" w:type="dxa"/>
            <w:vAlign w:val="bottom"/>
            <w:vMerge w:val="restart"/>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(0.30)</w:t>
            </w: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0.82</w:t>
            </w: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340"/>
              <w:spacing w:after="0" w:line="190" w:lineRule="exact"/>
              <w:rPr>
                <w:sz w:val="20"/>
                <w:szCs w:val="20"/>
                <w:color w:val="auto"/>
              </w:rPr>
            </w:pPr>
            <w:r>
              <w:rPr>
                <w:rFonts w:ascii="Arial" w:cs="Arial" w:eastAsia="Arial" w:hAnsi="Arial"/>
                <w:sz w:val="18"/>
                <w:szCs w:val="18"/>
                <w:color w:val="auto"/>
                <w:w w:val="92"/>
              </w:rPr>
              <w:t>earnings (loss) per share</w:t>
            </w:r>
          </w:p>
        </w:tc>
        <w:tc>
          <w:tcPr>
            <w:tcW w:w="8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55"/>
        </w:trPr>
        <w:tc>
          <w:tcPr>
            <w:tcW w:w="22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Table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(Unaudited)</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8000" w:type="dxa"/>
            <w:vAlign w:val="bottom"/>
            <w:gridSpan w:val="3"/>
          </w:tcPr>
          <w:p>
            <w:pPr>
              <w:spacing w:after="0" w:line="203"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148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w w:val="91"/>
              </w:rPr>
              <w:t>August 26, 2023</w:t>
            </w:r>
          </w:p>
        </w:tc>
        <w:tc>
          <w:tcPr>
            <w:tcW w:w="80" w:type="dxa"/>
            <w:vAlign w:val="bottom"/>
          </w:tcPr>
          <w:p>
            <w:pPr>
              <w:spacing w:after="0"/>
              <w:rPr>
                <w:sz w:val="17"/>
                <w:szCs w:val="17"/>
                <w:color w:val="auto"/>
              </w:rPr>
            </w:pPr>
          </w:p>
        </w:tc>
        <w:tc>
          <w:tcPr>
            <w:tcW w:w="1560" w:type="dxa"/>
            <w:vAlign w:val="bottom"/>
            <w:gridSpan w:val="3"/>
          </w:tcPr>
          <w:p>
            <w:pPr>
              <w:ind w:left="20"/>
              <w:spacing w:after="0" w:line="203" w:lineRule="exact"/>
              <w:rPr>
                <w:sz w:val="20"/>
                <w:szCs w:val="20"/>
                <w:color w:val="auto"/>
              </w:rPr>
            </w:pPr>
            <w:r>
              <w:rPr>
                <w:rFonts w:ascii="Arial" w:cs="Arial" w:eastAsia="Arial" w:hAnsi="Arial"/>
                <w:sz w:val="18"/>
                <w:szCs w:val="18"/>
                <w:color w:val="auto"/>
                <w:w w:val="96"/>
              </w:rPr>
              <w:t>November 26, 2022</w:t>
            </w:r>
          </w:p>
        </w:tc>
      </w:tr>
      <w:tr>
        <w:trPr>
          <w:trHeight w:val="20"/>
        </w:trPr>
        <w:tc>
          <w:tcPr>
            <w:tcW w:w="48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assets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48,012</w:t>
            </w:r>
          </w:p>
        </w:tc>
        <w:tc>
          <w:tcPr>
            <w:tcW w:w="12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61,625</w:t>
            </w: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17,715</w:t>
            </w: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15,339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17,838</w:t>
            </w: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85,477</w:t>
            </w: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Recoverable income taxes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2,353</w:t>
            </w: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161,077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196,495</w:t>
            </w:r>
          </w:p>
        </w:tc>
      </w:tr>
      <w:tr>
        <w:trPr>
          <w:trHeight w:val="210"/>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84,247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77,001</w:t>
            </w:r>
          </w:p>
        </w:tc>
      </w:tr>
      <w:tr>
        <w:trPr>
          <w:trHeight w:val="216"/>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b w:val="1"/>
                <w:bCs w:val="1"/>
                <w:color w:val="auto"/>
              </w:rPr>
              <w:t>Other long-term assets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Deferred income taxes, net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5,528</w:t>
            </w: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Goodwill and other intangible assets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21,547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21,727</w:t>
            </w: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Right of use assets under operating leases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99,472</w:t>
            </w: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6,050</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long-term assets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123,707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132,777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369,031</w:t>
            </w:r>
          </w:p>
        </w:tc>
        <w:tc>
          <w:tcPr>
            <w:tcW w:w="12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406,273</w:t>
            </w: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8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800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48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17,117</w:t>
            </w:r>
          </w:p>
        </w:tc>
        <w:tc>
          <w:tcPr>
            <w:tcW w:w="12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20,359</w:t>
            </w: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Accrued compensation and benefits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12,921</w:t>
            </w: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Customer deposits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23,626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35,963</w:t>
            </w: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obligations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18,819</w:t>
            </w: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Other current liabilities and accrued expenses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12,765</w:t>
            </w:r>
          </w:p>
        </w:tc>
        <w:tc>
          <w:tcPr>
            <w:tcW w:w="100" w:type="dxa"/>
            <w:vAlign w:val="bottom"/>
          </w:tcPr>
          <w:p>
            <w:pPr>
              <w:spacing w:after="0"/>
              <w:rPr>
                <w:sz w:val="18"/>
                <w:szCs w:val="18"/>
                <w:color w:val="auto"/>
              </w:rPr>
            </w:pPr>
          </w:p>
        </w:tc>
      </w:tr>
      <w:tr>
        <w:trPr>
          <w:trHeight w:val="209"/>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100,827</w:t>
            </w:r>
          </w:p>
        </w:tc>
      </w:tr>
      <w:tr>
        <w:trPr>
          <w:trHeight w:val="210"/>
        </w:trPr>
        <w:tc>
          <w:tcPr>
            <w:tcW w:w="4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Post employment benefit obligations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9,954</w:t>
            </w: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Long-term portion of operating lease obligations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97,477</w:t>
            </w: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18"/>
                <w:szCs w:val="18"/>
                <w:color w:val="auto"/>
              </w:rPr>
            </w:pPr>
          </w:p>
        </w:tc>
      </w:tr>
      <w:tr>
        <w:trPr>
          <w:trHeight w:val="209"/>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109,837</w:t>
            </w:r>
          </w:p>
        </w:tc>
      </w:tr>
      <w:tr>
        <w:trPr>
          <w:trHeight w:val="210"/>
        </w:trPr>
        <w:tc>
          <w:tcPr>
            <w:tcW w:w="4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b w:val="1"/>
                <w:bCs w:val="1"/>
                <w:color w:val="auto"/>
              </w:rPr>
              <w:t>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44,759</w:t>
            </w: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145,031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150,800</w:t>
            </w: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10"/>
        </w:trPr>
        <w:tc>
          <w:tcPr>
            <w:tcW w:w="8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188,777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195,609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369,031</w:t>
            </w:r>
          </w:p>
        </w:tc>
        <w:tc>
          <w:tcPr>
            <w:tcW w:w="12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406,273</w:t>
            </w: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4"/>
        </w:trPr>
        <w:tc>
          <w:tcPr>
            <w:tcW w:w="4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Table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gridSpan w:val="6"/>
          </w:tcPr>
          <w:p>
            <w:pPr>
              <w:jc w:val="right"/>
              <w:ind w:right="940"/>
              <w:spacing w:after="0"/>
              <w:rPr>
                <w:sz w:val="20"/>
                <w:szCs w:val="20"/>
                <w:color w:val="auto"/>
              </w:rPr>
            </w:pPr>
            <w:r>
              <w:rPr>
                <w:rFonts w:ascii="Arial" w:cs="Arial" w:eastAsia="Arial" w:hAnsi="Arial"/>
                <w:sz w:val="18"/>
                <w:szCs w:val="18"/>
                <w:color w:val="auto"/>
              </w:rPr>
              <w:t>Nine Months Ended</w:t>
            </w:r>
          </w:p>
        </w:tc>
      </w:tr>
      <w:tr>
        <w:trPr>
          <w:trHeight w:val="210"/>
        </w:trPr>
        <w:tc>
          <w:tcPr>
            <w:tcW w:w="80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1"/>
              </w:rPr>
              <w:t>August 26, 2023</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89"/>
              </w:rPr>
              <w:t>August 27, 2022</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930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60,319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7,502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8,732</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property and equipment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(4,603)</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Gain on revaluation of contingent consideration</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(2,856)</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1,781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1,425</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2,499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(13,677)</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Other current and long-term assets</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2,961</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Right of use assets under operating leases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15,881</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Customer deposits</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(12,337)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(11,181)</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 and other liabilities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Obligations under operating leases</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(14,990)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(17,519)</w:t>
            </w:r>
          </w:p>
        </w:tc>
      </w:tr>
      <w:tr>
        <w:trPr>
          <w:trHeight w:val="20"/>
        </w:trPr>
        <w:tc>
          <w:tcPr>
            <w:tcW w:w="8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(12,295)</w:t>
            </w:r>
          </w:p>
        </w:tc>
      </w:tr>
      <w:tr>
        <w:trPr>
          <w:trHeight w:val="210"/>
        </w:trPr>
        <w:tc>
          <w:tcPr>
            <w:tcW w:w="80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(14,657)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(17,266)</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Proceeds from disposal of discontined operations, net</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84,534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(1,428)</w:t>
            </w:r>
          </w:p>
        </w:tc>
      </w:tr>
      <w:tr>
        <w:trPr>
          <w:trHeight w:val="20"/>
        </w:trPr>
        <w:tc>
          <w:tcPr>
            <w:tcW w:w="80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(15,321)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74,066</w:t>
            </w:r>
          </w:p>
        </w:tc>
      </w:tr>
      <w:tr>
        <w:trPr>
          <w:trHeight w:val="210"/>
        </w:trPr>
        <w:tc>
          <w:tcPr>
            <w:tcW w:w="80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(18,734)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issuance of common stock</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(10,263)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Taxes paid related to net share settlement of equity awards</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Repayments of finance lease obligations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w:t>
            </w:r>
          </w:p>
        </w:tc>
      </w:tr>
      <w:tr>
        <w:trPr>
          <w:trHeight w:val="20"/>
        </w:trPr>
        <w:tc>
          <w:tcPr>
            <w:tcW w:w="80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b w:val="1"/>
                <w:bCs w:val="1"/>
                <w:color w:val="auto"/>
              </w:rPr>
              <w:t>Net cash used in financing activities</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(8,504)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(29,275)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exchenge rate changes on cash and cash equivalents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0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b w:val="1"/>
                <w:bCs w:val="1"/>
                <w:color w:val="auto"/>
              </w:rPr>
              <w:t>Change in cash and cash equivalents</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(13,613)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32,496</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61,625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34,374</w:t>
            </w:r>
          </w:p>
        </w:tc>
      </w:tr>
      <w:tr>
        <w:trPr>
          <w:trHeight w:val="210"/>
        </w:trPr>
        <w:tc>
          <w:tcPr>
            <w:tcW w:w="80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48,012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66,870</w:t>
            </w:r>
          </w:p>
        </w:tc>
      </w:tr>
      <w:tr>
        <w:trPr>
          <w:trHeight w:val="555"/>
        </w:trPr>
        <w:tc>
          <w:tcPr>
            <w:tcW w:w="80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Table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Segment Information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5"/>
          </w:tcPr>
          <w:p>
            <w:pPr>
              <w:jc w:val="right"/>
              <w:ind w:right="940"/>
              <w:spacing w:after="0"/>
              <w:rPr>
                <w:sz w:val="20"/>
                <w:szCs w:val="20"/>
                <w:color w:val="auto"/>
              </w:rPr>
            </w:pPr>
            <w:r>
              <w:rPr>
                <w:rFonts w:ascii="Arial" w:cs="Arial" w:eastAsia="Arial" w:hAnsi="Arial"/>
                <w:sz w:val="18"/>
                <w:szCs w:val="18"/>
                <w:color w:val="auto"/>
              </w:rPr>
              <w:t>Quarter Ended</w:t>
            </w:r>
          </w:p>
        </w:tc>
        <w:tc>
          <w:tcPr>
            <w:tcW w:w="120" w:type="dxa"/>
            <w:vAlign w:val="bottom"/>
          </w:tcPr>
          <w:p>
            <w:pPr>
              <w:spacing w:after="0"/>
              <w:rPr>
                <w:sz w:val="20"/>
                <w:szCs w:val="20"/>
                <w:color w:val="auto"/>
              </w:rPr>
            </w:pPr>
          </w:p>
        </w:tc>
        <w:tc>
          <w:tcPr>
            <w:tcW w:w="2420" w:type="dxa"/>
            <w:vAlign w:val="bottom"/>
            <w:gridSpan w:val="5"/>
          </w:tcPr>
          <w:p>
            <w:pPr>
              <w:jc w:val="right"/>
              <w:ind w:right="600"/>
              <w:spacing w:after="0"/>
              <w:rPr>
                <w:sz w:val="20"/>
                <w:szCs w:val="20"/>
                <w:color w:val="auto"/>
              </w:rPr>
            </w:pPr>
            <w:r>
              <w:rPr>
                <w:rFonts w:ascii="Arial" w:cs="Arial" w:eastAsia="Arial" w:hAnsi="Arial"/>
                <w:sz w:val="18"/>
                <w:szCs w:val="18"/>
                <w:color w:val="auto"/>
              </w:rPr>
              <w:t>Nine Months Ended</w:t>
            </w:r>
          </w:p>
        </w:tc>
      </w:tr>
      <w:tr>
        <w:trPr>
          <w:trHeight w:val="195"/>
        </w:trPr>
        <w:tc>
          <w:tcPr>
            <w:tcW w:w="59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80"/>
              <w:spacing w:after="0" w:line="195" w:lineRule="exact"/>
              <w:rPr>
                <w:sz w:val="20"/>
                <w:szCs w:val="20"/>
                <w:color w:val="auto"/>
              </w:rPr>
            </w:pPr>
            <w:r>
              <w:rPr>
                <w:rFonts w:ascii="Arial" w:cs="Arial" w:eastAsia="Arial" w:hAnsi="Arial"/>
                <w:sz w:val="18"/>
                <w:szCs w:val="18"/>
                <w:color w:val="auto"/>
                <w:w w:val="92"/>
              </w:rPr>
              <w:t>August 26,</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w w:val="95"/>
              </w:rPr>
              <w:t>August 27,</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20"/>
              <w:spacing w:after="0" w:line="195" w:lineRule="exact"/>
              <w:rPr>
                <w:sz w:val="20"/>
                <w:szCs w:val="20"/>
                <w:color w:val="auto"/>
              </w:rPr>
            </w:pPr>
            <w:r>
              <w:rPr>
                <w:rFonts w:ascii="Arial" w:cs="Arial" w:eastAsia="Arial" w:hAnsi="Arial"/>
                <w:sz w:val="18"/>
                <w:szCs w:val="18"/>
                <w:color w:val="auto"/>
                <w:w w:val="92"/>
              </w:rPr>
              <w:t>August 26,</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w w:val="95"/>
              </w:rPr>
              <w:t>August 27,</w:t>
            </w:r>
          </w:p>
        </w:tc>
        <w:tc>
          <w:tcPr>
            <w:tcW w:w="100" w:type="dxa"/>
            <w:vAlign w:val="bottom"/>
          </w:tcPr>
          <w:p>
            <w:pPr>
              <w:spacing w:after="0"/>
              <w:rPr>
                <w:sz w:val="16"/>
                <w:szCs w:val="16"/>
                <w:color w:val="auto"/>
              </w:rPr>
            </w:pPr>
          </w:p>
        </w:tc>
      </w:tr>
      <w:tr>
        <w:trPr>
          <w:trHeight w:val="230"/>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Revenue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Wholesale sales of furniture and accessories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56,660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78,959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188,318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249,945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Less: Sales to retail segment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(23,503)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(31,833)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(77,932)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(95,976)</w:t>
            </w:r>
          </w:p>
        </w:tc>
      </w:tr>
      <w:tr>
        <w:trPr>
          <w:trHeight w:val="20"/>
        </w:trPr>
        <w:tc>
          <w:tcPr>
            <w:tcW w:w="59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180"/>
              <w:spacing w:after="0"/>
              <w:rPr>
                <w:sz w:val="20"/>
                <w:szCs w:val="20"/>
                <w:color w:val="auto"/>
              </w:rPr>
            </w:pPr>
            <w:r>
              <w:rPr>
                <w:rFonts w:ascii="Arial" w:cs="Arial" w:eastAsia="Arial" w:hAnsi="Arial"/>
                <w:sz w:val="18"/>
                <w:szCs w:val="18"/>
                <w:color w:val="auto"/>
              </w:rPr>
              <w:t>Wholesale sales to external customers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33,157</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47,126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110,386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153,969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Retail sales of furniture and accessories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52,264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70,886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178,004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210,613</w:t>
            </w:r>
          </w:p>
        </w:tc>
      </w:tr>
      <w:tr>
        <w:trPr>
          <w:trHeight w:val="216"/>
        </w:trPr>
        <w:tc>
          <w:tcPr>
            <w:tcW w:w="5980" w:type="dxa"/>
            <w:vAlign w:val="bottom"/>
          </w:tcPr>
          <w:p>
            <w:pPr>
              <w:spacing w:after="0" w:line="216"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1,796</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7,044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sales of furniture and accessories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87,217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118,012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295,434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364,582</w:t>
            </w:r>
          </w:p>
        </w:tc>
      </w:tr>
      <w:tr>
        <w:trPr>
          <w:trHeight w:val="197"/>
        </w:trPr>
        <w:tc>
          <w:tcPr>
            <w:tcW w:w="59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Wholesale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31,656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(3,036)</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3,889</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13,804</w:t>
            </w:r>
          </w:p>
        </w:tc>
      </w:tr>
      <w:tr>
        <w:trPr>
          <w:trHeight w:val="216"/>
        </w:trPr>
        <w:tc>
          <w:tcPr>
            <w:tcW w:w="59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Net expenses - Corporate and other </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(7,420)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(7,839)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(22,140)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(21,633)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Inter-company elimination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Gain on revaluation of contingent consideration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10,672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28,162</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218" w:lineRule="auto"/>
        <w:tabs>
          <w:tab w:leader="none" w:pos="34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Corporate and Other includes the operations of Noa Home Inc. for 2023 along with the shared Corporate costs that are benefiting both the Wholesale and Retail segments. This represents a change in our segment presentation from prior year periods. Previously, those shared Corporate costs had been included in the Wholesale segment and the operations of Noa Home Inc. were included in the Retail segment. Prior period results have been restated to conform to the current presentation.</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2023-09-28T08:35:31Z</dcterms:created>
  <dcterms:modified xsi:type="dcterms:W3CDTF">2023-09-28T08:35:31Z</dcterms:modified>
</cp:coreProperties>
</file>