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BASSETT FURNITURE INDUSTRIES, INCORPORATED</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240" w:space="720"/>
            <w:col w:w="2340"/>
          </w:cols>
          <w:pgMar w:left="320" w:top="216" w:right="499" w:bottom="1440" w:gutter="0" w:footer="0" w:header="0"/>
          <w:type w:val="continuous"/>
        </w:sectPr>
      </w:pP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760" w:space="720"/>
            <w:col w:w="3600"/>
          </w:cols>
          <w:pgMar w:left="320" w:top="216" w:right="499" w:bottom="1440" w:gutter="0" w:footer="0" w:header="0"/>
          <w:type w:val="continuous"/>
        </w:sectPr>
      </w:pP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00" w:firstLine="8"/>
        <w:spacing w:after="0" w:line="500"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($5.00 par value)</w:t>
            </w:r>
          </w:p>
        </w:tc>
        <w:tc>
          <w:tcPr>
            <w:tcW w:w="30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9, 2025, Bassett Furniture Industries issued a news release relating to the second quarter financial results for the fiscal year ending November 29, 2025. A copy of the news release announcing this information is attached to this report as Exhibit 99.1.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News release issued by Bassett Furniture Industries, Inc. on July 9, 2025.</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July 9, 2025</w:t>
            </w:r>
          </w:p>
        </w:tc>
        <w:tc>
          <w:tcPr>
            <w:tcW w:w="66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3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92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3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  Senior Vice President – Chief Financial &amp;</w:t>
            </w:r>
          </w:p>
        </w:tc>
      </w:tr>
      <w:tr>
        <w:trPr>
          <w:trHeight w:val="234"/>
        </w:trPr>
        <w:tc>
          <w:tcPr>
            <w:tcW w:w="3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Officer</w:t>
            </w:r>
          </w:p>
        </w:tc>
      </w:tr>
    </w:tbl>
    <w:p>
      <w:pPr>
        <w:sectPr>
          <w:pgSz w:w="11900" w:h="16838" w:orient="portrait"/>
          <w:cols w:equalWidth="0" w:num="1">
            <w:col w:w="10920"/>
          </w:cols>
          <w:pgMar w:left="320" w:top="58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9728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Contacts:</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J. Michael Daniel</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tc>
      </w:tr>
      <w:tr>
        <w:trPr>
          <w:trHeight w:val="22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16"/>
        </w:trPr>
        <w:tc>
          <w:tcPr>
            <w:tcW w:w="4960" w:type="dxa"/>
            <w:vAlign w:val="bottom"/>
          </w:tcPr>
          <w:p>
            <w:pPr>
              <w:spacing w:after="0"/>
              <w:rPr>
                <w:sz w:val="18"/>
                <w:szCs w:val="18"/>
                <w:color w:val="auto"/>
              </w:rPr>
            </w:pP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(276) 629-6620 – Investors</w:t>
            </w:r>
          </w:p>
        </w:tc>
      </w:tr>
      <w:tr>
        <w:trPr>
          <w:trHeight w:val="234"/>
        </w:trPr>
        <w:tc>
          <w:tcPr>
            <w:tcW w:w="4960" w:type="dxa"/>
            <w:vAlign w:val="bottom"/>
          </w:tcPr>
          <w:p>
            <w:pPr>
              <w:spacing w:after="0"/>
              <w:rPr>
                <w:sz w:val="20"/>
                <w:szCs w:val="20"/>
                <w:color w:val="auto"/>
              </w:rPr>
            </w:pP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mdaniel@bassettfurniture.com</w:t>
            </w:r>
          </w:p>
        </w:tc>
      </w:tr>
      <w:tr>
        <w:trPr>
          <w:trHeight w:val="410"/>
        </w:trPr>
        <w:tc>
          <w:tcPr>
            <w:tcW w:w="4960" w:type="dxa"/>
            <w:vAlign w:val="bottom"/>
          </w:tcPr>
          <w:p>
            <w:pPr>
              <w:spacing w:after="0"/>
              <w:rPr>
                <w:sz w:val="24"/>
                <w:szCs w:val="24"/>
                <w:color w:val="auto"/>
              </w:rPr>
            </w:pP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Peter D. Morrison</w:t>
            </w:r>
          </w:p>
        </w:tc>
      </w:tr>
      <w:tr>
        <w:trPr>
          <w:trHeight w:val="220"/>
        </w:trPr>
        <w:tc>
          <w:tcPr>
            <w:tcW w:w="4960" w:type="dxa"/>
            <w:vAlign w:val="bottom"/>
          </w:tcPr>
          <w:p>
            <w:pPr>
              <w:spacing w:after="0"/>
              <w:rPr>
                <w:sz w:val="19"/>
                <w:szCs w:val="19"/>
                <w:color w:val="auto"/>
              </w:rPr>
            </w:pP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Vice President of Communications</w:t>
            </w:r>
          </w:p>
        </w:tc>
      </w:tr>
      <w:tr>
        <w:trPr>
          <w:trHeight w:val="234"/>
        </w:trPr>
        <w:tc>
          <w:tcPr>
            <w:tcW w:w="4960" w:type="dxa"/>
            <w:vAlign w:val="bottom"/>
          </w:tcPr>
          <w:p>
            <w:pPr>
              <w:spacing w:after="0"/>
              <w:rPr>
                <w:sz w:val="20"/>
                <w:szCs w:val="20"/>
                <w:color w:val="auto"/>
              </w:rPr>
            </w:pP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(276) 629-6450 – Media</w:t>
            </w:r>
          </w:p>
        </w:tc>
      </w:tr>
      <w:tr>
        <w:trPr>
          <w:trHeight w:val="64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For immediate release</w:t>
            </w:r>
          </w:p>
        </w:tc>
        <w:tc>
          <w:tcPr>
            <w:tcW w:w="6280" w:type="dxa"/>
            <w:vAlign w:val="bottom"/>
          </w:tcPr>
          <w:p>
            <w:pPr>
              <w:spacing w:after="0"/>
              <w:rPr>
                <w:sz w:val="24"/>
                <w:szCs w:val="24"/>
                <w:color w:val="auto"/>
              </w:rPr>
            </w:pPr>
          </w:p>
        </w:tc>
      </w:tr>
      <w:tr>
        <w:trPr>
          <w:trHeight w:val="471"/>
        </w:trPr>
        <w:tc>
          <w:tcPr>
            <w:tcW w:w="49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Bassett Reports Fiscal Second Quarter Results</w:t>
            </w:r>
          </w:p>
        </w:tc>
        <w:tc>
          <w:tcPr>
            <w:tcW w:w="6280" w:type="dxa"/>
            <w:vAlign w:val="bottom"/>
          </w:tcPr>
          <w:p>
            <w:pPr>
              <w:spacing w:after="0"/>
              <w:rPr>
                <w:sz w:val="24"/>
                <w:szCs w:val="24"/>
                <w:color w:val="auto"/>
              </w:rPr>
            </w:pPr>
          </w:p>
        </w:tc>
      </w:tr>
      <w:tr>
        <w:trPr>
          <w:trHeight w:val="42"/>
        </w:trPr>
        <w:tc>
          <w:tcPr>
            <w:tcW w:w="4960" w:type="dxa"/>
            <w:vAlign w:val="bottom"/>
            <w:tcBorders>
              <w:bottom w:val="single" w:sz="8" w:color="auto"/>
            </w:tcBorders>
          </w:tcPr>
          <w:p>
            <w:pPr>
              <w:spacing w:after="0"/>
              <w:rPr>
                <w:sz w:val="3"/>
                <w:szCs w:val="3"/>
                <w:color w:val="auto"/>
              </w:rPr>
            </w:pPr>
          </w:p>
        </w:tc>
        <w:tc>
          <w:tcPr>
            <w:tcW w:w="628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(Bassett, Va.) – July 9, 2025 – Bassett Furniture Industries, Inc. (Nasdaq: BSET) reported today its results of operations for its second quarter ended May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Q2 Consolidated Business Highlights</w:t>
      </w:r>
      <w:r>
        <w:rPr>
          <w:rFonts w:ascii="Times New Roman" w:cs="Times New Roman" w:eastAsia="Times New Roman" w:hAnsi="Times New Roman"/>
          <w:sz w:val="18"/>
          <w:szCs w:val="18"/>
          <w:i w:val="1"/>
          <w:iCs w:val="1"/>
          <w:color w:val="auto"/>
        </w:rPr>
        <w:t>: [FY 25 vs. FY 24, unless otherwise specified]</w:t>
      </w:r>
    </w:p>
    <w:p>
      <w:pPr>
        <w:spacing w:after="0" w:line="29" w:lineRule="exact"/>
        <w:rPr>
          <w:sz w:val="20"/>
          <w:szCs w:val="20"/>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1.1% from the prior year quarter. Excluding sales from Noa Home Inc. which closed in late 2024, consolidated revenues increased 2.5%.</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$2.5 million or 3.0% of sales as compared to a loss of $(8.5) million for the prior year quarter which included $5.5 million of asset impairment charges and $2.7 million of additional inventory valuation charges.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at 55.6% represented a 310 basis point improvement over the prior year as the Company recorded the above-mentioned inventory valuation charges in the second quarter of 2024. Excluding those charges, gross margin would have been essentially flat to the prior year quarter.</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52.7% of sales, 330 basis points lower than the prior year, reflecting benefits from the prior year restructuring plan and on-going cost containment activities.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$7.0 million of operating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$0.22 as compared to a loss of $(0.82)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Second Quarter Overview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2nd Qtr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8"/>
                <w:szCs w:val="18"/>
                <w:color w:val="auto"/>
              </w:rPr>
            </w:pPr>
          </w:p>
        </w:tc>
      </w:tr>
      <w:tr>
        <w:trPr>
          <w:trHeight w:val="209"/>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2" w:lineRule="exact"/>
        <w:rPr>
          <w:sz w:val="20"/>
          <w:szCs w:val="20"/>
          <w:color w:val="auto"/>
        </w:rPr>
      </w:pPr>
    </w:p>
    <w:p>
      <w:pPr>
        <w:ind w:left="340" w:right="40" w:hanging="332"/>
        <w:spacing w:after="0" w:line="281"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consolidated results for the quarter include certain intercompany eliminations. Consolidated results for the 2nd quarter of 2024 include asset impairment charges of $5.5 million which are not allocated to our segment operating results. See Table 4, "Segment Information" below for an illustration of the effects of these items on our consolidated sales and operating income.</w:t>
      </w:r>
    </w:p>
    <w:p>
      <w:pPr>
        <w:spacing w:after="0" w:line="177" w:lineRule="exact"/>
        <w:rPr>
          <w:rFonts w:ascii="Times New Roman" w:cs="Times New Roman" w:eastAsia="Times New Roman" w:hAnsi="Times New Roman"/>
          <w:sz w:val="16"/>
          <w:szCs w:val="16"/>
          <w:color w:val="auto"/>
        </w:rPr>
      </w:pPr>
    </w:p>
    <w:p>
      <w:pPr>
        <w:ind w:left="340" w:right="380" w:hanging="332"/>
        <w:spacing w:after="0" w:line="298"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and Other includes the operations of Noa Home Inc. (fiscal 2024 only) along with the shared Corporate costs that are benefiting both the Wholesale and Retail segments.</w:t>
      </w:r>
    </w:p>
    <w:p>
      <w:pPr>
        <w:spacing w:after="0" w:line="3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pleased with both revenue and operating income improvements in the second quarter, despite the ongoing challenges affecting consumer confidence and purchasing decisions, including a historically weak housing market and uncertainty about the impact of trade tariffs on the cost of goods,” said Robert H. Spilman, Jr., Bassett Chairman and Chief Executive Officer. “Our rigorous attention to increased operating efficiency, product launches, expanded e-commerce capabilities and more customized marketing helped us weather this tepid home furnishings market. We believe these advantages and our strong US manufacturing base position Bassett well to serve both wholesale and retail markets for the second half of fiscal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Conference Call and Webcast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hold a conference call to discuss its quarterly results on July 10, 2025, at 9:00 am ET. The public is invited to listen to the conference call by webcast, accessible through the Company’s investor relations website, https://investors.bassettfurniture.com/. Participants can also listen to the conference call via https://edge.media-server.com/mmc/p/gcbdwqr7. A replay and transcript of the conference call will be available on demand on the investor relations 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provider of high-quality home furnishings with a wide range of distribution types. Bassett sales approximately 60% of its products through its network of 87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second fiscal quarter of 2025,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Quarter Ended</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Six Months Ended*</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May 31, 2025</w:t>
            </w:r>
          </w:p>
        </w:tc>
        <w:tc>
          <w:tcPr>
            <w:tcW w:w="80" w:type="dxa"/>
            <w:vAlign w:val="bottom"/>
          </w:tcPr>
          <w:p>
            <w:pPr>
              <w:spacing w:after="0"/>
              <w:rPr>
                <w:sz w:val="18"/>
                <w:szCs w:val="18"/>
                <w:color w:val="auto"/>
              </w:rPr>
            </w:pPr>
          </w:p>
        </w:tc>
        <w:tc>
          <w:tcPr>
            <w:tcW w:w="166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June 1, 2024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May 31, 2025</w:t>
            </w:r>
          </w:p>
        </w:tc>
        <w:tc>
          <w:tcPr>
            <w:tcW w:w="100" w:type="dxa"/>
            <w:vAlign w:val="bottom"/>
          </w:tcPr>
          <w:p>
            <w:pPr>
              <w:spacing w:after="0"/>
              <w:rPr>
                <w:sz w:val="18"/>
                <w:szCs w:val="18"/>
                <w:color w:val="auto"/>
              </w:rPr>
            </w:pPr>
          </w:p>
        </w:tc>
        <w:tc>
          <w:tcPr>
            <w:tcW w:w="16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June 1, 2024</w:t>
            </w:r>
          </w:p>
        </w:tc>
        <w:tc>
          <w:tcPr>
            <w:tcW w:w="160" w:type="dxa"/>
            <w:vAlign w:val="bottom"/>
          </w:tcPr>
          <w:p>
            <w:pPr>
              <w:spacing w:after="0"/>
              <w:rPr>
                <w:sz w:val="18"/>
                <w:szCs w:val="18"/>
                <w:color w:val="auto"/>
              </w:rPr>
            </w:pPr>
          </w:p>
        </w:tc>
      </w:tr>
      <w:tr>
        <w:trPr>
          <w:trHeight w:val="191"/>
        </w:trPr>
        <w:tc>
          <w:tcPr>
            <w:tcW w:w="3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160" w:type="dxa"/>
            <w:vAlign w:val="bottom"/>
          </w:tcPr>
          <w:p>
            <w:pPr>
              <w:spacing w:after="0"/>
              <w:rPr>
                <w:sz w:val="16"/>
                <w:szCs w:val="16"/>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Amount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Amount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Net Sales</w:t>
            </w:r>
          </w:p>
        </w:tc>
      </w:tr>
      <w:tr>
        <w:trPr>
          <w:trHeight w:val="210"/>
        </w:trPr>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84,348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83,410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166,510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169,964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72,771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78,337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r>
      <w:tr>
        <w:trPr>
          <w:trHeight w:val="20"/>
        </w:trPr>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46,909</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43,760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93,739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91,627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44,412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46,707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88,787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96,931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(8,462)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4,952</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(10,819)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(8,111)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1,918</w:t>
            </w:r>
          </w:p>
        </w:tc>
        <w:tc>
          <w:tcPr>
            <w:tcW w:w="112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2.3</w:t>
            </w:r>
            <w:r>
              <w:rPr>
                <w:rFonts w:ascii="Times New Roman" w:cs="Times New Roman" w:eastAsia="Times New Roman" w:hAnsi="Times New Roman"/>
                <w:sz w:val="24"/>
                <w:szCs w:val="24"/>
                <w:color w:val="auto"/>
                <w:vertAlign w:val="subscript"/>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(7,201)</w:t>
            </w:r>
          </w:p>
        </w:tc>
        <w:tc>
          <w:tcPr>
            <w:tcW w:w="112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-8.6</w:t>
            </w:r>
            <w:r>
              <w:rPr>
                <w:rFonts w:ascii="Times New Roman" w:cs="Times New Roman" w:eastAsia="Times New Roman" w:hAnsi="Times New Roman"/>
                <w:sz w:val="24"/>
                <w:szCs w:val="24"/>
                <w:color w:val="auto"/>
                <w:vertAlign w:val="subscript"/>
              </w:rPr>
              <w:t>%</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3,772</w:t>
            </w:r>
          </w:p>
        </w:tc>
        <w:tc>
          <w:tcPr>
            <w:tcW w:w="110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2.3</w:t>
            </w:r>
            <w:r>
              <w:rPr>
                <w:rFonts w:ascii="Times New Roman" w:cs="Times New Roman" w:eastAsia="Times New Roman" w:hAnsi="Times New Roman"/>
                <w:sz w:val="24"/>
                <w:szCs w:val="24"/>
                <w:color w:val="auto"/>
                <w:vertAlign w:val="subscript"/>
              </w:rPr>
              <w: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(0.82)</w:t>
            </w: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0.43</w:t>
            </w: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weeks in fiscal 2025 versus 27 weeks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color w:val="auto"/>
                <w:w w:val="99"/>
              </w:rPr>
              <w:t>May 31, 2025</w:t>
            </w:r>
          </w:p>
        </w:tc>
        <w:tc>
          <w:tcPr>
            <w:tcW w:w="20" w:type="dxa"/>
            <w:vAlign w:val="bottom"/>
          </w:tcPr>
          <w:p>
            <w:pPr>
              <w:spacing w:after="0"/>
              <w:rPr>
                <w:sz w:val="16"/>
                <w:szCs w:val="16"/>
                <w:color w:val="auto"/>
              </w:rPr>
            </w:pPr>
          </w:p>
        </w:tc>
        <w:tc>
          <w:tcPr>
            <w:tcW w:w="15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November 30, 2024</w:t>
            </w:r>
          </w:p>
        </w:tc>
        <w:tc>
          <w:tcPr>
            <w:tcW w:w="0" w:type="dxa"/>
            <w:vAlign w:val="bottom"/>
          </w:tcPr>
          <w:p>
            <w:pPr>
              <w:spacing w:after="0"/>
              <w:rPr>
                <w:sz w:val="1"/>
                <w:szCs w:val="1"/>
                <w:color w:val="auto"/>
              </w:rPr>
            </w:pPr>
          </w:p>
        </w:tc>
      </w:tr>
      <w:tr>
        <w:trPr>
          <w:trHeight w:val="21"/>
        </w:trPr>
        <w:tc>
          <w:tcPr>
            <w:tcW w:w="48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39,433</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39,551</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20,385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20,360</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12,883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59,362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7,523</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144,193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75,088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77,047</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5,493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7,217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84,877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93,624</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7,526</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331,333</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14,533</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13,303</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24,029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25,742</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19,702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8,462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73,403</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10,814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78,116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88,395</w:t>
            </w:r>
          </w:p>
        </w:tc>
        <w:tc>
          <w:tcPr>
            <w:tcW w:w="0" w:type="dxa"/>
            <w:vAlign w:val="bottom"/>
          </w:tcPr>
          <w:p>
            <w:pPr>
              <w:spacing w:after="0"/>
              <w:rPr>
                <w:sz w:val="1"/>
                <w:szCs w:val="1"/>
                <w:color w:val="auto"/>
              </w:rPr>
            </w:pPr>
          </w:p>
        </w:tc>
      </w:tr>
      <w:tr>
        <w:trPr>
          <w:trHeight w:val="229"/>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1,103</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43,410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122,597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331,333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881"/>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May 31, 2025</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1,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3,772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5,291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8,707</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2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39,551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52,407</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39,433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42,646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*26 weeks in fiscal 2025 versus 27 weeks in fiscal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color w:val="auto"/>
              </w:rPr>
              <w:t>Quarter Ended</w:t>
            </w:r>
          </w:p>
        </w:tc>
        <w:tc>
          <w:tcPr>
            <w:tcW w:w="300" w:type="dxa"/>
            <w:vAlign w:val="bottom"/>
          </w:tcPr>
          <w:p>
            <w:pPr>
              <w:spacing w:after="0"/>
              <w:rPr>
                <w:sz w:val="20"/>
                <w:szCs w:val="20"/>
                <w:color w:val="auto"/>
              </w:rPr>
            </w:pPr>
          </w:p>
        </w:tc>
        <w:tc>
          <w:tcPr>
            <w:tcW w:w="224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980" w:type="dxa"/>
            <w:vAlign w:val="bottom"/>
          </w:tcPr>
          <w:p>
            <w:pPr>
              <w:spacing w:after="0"/>
              <w:rPr>
                <w:sz w:val="19"/>
                <w:szCs w:val="19"/>
                <w:color w:val="auto"/>
              </w:rPr>
            </w:pPr>
          </w:p>
        </w:tc>
        <w:tc>
          <w:tcPr>
            <w:tcW w:w="138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May 31, 2025</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June 1, 2024</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May 31, 2025</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June 1, 2024</w:t>
            </w:r>
          </w:p>
        </w:tc>
        <w:tc>
          <w:tcPr>
            <w:tcW w:w="10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52,610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107,310</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(24,113)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(20,752)</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(48,172)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(44,514)</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31,858</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54,232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50,468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104,222</w:t>
            </w:r>
          </w:p>
        </w:tc>
      </w:tr>
      <w:tr>
        <w:trPr>
          <w:trHeight w:val="229"/>
        </w:trPr>
        <w:tc>
          <w:tcPr>
            <w:tcW w:w="59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Corporate &amp; Other - Noa Home </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1,084</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2,946</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5,687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12,446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16"/>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(6,942)</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(12,747)</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elimination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(5,515)</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09"/>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1,383</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loss, net</w:t>
            </w:r>
          </w:p>
        </w:tc>
        <w:tc>
          <w:tcPr>
            <w:tcW w:w="3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weeks in fiscal 2025 versus 27 weeks in fiscal 2024.</w:t>
      </w:r>
    </w:p>
    <w:p>
      <w:pPr>
        <w:spacing w:after="0" w:line="200" w:lineRule="exact"/>
        <w:rPr>
          <w:sz w:val="20"/>
          <w:szCs w:val="20"/>
          <w:color w:val="auto"/>
        </w:rPr>
      </w:pPr>
    </w:p>
    <w:p>
      <w:pPr>
        <w:spacing w:after="0" w:line="241" w:lineRule="exact"/>
        <w:rPr>
          <w:sz w:val="20"/>
          <w:szCs w:val="20"/>
          <w:color w:val="auto"/>
        </w:rPr>
      </w:pPr>
    </w:p>
    <w:p>
      <w:pPr>
        <w:ind w:left="340" w:right="320" w:hanging="332"/>
        <w:spacing w:after="0" w:line="195"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Corporate and Other includes the operations of Noa Home Inc. (fiscal 2024 only) along with the shared Corporate costs that are benefiting both the Wholesale and Retail segments.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2025-07-10T05:09:55Z</dcterms:created>
  <dcterms:modified xsi:type="dcterms:W3CDTF">2025-07-10T05:09:55Z</dcterms:modified>
</cp:coreProperties>
</file>