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13D/A</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0" w:lineRule="exact"/>
        <w:rPr>
          <w:sz w:val="24"/>
          <w:szCs w:val="24"/>
          <w:color w:val="auto"/>
        </w:rPr>
      </w:pP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BASSETT FURNITURE INDUSTRIES, INCORPORATED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$5.00 per share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070203104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Bradley L. Hasselwander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Auto Services Company, Inc.</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1793 HWY 201 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Mountain Home, AR 72653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(870) 425-8330</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Pierce G. Hunter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Kutak Rock LLP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124 West Capitol Avenue, Suite 2000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Little Rock, Arkansas 72201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(501) 975-3000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11,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070203104</w:t>
            </w:r>
          </w:p>
        </w:tc>
      </w:tr>
    </w:tbl>
    <w:p>
      <w:pPr>
        <w:spacing w:after="0" w:line="19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5871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Auto Services Company, Inc.</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ind w:left="920" w:hanging="626"/>
        <w:spacing w:after="0" w:line="207" w:lineRule="exact"/>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15" w:lineRule="exact"/>
        <w:rPr>
          <w:rFonts w:ascii="Times New Roman" w:cs="Times New Roman" w:eastAsia="Times New Roman" w:hAnsi="Times New Roman"/>
          <w:sz w:val="18"/>
          <w:szCs w:val="18"/>
          <w:b w:val="1"/>
          <w:bCs w:val="1"/>
          <w:color w:val="auto"/>
        </w:rPr>
      </w:pPr>
    </w:p>
    <w:p>
      <w:pPr>
        <w:ind w:left="1260" w:hanging="348"/>
        <w:spacing w:after="0" w:line="207" w:lineRule="exact"/>
        <w:tabs>
          <w:tab w:leader="none" w:pos="126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SEC USE ONLY</w:t>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3</w:t>
      </w:r>
    </w:p>
    <w:p>
      <w:pPr>
        <w:spacing w:after="0" w:line="2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SOURCE OF FUNDS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WC</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5</w:t>
      </w:r>
    </w:p>
    <w:p>
      <w:pPr>
        <w:spacing w:after="0" w:line="4" w:lineRule="exact"/>
        <w:rPr>
          <w:sz w:val="20"/>
          <w:szCs w:val="20"/>
          <w:color w:val="auto"/>
        </w:rPr>
      </w:pPr>
    </w:p>
    <w:p>
      <w:pPr>
        <w:ind w:left="920"/>
        <w:spacing w:after="0" w:line="181" w:lineRule="exact"/>
        <w:rPr>
          <w:sz w:val="20"/>
          <w:szCs w:val="20"/>
          <w:color w:val="auto"/>
        </w:rPr>
      </w:pPr>
      <w:r>
        <w:rPr>
          <w:rFonts w:ascii="MS PGothic" w:cs="MS PGothic" w:eastAsia="MS PGothic" w:hAnsi="MS PGothic"/>
          <w:sz w:val="18"/>
          <w:szCs w:val="18"/>
          <w:color w:val="auto"/>
        </w:rPr>
        <w:t>☐</w:t>
      </w:r>
    </w:p>
    <w:p>
      <w:pPr>
        <w:spacing w:after="0" w:line="5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6</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Arkansas</w:t>
      </w:r>
    </w:p>
    <w:p>
      <w:pPr>
        <w:spacing w:after="0" w:line="9"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1660" w:type="dxa"/>
            <w:vAlign w:val="bottom"/>
          </w:tcPr>
          <w:p>
            <w:pPr>
              <w:spacing w:after="0"/>
              <w:rPr>
                <w:sz w:val="18"/>
                <w:szCs w:val="18"/>
                <w:color w:val="auto"/>
              </w:rPr>
            </w:pPr>
          </w:p>
        </w:tc>
        <w:tc>
          <w:tcPr>
            <w:tcW w:w="92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20"/>
        </w:trPr>
        <w:tc>
          <w:tcPr>
            <w:tcW w:w="16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NUMBER OF</w:t>
            </w:r>
          </w:p>
        </w:tc>
        <w:tc>
          <w:tcPr>
            <w:tcW w:w="9200" w:type="dxa"/>
            <w:vAlign w:val="bottom"/>
          </w:tcPr>
          <w:p>
            <w:pPr>
              <w:jc w:val="center"/>
              <w:ind w:right="8450"/>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234"/>
        </w:trPr>
        <w:tc>
          <w:tcPr>
            <w:tcW w:w="166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w w:val="98"/>
              </w:rPr>
              <w:t>SHARES</w:t>
            </w:r>
          </w:p>
        </w:tc>
        <w:tc>
          <w:tcPr>
            <w:tcW w:w="92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7"/>
        </w:trPr>
        <w:tc>
          <w:tcPr>
            <w:tcW w:w="1660" w:type="dxa"/>
            <w:vAlign w:val="bottom"/>
            <w:vMerge w:val="continue"/>
          </w:tcPr>
          <w:p>
            <w:pPr>
              <w:spacing w:after="0"/>
              <w:rPr>
                <w:sz w:val="16"/>
                <w:szCs w:val="16"/>
                <w:color w:val="auto"/>
              </w:rPr>
            </w:pPr>
          </w:p>
        </w:tc>
        <w:tc>
          <w:tcPr>
            <w:tcW w:w="9200" w:type="dxa"/>
            <w:vAlign w:val="bottom"/>
          </w:tcPr>
          <w:p>
            <w:pPr>
              <w:ind w:left="900"/>
              <w:spacing w:after="0" w:line="188"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20"/>
        </w:trPr>
        <w:tc>
          <w:tcPr>
            <w:tcW w:w="16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BENEFICIALLY</w:t>
            </w:r>
          </w:p>
        </w:tc>
        <w:tc>
          <w:tcPr>
            <w:tcW w:w="9200" w:type="dxa"/>
            <w:vAlign w:val="bottom"/>
          </w:tcPr>
          <w:p>
            <w:pPr>
              <w:jc w:val="center"/>
              <w:ind w:right="8450"/>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234"/>
        </w:trPr>
        <w:tc>
          <w:tcPr>
            <w:tcW w:w="16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OWNED BY</w:t>
            </w:r>
          </w:p>
        </w:tc>
        <w:tc>
          <w:tcPr>
            <w:tcW w:w="9200" w:type="dxa"/>
            <w:vAlign w:val="bottom"/>
            <w:tcBorders>
              <w:bottom w:val="single" w:sz="8" w:color="auto"/>
            </w:tcBorders>
          </w:tcPr>
          <w:p>
            <w:pPr>
              <w:ind w:left="900"/>
              <w:spacing w:after="0" w:line="235" w:lineRule="exact"/>
              <w:rPr>
                <w:sz w:val="20"/>
                <w:szCs w:val="20"/>
                <w:color w:val="auto"/>
              </w:rPr>
            </w:pPr>
            <w:r>
              <w:rPr>
                <w:rFonts w:ascii="Times New Roman" w:cs="Times New Roman" w:eastAsia="Times New Roman" w:hAnsi="Times New Roman"/>
                <w:sz w:val="17"/>
                <w:szCs w:val="17"/>
                <w:color w:val="auto"/>
              </w:rPr>
              <w:t>627,572</w:t>
            </w:r>
            <w:r>
              <w:rPr>
                <w:rFonts w:ascii="Times New Roman" w:cs="Times New Roman" w:eastAsia="Times New Roman" w:hAnsi="Times New Roman"/>
                <w:sz w:val="27"/>
                <w:szCs w:val="27"/>
                <w:color w:val="auto"/>
                <w:vertAlign w:val="superscript"/>
              </w:rPr>
              <w:t>(1)</w:t>
            </w:r>
          </w:p>
        </w:tc>
        <w:tc>
          <w:tcPr>
            <w:tcW w:w="0" w:type="dxa"/>
            <w:vAlign w:val="bottom"/>
          </w:tcPr>
          <w:p>
            <w:pPr>
              <w:spacing w:after="0"/>
              <w:rPr>
                <w:sz w:val="1"/>
                <w:szCs w:val="1"/>
                <w:color w:val="auto"/>
              </w:rPr>
            </w:pPr>
          </w:p>
        </w:tc>
      </w:tr>
      <w:tr>
        <w:trPr>
          <w:trHeight w:val="187"/>
        </w:trPr>
        <w:tc>
          <w:tcPr>
            <w:tcW w:w="1660" w:type="dxa"/>
            <w:vAlign w:val="bottom"/>
          </w:tcPr>
          <w:p>
            <w:pPr>
              <w:jc w:val="center"/>
              <w:ind w:right="290"/>
              <w:spacing w:after="0" w:line="188" w:lineRule="exact"/>
              <w:rPr>
                <w:sz w:val="20"/>
                <w:szCs w:val="20"/>
                <w:color w:val="auto"/>
              </w:rPr>
            </w:pPr>
            <w:r>
              <w:rPr>
                <w:rFonts w:ascii="Times New Roman" w:cs="Times New Roman" w:eastAsia="Times New Roman" w:hAnsi="Times New Roman"/>
                <w:sz w:val="18"/>
                <w:szCs w:val="18"/>
                <w:color w:val="auto"/>
                <w:w w:val="97"/>
              </w:rPr>
              <w:t>EACH</w:t>
            </w:r>
          </w:p>
        </w:tc>
        <w:tc>
          <w:tcPr>
            <w:tcW w:w="9200" w:type="dxa"/>
            <w:vAlign w:val="bottom"/>
          </w:tcPr>
          <w:p>
            <w:pPr>
              <w:ind w:left="900"/>
              <w:spacing w:after="0" w:line="188"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20"/>
        </w:trPr>
        <w:tc>
          <w:tcPr>
            <w:tcW w:w="166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w w:val="98"/>
              </w:rPr>
              <w:t>REPORTING</w:t>
            </w:r>
          </w:p>
        </w:tc>
        <w:tc>
          <w:tcPr>
            <w:tcW w:w="9200" w:type="dxa"/>
            <w:vAlign w:val="bottom"/>
          </w:tcPr>
          <w:p>
            <w:pPr>
              <w:jc w:val="center"/>
              <w:ind w:right="8450"/>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203"/>
        </w:trPr>
        <w:tc>
          <w:tcPr>
            <w:tcW w:w="1660" w:type="dxa"/>
            <w:vAlign w:val="bottom"/>
            <w:vMerge w:val="continue"/>
          </w:tcPr>
          <w:p>
            <w:pPr>
              <w:spacing w:after="0"/>
              <w:rPr>
                <w:sz w:val="17"/>
                <w:szCs w:val="17"/>
                <w:color w:val="auto"/>
              </w:rPr>
            </w:pPr>
          </w:p>
        </w:tc>
        <w:tc>
          <w:tcPr>
            <w:tcW w:w="9200" w:type="dxa"/>
            <w:vAlign w:val="bottom"/>
          </w:tcPr>
          <w:p>
            <w:pPr>
              <w:ind w:left="900"/>
              <w:spacing w:after="0" w:line="202"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166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w w:val="98"/>
              </w:rPr>
              <w:t>PERSON</w:t>
            </w:r>
          </w:p>
        </w:tc>
        <w:tc>
          <w:tcPr>
            <w:tcW w:w="9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660" w:type="dxa"/>
            <w:vAlign w:val="bottom"/>
            <w:vMerge w:val="continue"/>
          </w:tcPr>
          <w:p>
            <w:pPr>
              <w:spacing w:after="0"/>
              <w:rPr>
                <w:sz w:val="14"/>
                <w:szCs w:val="14"/>
                <w:color w:val="auto"/>
              </w:rPr>
            </w:pPr>
          </w:p>
        </w:tc>
        <w:tc>
          <w:tcPr>
            <w:tcW w:w="9200" w:type="dxa"/>
            <w:vAlign w:val="bottom"/>
          </w:tcPr>
          <w:p>
            <w:pPr>
              <w:ind w:left="900"/>
              <w:spacing w:after="0" w:line="164" w:lineRule="exact"/>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61"/>
        </w:trPr>
        <w:tc>
          <w:tcPr>
            <w:tcW w:w="16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WITH:</w:t>
            </w:r>
          </w:p>
        </w:tc>
        <w:tc>
          <w:tcPr>
            <w:tcW w:w="9200" w:type="dxa"/>
            <w:vAlign w:val="bottom"/>
          </w:tcPr>
          <w:p>
            <w:pPr>
              <w:jc w:val="center"/>
              <w:ind w:right="845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0" w:type="dxa"/>
            <w:vAlign w:val="bottom"/>
          </w:tcPr>
          <w:p>
            <w:pPr>
              <w:spacing w:after="0"/>
              <w:rPr>
                <w:sz w:val="1"/>
                <w:szCs w:val="1"/>
                <w:color w:val="auto"/>
              </w:rPr>
            </w:pPr>
          </w:p>
        </w:tc>
      </w:tr>
    </w:tbl>
    <w:p>
      <w:pPr>
        <w:ind w:left="2940"/>
        <w:spacing w:after="0" w:line="185" w:lineRule="auto"/>
        <w:rPr>
          <w:sz w:val="20"/>
          <w:szCs w:val="20"/>
          <w:color w:val="auto"/>
        </w:rPr>
      </w:pPr>
      <w:r>
        <w:rPr>
          <w:rFonts w:ascii="Times New Roman" w:cs="Times New Roman" w:eastAsia="Times New Roman" w:hAnsi="Times New Roman"/>
          <w:sz w:val="16"/>
          <w:szCs w:val="16"/>
          <w:color w:val="auto"/>
        </w:rPr>
        <w:t>627,572</w:t>
      </w:r>
      <w:r>
        <w:rPr>
          <w:rFonts w:ascii="Times New Roman" w:cs="Times New Roman" w:eastAsia="Times New Roman" w:hAnsi="Times New Roman"/>
          <w:sz w:val="26"/>
          <w:szCs w:val="26"/>
          <w:color w:val="auto"/>
          <w:vertAlign w:val="superscript"/>
        </w:rPr>
        <w:t>(1)</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11</w:t>
      </w:r>
    </w:p>
    <w:p>
      <w:pPr>
        <w:ind w:left="920"/>
        <w:spacing w:after="0" w:line="185" w:lineRule="auto"/>
        <w:rPr>
          <w:sz w:val="20"/>
          <w:szCs w:val="20"/>
          <w:color w:val="auto"/>
        </w:rPr>
      </w:pPr>
      <w:r>
        <w:rPr>
          <w:rFonts w:ascii="Times New Roman" w:cs="Times New Roman" w:eastAsia="Times New Roman" w:hAnsi="Times New Roman"/>
          <w:sz w:val="17"/>
          <w:szCs w:val="17"/>
          <w:color w:val="auto"/>
        </w:rPr>
        <w:t>627,572</w:t>
      </w:r>
      <w:r>
        <w:rPr>
          <w:rFonts w:ascii="Times New Roman" w:cs="Times New Roman" w:eastAsia="Times New Roman" w:hAnsi="Times New Roman"/>
          <w:sz w:val="27"/>
          <w:szCs w:val="27"/>
          <w:color w:val="auto"/>
          <w:vertAlign w:val="superscript"/>
        </w:rPr>
        <w:t>(1)</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p>
      <w:pPr>
        <w:spacing w:after="0" w:line="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4" w:lineRule="exact"/>
        <w:rPr>
          <w:sz w:val="20"/>
          <w:szCs w:val="20"/>
          <w:color w:val="auto"/>
        </w:rPr>
      </w:pPr>
    </w:p>
    <w:p>
      <w:pPr>
        <w:ind w:left="920"/>
        <w:spacing w:after="0" w:line="181" w:lineRule="exact"/>
        <w:rPr>
          <w:sz w:val="20"/>
          <w:szCs w:val="20"/>
          <w:color w:val="auto"/>
        </w:rPr>
      </w:pPr>
      <w:r>
        <w:rPr>
          <w:rFonts w:ascii="MS PGothic" w:cs="MS PGothic" w:eastAsia="MS PGothic" w:hAnsi="MS PGothic"/>
          <w:sz w:val="18"/>
          <w:szCs w:val="18"/>
          <w:color w:val="auto"/>
        </w:rPr>
        <w:t>☐</w:t>
      </w:r>
    </w:p>
    <w:p>
      <w:pPr>
        <w:spacing w:after="0" w:line="5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p>
      <w:pPr>
        <w:spacing w:after="0" w:line="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13</w:t>
      </w:r>
    </w:p>
    <w:p>
      <w:pPr>
        <w:ind w:left="920"/>
        <w:spacing w:after="0" w:line="185" w:lineRule="auto"/>
        <w:rPr>
          <w:sz w:val="20"/>
          <w:szCs w:val="20"/>
          <w:color w:val="auto"/>
        </w:rPr>
      </w:pPr>
      <w:r>
        <w:rPr>
          <w:rFonts w:ascii="Times New Roman" w:cs="Times New Roman" w:eastAsia="Times New Roman" w:hAnsi="Times New Roman"/>
          <w:sz w:val="17"/>
          <w:szCs w:val="17"/>
          <w:color w:val="auto"/>
        </w:rPr>
        <w:t>7.11%</w:t>
      </w:r>
      <w:r>
        <w:rPr>
          <w:rFonts w:ascii="Times New Roman" w:cs="Times New Roman" w:eastAsia="Times New Roman" w:hAnsi="Times New Roman"/>
          <w:sz w:val="27"/>
          <w:szCs w:val="27"/>
          <w:color w:val="auto"/>
          <w:vertAlign w:val="superscript"/>
        </w:rPr>
        <w:t>(2)</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14</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CO</w:t>
      </w:r>
    </w:p>
    <w:p>
      <w:pPr>
        <w:spacing w:after="0" w:line="131"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Includes beneficial ownership of 627,572 shares of Common Stock, par value $5.00 per share (“</w:t>
      </w:r>
      <w:r>
        <w:rPr>
          <w:rFonts w:ascii="Times New Roman" w:cs="Times New Roman" w:eastAsia="Times New Roman" w:hAnsi="Times New Roman"/>
          <w:sz w:val="16"/>
          <w:szCs w:val="16"/>
          <w:u w:val="single" w:color="auto"/>
          <w:color w:val="auto"/>
        </w:rPr>
        <w:t>Common Stock</w:t>
      </w:r>
      <w:r>
        <w:rPr>
          <w:rFonts w:ascii="Times New Roman" w:cs="Times New Roman" w:eastAsia="Times New Roman" w:hAnsi="Times New Roman"/>
          <w:sz w:val="16"/>
          <w:szCs w:val="16"/>
          <w:color w:val="auto"/>
        </w:rPr>
        <w:t>”).</w:t>
      </w:r>
    </w:p>
    <w:p>
      <w:pPr>
        <w:spacing w:after="0" w:line="197" w:lineRule="exact"/>
        <w:rPr>
          <w:rFonts w:ascii="Times New Roman" w:cs="Times New Roman" w:eastAsia="Times New Roman" w:hAnsi="Times New Roman"/>
          <w:sz w:val="27"/>
          <w:szCs w:val="27"/>
          <w:color w:val="auto"/>
          <w:vertAlign w:val="superscript"/>
        </w:rPr>
      </w:pPr>
    </w:p>
    <w:p>
      <w:pPr>
        <w:jc w:val="both"/>
        <w:ind w:firstLine="8"/>
        <w:spacing w:after="0" w:line="210" w:lineRule="auto"/>
        <w:tabs>
          <w:tab w:leader="none" w:pos="255"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ownership percentage set forth herein is calculated assuming a total of 8,828,751 shares of Common Stock of Bassett Furniture Industries, Incorporated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are issued and outstanding, as set forth in the Issuer’s Quarterly Report on Form 10-Q filed with the Securities and Exchange Commission on April 3, 2024.</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070203104</w:t>
            </w:r>
          </w:p>
        </w:tc>
      </w:tr>
    </w:tbl>
    <w:p>
      <w:pPr>
        <w:spacing w:after="0" w:line="19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5871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ASC Holding Company, Inc.</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ind w:left="920" w:hanging="619"/>
        <w:spacing w:after="0" w:line="207" w:lineRule="exact"/>
        <w:tabs>
          <w:tab w:leader="none" w:pos="9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15" w:lineRule="exact"/>
        <w:rPr>
          <w:rFonts w:ascii="Times New Roman" w:cs="Times New Roman" w:eastAsia="Times New Roman" w:hAnsi="Times New Roman"/>
          <w:sz w:val="18"/>
          <w:szCs w:val="18"/>
          <w:b w:val="1"/>
          <w:bCs w:val="1"/>
          <w:color w:val="auto"/>
        </w:rPr>
      </w:pPr>
    </w:p>
    <w:p>
      <w:pPr>
        <w:ind w:left="1260" w:hanging="348"/>
        <w:spacing w:after="0" w:line="207" w:lineRule="exact"/>
        <w:tabs>
          <w:tab w:leader="none" w:pos="1260" w:val="left"/>
        </w:tabs>
        <w:numPr>
          <w:ilvl w:val="1"/>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SEC USE ONLY</w:t>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3</w:t>
      </w:r>
    </w:p>
    <w:p>
      <w:pPr>
        <w:spacing w:after="0" w:line="2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SOURCE OF FUNDS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Not applicable.</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5</w:t>
      </w:r>
    </w:p>
    <w:p>
      <w:pPr>
        <w:spacing w:after="0" w:line="4" w:lineRule="exact"/>
        <w:rPr>
          <w:sz w:val="20"/>
          <w:szCs w:val="20"/>
          <w:color w:val="auto"/>
        </w:rPr>
      </w:pPr>
    </w:p>
    <w:p>
      <w:pPr>
        <w:ind w:left="920"/>
        <w:spacing w:after="0" w:line="181" w:lineRule="exact"/>
        <w:rPr>
          <w:sz w:val="20"/>
          <w:szCs w:val="20"/>
          <w:color w:val="auto"/>
        </w:rPr>
      </w:pPr>
      <w:r>
        <w:rPr>
          <w:rFonts w:ascii="MS PGothic" w:cs="MS PGothic" w:eastAsia="MS PGothic" w:hAnsi="MS PGothic"/>
          <w:sz w:val="18"/>
          <w:szCs w:val="18"/>
          <w:color w:val="auto"/>
        </w:rPr>
        <w:t>☐</w:t>
      </w:r>
    </w:p>
    <w:p>
      <w:pPr>
        <w:spacing w:after="0" w:line="5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6</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Arkansas</w:t>
      </w:r>
    </w:p>
    <w:p>
      <w:pPr>
        <w:spacing w:after="0" w:line="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SOLE VOTING POWER</w:t>
      </w:r>
    </w:p>
    <w:p>
      <w:pPr>
        <w:spacing w:after="0" w:line="13"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16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NUMBER OF</w:t>
            </w:r>
          </w:p>
        </w:tc>
        <w:tc>
          <w:tcPr>
            <w:tcW w:w="9200" w:type="dxa"/>
            <w:vAlign w:val="bottom"/>
          </w:tcPr>
          <w:p>
            <w:pPr>
              <w:jc w:val="center"/>
              <w:ind w:right="8451"/>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234"/>
        </w:trPr>
        <w:tc>
          <w:tcPr>
            <w:tcW w:w="166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w w:val="98"/>
              </w:rPr>
              <w:t>SHARES</w:t>
            </w:r>
          </w:p>
        </w:tc>
        <w:tc>
          <w:tcPr>
            <w:tcW w:w="92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7"/>
        </w:trPr>
        <w:tc>
          <w:tcPr>
            <w:tcW w:w="1660" w:type="dxa"/>
            <w:vAlign w:val="bottom"/>
            <w:vMerge w:val="continue"/>
          </w:tcPr>
          <w:p>
            <w:pPr>
              <w:spacing w:after="0"/>
              <w:rPr>
                <w:sz w:val="16"/>
                <w:szCs w:val="16"/>
                <w:color w:val="auto"/>
              </w:rPr>
            </w:pPr>
          </w:p>
        </w:tc>
        <w:tc>
          <w:tcPr>
            <w:tcW w:w="9200" w:type="dxa"/>
            <w:vAlign w:val="bottom"/>
          </w:tcPr>
          <w:p>
            <w:pPr>
              <w:ind w:left="900"/>
              <w:spacing w:after="0" w:line="188"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20"/>
        </w:trPr>
        <w:tc>
          <w:tcPr>
            <w:tcW w:w="16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BENEFICIALLY</w:t>
            </w:r>
          </w:p>
        </w:tc>
        <w:tc>
          <w:tcPr>
            <w:tcW w:w="9200" w:type="dxa"/>
            <w:vAlign w:val="bottom"/>
          </w:tcPr>
          <w:p>
            <w:pPr>
              <w:jc w:val="center"/>
              <w:ind w:right="8451"/>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234"/>
        </w:trPr>
        <w:tc>
          <w:tcPr>
            <w:tcW w:w="16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OWNED BY</w:t>
            </w:r>
          </w:p>
        </w:tc>
        <w:tc>
          <w:tcPr>
            <w:tcW w:w="9200" w:type="dxa"/>
            <w:vAlign w:val="bottom"/>
            <w:tcBorders>
              <w:bottom w:val="single" w:sz="8" w:color="auto"/>
            </w:tcBorders>
          </w:tcPr>
          <w:p>
            <w:pPr>
              <w:ind w:left="900"/>
              <w:spacing w:after="0" w:line="235" w:lineRule="exact"/>
              <w:rPr>
                <w:sz w:val="20"/>
                <w:szCs w:val="20"/>
                <w:color w:val="auto"/>
              </w:rPr>
            </w:pPr>
            <w:r>
              <w:rPr>
                <w:rFonts w:ascii="Times New Roman" w:cs="Times New Roman" w:eastAsia="Times New Roman" w:hAnsi="Times New Roman"/>
                <w:sz w:val="17"/>
                <w:szCs w:val="17"/>
                <w:color w:val="auto"/>
              </w:rPr>
              <w:t>627,572</w:t>
            </w:r>
            <w:r>
              <w:rPr>
                <w:rFonts w:ascii="Times New Roman" w:cs="Times New Roman" w:eastAsia="Times New Roman" w:hAnsi="Times New Roman"/>
                <w:sz w:val="27"/>
                <w:szCs w:val="27"/>
                <w:color w:val="auto"/>
                <w:vertAlign w:val="superscript"/>
              </w:rPr>
              <w:t>(1)</w:t>
            </w:r>
          </w:p>
        </w:tc>
        <w:tc>
          <w:tcPr>
            <w:tcW w:w="0" w:type="dxa"/>
            <w:vAlign w:val="bottom"/>
          </w:tcPr>
          <w:p>
            <w:pPr>
              <w:spacing w:after="0"/>
              <w:rPr>
                <w:sz w:val="1"/>
                <w:szCs w:val="1"/>
                <w:color w:val="auto"/>
              </w:rPr>
            </w:pPr>
          </w:p>
        </w:tc>
      </w:tr>
      <w:tr>
        <w:trPr>
          <w:trHeight w:val="187"/>
        </w:trPr>
        <w:tc>
          <w:tcPr>
            <w:tcW w:w="1660" w:type="dxa"/>
            <w:vAlign w:val="bottom"/>
          </w:tcPr>
          <w:p>
            <w:pPr>
              <w:jc w:val="center"/>
              <w:ind w:right="290"/>
              <w:spacing w:after="0" w:line="188" w:lineRule="exact"/>
              <w:rPr>
                <w:sz w:val="20"/>
                <w:szCs w:val="20"/>
                <w:color w:val="auto"/>
              </w:rPr>
            </w:pPr>
            <w:r>
              <w:rPr>
                <w:rFonts w:ascii="Times New Roman" w:cs="Times New Roman" w:eastAsia="Times New Roman" w:hAnsi="Times New Roman"/>
                <w:sz w:val="18"/>
                <w:szCs w:val="18"/>
                <w:color w:val="auto"/>
                <w:w w:val="97"/>
              </w:rPr>
              <w:t>EACH</w:t>
            </w:r>
          </w:p>
        </w:tc>
        <w:tc>
          <w:tcPr>
            <w:tcW w:w="9200" w:type="dxa"/>
            <w:vAlign w:val="bottom"/>
          </w:tcPr>
          <w:p>
            <w:pPr>
              <w:ind w:left="900"/>
              <w:spacing w:after="0" w:line="188"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20"/>
        </w:trPr>
        <w:tc>
          <w:tcPr>
            <w:tcW w:w="166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w w:val="98"/>
              </w:rPr>
              <w:t>REPORTING</w:t>
            </w:r>
          </w:p>
        </w:tc>
        <w:tc>
          <w:tcPr>
            <w:tcW w:w="9200" w:type="dxa"/>
            <w:vAlign w:val="bottom"/>
          </w:tcPr>
          <w:p>
            <w:pPr>
              <w:jc w:val="center"/>
              <w:ind w:right="8451"/>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202"/>
        </w:trPr>
        <w:tc>
          <w:tcPr>
            <w:tcW w:w="1660" w:type="dxa"/>
            <w:vAlign w:val="bottom"/>
            <w:vMerge w:val="continue"/>
          </w:tcPr>
          <w:p>
            <w:pPr>
              <w:spacing w:after="0"/>
              <w:rPr>
                <w:sz w:val="17"/>
                <w:szCs w:val="17"/>
                <w:color w:val="auto"/>
              </w:rPr>
            </w:pPr>
          </w:p>
        </w:tc>
        <w:tc>
          <w:tcPr>
            <w:tcW w:w="9200" w:type="dxa"/>
            <w:vAlign w:val="bottom"/>
          </w:tcPr>
          <w:p>
            <w:pPr>
              <w:ind w:left="900"/>
              <w:spacing w:after="0" w:line="202"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166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w w:val="98"/>
              </w:rPr>
              <w:t>PERSON</w:t>
            </w:r>
          </w:p>
        </w:tc>
        <w:tc>
          <w:tcPr>
            <w:tcW w:w="9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660" w:type="dxa"/>
            <w:vAlign w:val="bottom"/>
            <w:vMerge w:val="continue"/>
          </w:tcPr>
          <w:p>
            <w:pPr>
              <w:spacing w:after="0"/>
              <w:rPr>
                <w:sz w:val="14"/>
                <w:szCs w:val="14"/>
                <w:color w:val="auto"/>
              </w:rPr>
            </w:pPr>
          </w:p>
        </w:tc>
        <w:tc>
          <w:tcPr>
            <w:tcW w:w="9200" w:type="dxa"/>
            <w:vAlign w:val="bottom"/>
          </w:tcPr>
          <w:p>
            <w:pPr>
              <w:ind w:left="900"/>
              <w:spacing w:after="0" w:line="164" w:lineRule="exact"/>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61"/>
        </w:trPr>
        <w:tc>
          <w:tcPr>
            <w:tcW w:w="16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WITH:</w:t>
            </w:r>
          </w:p>
        </w:tc>
        <w:tc>
          <w:tcPr>
            <w:tcW w:w="9200" w:type="dxa"/>
            <w:vAlign w:val="bottom"/>
          </w:tcPr>
          <w:p>
            <w:pPr>
              <w:jc w:val="center"/>
              <w:ind w:right="8451"/>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0" w:type="dxa"/>
            <w:vAlign w:val="bottom"/>
          </w:tcPr>
          <w:p>
            <w:pPr>
              <w:spacing w:after="0"/>
              <w:rPr>
                <w:sz w:val="1"/>
                <w:szCs w:val="1"/>
                <w:color w:val="auto"/>
              </w:rPr>
            </w:pPr>
          </w:p>
        </w:tc>
      </w:tr>
    </w:tbl>
    <w:p>
      <w:pPr>
        <w:ind w:left="2940"/>
        <w:spacing w:after="0" w:line="185" w:lineRule="auto"/>
        <w:rPr>
          <w:sz w:val="20"/>
          <w:szCs w:val="20"/>
          <w:color w:val="auto"/>
        </w:rPr>
      </w:pPr>
      <w:r>
        <w:rPr>
          <w:rFonts w:ascii="Times New Roman" w:cs="Times New Roman" w:eastAsia="Times New Roman" w:hAnsi="Times New Roman"/>
          <w:sz w:val="16"/>
          <w:szCs w:val="16"/>
          <w:color w:val="auto"/>
        </w:rPr>
        <w:t>627,572</w:t>
      </w:r>
      <w:r>
        <w:rPr>
          <w:rFonts w:ascii="Times New Roman" w:cs="Times New Roman" w:eastAsia="Times New Roman" w:hAnsi="Times New Roman"/>
          <w:sz w:val="26"/>
          <w:szCs w:val="26"/>
          <w:color w:val="auto"/>
          <w:vertAlign w:val="superscript"/>
        </w:rPr>
        <w:t>(1)</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11</w:t>
      </w:r>
    </w:p>
    <w:p>
      <w:pPr>
        <w:ind w:left="920"/>
        <w:spacing w:after="0" w:line="185" w:lineRule="auto"/>
        <w:rPr>
          <w:sz w:val="20"/>
          <w:szCs w:val="20"/>
          <w:color w:val="auto"/>
        </w:rPr>
      </w:pPr>
      <w:r>
        <w:rPr>
          <w:rFonts w:ascii="Times New Roman" w:cs="Times New Roman" w:eastAsia="Times New Roman" w:hAnsi="Times New Roman"/>
          <w:sz w:val="17"/>
          <w:szCs w:val="17"/>
          <w:color w:val="auto"/>
        </w:rPr>
        <w:t>627,572</w:t>
      </w:r>
      <w:r>
        <w:rPr>
          <w:rFonts w:ascii="Times New Roman" w:cs="Times New Roman" w:eastAsia="Times New Roman" w:hAnsi="Times New Roman"/>
          <w:sz w:val="27"/>
          <w:szCs w:val="27"/>
          <w:color w:val="auto"/>
          <w:vertAlign w:val="superscript"/>
        </w:rPr>
        <w:t>(1)</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4" w:lineRule="exact"/>
        <w:rPr>
          <w:sz w:val="20"/>
          <w:szCs w:val="20"/>
          <w:color w:val="auto"/>
        </w:rPr>
      </w:pPr>
    </w:p>
    <w:p>
      <w:pPr>
        <w:ind w:left="920"/>
        <w:spacing w:after="0" w:line="181" w:lineRule="exact"/>
        <w:rPr>
          <w:sz w:val="20"/>
          <w:szCs w:val="20"/>
          <w:color w:val="auto"/>
        </w:rPr>
      </w:pPr>
      <w:r>
        <w:rPr>
          <w:rFonts w:ascii="MS PGothic" w:cs="MS PGothic" w:eastAsia="MS PGothic" w:hAnsi="MS PGothic"/>
          <w:sz w:val="18"/>
          <w:szCs w:val="18"/>
          <w:color w:val="auto"/>
        </w:rPr>
        <w:t>☐</w:t>
      </w:r>
    </w:p>
    <w:p>
      <w:pPr>
        <w:spacing w:after="0" w:line="5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13</w:t>
      </w:r>
    </w:p>
    <w:p>
      <w:pPr>
        <w:ind w:left="920"/>
        <w:spacing w:after="0" w:line="185" w:lineRule="auto"/>
        <w:rPr>
          <w:sz w:val="20"/>
          <w:szCs w:val="20"/>
          <w:color w:val="auto"/>
        </w:rPr>
      </w:pPr>
      <w:r>
        <w:rPr>
          <w:rFonts w:ascii="Times New Roman" w:cs="Times New Roman" w:eastAsia="Times New Roman" w:hAnsi="Times New Roman"/>
          <w:sz w:val="17"/>
          <w:szCs w:val="17"/>
          <w:color w:val="auto"/>
        </w:rPr>
        <w:t>7.11%</w:t>
      </w:r>
      <w:r>
        <w:rPr>
          <w:rFonts w:ascii="Times New Roman" w:cs="Times New Roman" w:eastAsia="Times New Roman" w:hAnsi="Times New Roman"/>
          <w:sz w:val="27"/>
          <w:szCs w:val="27"/>
          <w:color w:val="auto"/>
          <w:vertAlign w:val="superscript"/>
        </w:rPr>
        <w:t>(2)</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14</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CO</w:t>
      </w:r>
    </w:p>
    <w:p>
      <w:pPr>
        <w:spacing w:after="0" w:line="131" w:lineRule="exact"/>
        <w:rPr>
          <w:sz w:val="20"/>
          <w:szCs w:val="20"/>
          <w:color w:val="auto"/>
        </w:rPr>
      </w:pPr>
    </w:p>
    <w:p>
      <w:pPr>
        <w:ind w:left="220" w:hanging="212"/>
        <w:spacing w:after="0"/>
        <w:tabs>
          <w:tab w:leader="none" w:pos="220"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Includes beneficial ownership of 627,572 shares of Common Stock.</w:t>
      </w:r>
    </w:p>
    <w:p>
      <w:pPr>
        <w:spacing w:after="0" w:line="197" w:lineRule="exact"/>
        <w:rPr>
          <w:rFonts w:ascii="Times New Roman" w:cs="Times New Roman" w:eastAsia="Times New Roman" w:hAnsi="Times New Roman"/>
          <w:sz w:val="27"/>
          <w:szCs w:val="27"/>
          <w:color w:val="auto"/>
          <w:vertAlign w:val="superscript"/>
        </w:rPr>
      </w:pPr>
    </w:p>
    <w:p>
      <w:pPr>
        <w:ind w:right="20" w:firstLine="8"/>
        <w:spacing w:after="0" w:line="218" w:lineRule="auto"/>
        <w:tabs>
          <w:tab w:leader="none" w:pos="223"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 ownership percentage set forth herein is calculated assuming a total of 8,828,751 shares of Common Stock of the Issuer are issued and outstanding, as set forth in the Issuer’s Quarterly Report on Form 10-Q filed with the Securities and Exchange Commission on April 3, 2024.</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070203104</w:t>
            </w:r>
          </w:p>
        </w:tc>
      </w:tr>
    </w:tbl>
    <w:p>
      <w:pPr>
        <w:spacing w:after="0" w:line="19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NAME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5871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Bradley L. Hasselwander</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18" w:lineRule="exact"/>
        <w:rPr>
          <w:sz w:val="20"/>
          <w:szCs w:val="20"/>
          <w:color w:val="auto"/>
        </w:rPr>
      </w:pPr>
    </w:p>
    <w:p>
      <w:pPr>
        <w:ind w:left="920" w:hanging="619"/>
        <w:spacing w:after="0" w:line="207" w:lineRule="exact"/>
        <w:tabs>
          <w:tab w:leader="none" w:pos="9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p>
      <w:pPr>
        <w:spacing w:after="0" w:line="15" w:lineRule="exact"/>
        <w:rPr>
          <w:rFonts w:ascii="Times New Roman" w:cs="Times New Roman" w:eastAsia="Times New Roman" w:hAnsi="Times New Roman"/>
          <w:sz w:val="18"/>
          <w:szCs w:val="18"/>
          <w:b w:val="1"/>
          <w:bCs w:val="1"/>
          <w:color w:val="auto"/>
        </w:rPr>
      </w:pPr>
    </w:p>
    <w:p>
      <w:pPr>
        <w:ind w:left="1260" w:hanging="348"/>
        <w:spacing w:after="0" w:line="207" w:lineRule="exact"/>
        <w:tabs>
          <w:tab w:leader="none" w:pos="1260" w:val="left"/>
        </w:tabs>
        <w:numPr>
          <w:ilvl w:val="1"/>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SEC USE ONLY</w:t>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3</w:t>
      </w:r>
    </w:p>
    <w:p>
      <w:pPr>
        <w:spacing w:after="0" w:line="2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SOURCE OF FUNDS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Not applicable.</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5</w:t>
      </w:r>
    </w:p>
    <w:p>
      <w:pPr>
        <w:spacing w:after="0" w:line="4" w:lineRule="exact"/>
        <w:rPr>
          <w:sz w:val="20"/>
          <w:szCs w:val="20"/>
          <w:color w:val="auto"/>
        </w:rPr>
      </w:pPr>
    </w:p>
    <w:p>
      <w:pPr>
        <w:ind w:left="920"/>
        <w:spacing w:after="0" w:line="181" w:lineRule="exact"/>
        <w:rPr>
          <w:sz w:val="20"/>
          <w:szCs w:val="20"/>
          <w:color w:val="auto"/>
        </w:rPr>
      </w:pPr>
      <w:r>
        <w:rPr>
          <w:rFonts w:ascii="MS PGothic" w:cs="MS PGothic" w:eastAsia="MS PGothic" w:hAnsi="MS PGothic"/>
          <w:sz w:val="18"/>
          <w:szCs w:val="18"/>
          <w:color w:val="auto"/>
        </w:rPr>
        <w:t>☐</w:t>
      </w:r>
    </w:p>
    <w:p>
      <w:pPr>
        <w:spacing w:after="0" w:line="5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6</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United States</w:t>
      </w:r>
    </w:p>
    <w:p>
      <w:pPr>
        <w:spacing w:after="0" w:line="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SOLE VOTING POWER</w:t>
      </w:r>
    </w:p>
    <w:p>
      <w:pPr>
        <w:spacing w:after="0" w:line="13"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16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NUMBER OF</w:t>
            </w:r>
          </w:p>
        </w:tc>
        <w:tc>
          <w:tcPr>
            <w:tcW w:w="9200" w:type="dxa"/>
            <w:vAlign w:val="bottom"/>
          </w:tcPr>
          <w:p>
            <w:pPr>
              <w:jc w:val="center"/>
              <w:ind w:right="8451"/>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234"/>
        </w:trPr>
        <w:tc>
          <w:tcPr>
            <w:tcW w:w="166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w w:val="98"/>
              </w:rPr>
              <w:t>SHARES</w:t>
            </w:r>
          </w:p>
        </w:tc>
        <w:tc>
          <w:tcPr>
            <w:tcW w:w="920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7"/>
        </w:trPr>
        <w:tc>
          <w:tcPr>
            <w:tcW w:w="1660" w:type="dxa"/>
            <w:vAlign w:val="bottom"/>
            <w:vMerge w:val="continue"/>
          </w:tcPr>
          <w:p>
            <w:pPr>
              <w:spacing w:after="0"/>
              <w:rPr>
                <w:sz w:val="16"/>
                <w:szCs w:val="16"/>
                <w:color w:val="auto"/>
              </w:rPr>
            </w:pPr>
          </w:p>
        </w:tc>
        <w:tc>
          <w:tcPr>
            <w:tcW w:w="9200" w:type="dxa"/>
            <w:vAlign w:val="bottom"/>
          </w:tcPr>
          <w:p>
            <w:pPr>
              <w:ind w:left="900"/>
              <w:spacing w:after="0" w:line="188"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20"/>
        </w:trPr>
        <w:tc>
          <w:tcPr>
            <w:tcW w:w="16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BENEFICIALLY</w:t>
            </w:r>
          </w:p>
        </w:tc>
        <w:tc>
          <w:tcPr>
            <w:tcW w:w="9200" w:type="dxa"/>
            <w:vAlign w:val="bottom"/>
          </w:tcPr>
          <w:p>
            <w:pPr>
              <w:jc w:val="center"/>
              <w:ind w:right="8451"/>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234"/>
        </w:trPr>
        <w:tc>
          <w:tcPr>
            <w:tcW w:w="16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OWNED BY</w:t>
            </w:r>
          </w:p>
        </w:tc>
        <w:tc>
          <w:tcPr>
            <w:tcW w:w="9200" w:type="dxa"/>
            <w:vAlign w:val="bottom"/>
            <w:tcBorders>
              <w:bottom w:val="single" w:sz="8" w:color="auto"/>
            </w:tcBorders>
          </w:tcPr>
          <w:p>
            <w:pPr>
              <w:ind w:left="900"/>
              <w:spacing w:after="0" w:line="235" w:lineRule="exact"/>
              <w:rPr>
                <w:sz w:val="20"/>
                <w:szCs w:val="20"/>
                <w:color w:val="auto"/>
              </w:rPr>
            </w:pPr>
            <w:r>
              <w:rPr>
                <w:rFonts w:ascii="Times New Roman" w:cs="Times New Roman" w:eastAsia="Times New Roman" w:hAnsi="Times New Roman"/>
                <w:sz w:val="17"/>
                <w:szCs w:val="17"/>
                <w:color w:val="auto"/>
              </w:rPr>
              <w:t>627,572</w:t>
            </w:r>
            <w:r>
              <w:rPr>
                <w:rFonts w:ascii="Times New Roman" w:cs="Times New Roman" w:eastAsia="Times New Roman" w:hAnsi="Times New Roman"/>
                <w:sz w:val="27"/>
                <w:szCs w:val="27"/>
                <w:color w:val="auto"/>
                <w:vertAlign w:val="superscript"/>
              </w:rPr>
              <w:t>(1)</w:t>
            </w:r>
          </w:p>
        </w:tc>
        <w:tc>
          <w:tcPr>
            <w:tcW w:w="0" w:type="dxa"/>
            <w:vAlign w:val="bottom"/>
          </w:tcPr>
          <w:p>
            <w:pPr>
              <w:spacing w:after="0"/>
              <w:rPr>
                <w:sz w:val="1"/>
                <w:szCs w:val="1"/>
                <w:color w:val="auto"/>
              </w:rPr>
            </w:pPr>
          </w:p>
        </w:tc>
      </w:tr>
      <w:tr>
        <w:trPr>
          <w:trHeight w:val="187"/>
        </w:trPr>
        <w:tc>
          <w:tcPr>
            <w:tcW w:w="1660" w:type="dxa"/>
            <w:vAlign w:val="bottom"/>
          </w:tcPr>
          <w:p>
            <w:pPr>
              <w:jc w:val="center"/>
              <w:ind w:right="290"/>
              <w:spacing w:after="0" w:line="188" w:lineRule="exact"/>
              <w:rPr>
                <w:sz w:val="20"/>
                <w:szCs w:val="20"/>
                <w:color w:val="auto"/>
              </w:rPr>
            </w:pPr>
            <w:r>
              <w:rPr>
                <w:rFonts w:ascii="Times New Roman" w:cs="Times New Roman" w:eastAsia="Times New Roman" w:hAnsi="Times New Roman"/>
                <w:sz w:val="18"/>
                <w:szCs w:val="18"/>
                <w:color w:val="auto"/>
                <w:w w:val="97"/>
              </w:rPr>
              <w:t>EACH</w:t>
            </w:r>
          </w:p>
        </w:tc>
        <w:tc>
          <w:tcPr>
            <w:tcW w:w="9200" w:type="dxa"/>
            <w:vAlign w:val="bottom"/>
          </w:tcPr>
          <w:p>
            <w:pPr>
              <w:ind w:left="900"/>
              <w:spacing w:after="0" w:line="188"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20"/>
        </w:trPr>
        <w:tc>
          <w:tcPr>
            <w:tcW w:w="166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w w:val="98"/>
              </w:rPr>
              <w:t>REPORTING</w:t>
            </w:r>
          </w:p>
        </w:tc>
        <w:tc>
          <w:tcPr>
            <w:tcW w:w="9200" w:type="dxa"/>
            <w:vAlign w:val="bottom"/>
          </w:tcPr>
          <w:p>
            <w:pPr>
              <w:jc w:val="center"/>
              <w:ind w:right="8451"/>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203"/>
        </w:trPr>
        <w:tc>
          <w:tcPr>
            <w:tcW w:w="1660" w:type="dxa"/>
            <w:vAlign w:val="bottom"/>
            <w:vMerge w:val="continue"/>
          </w:tcPr>
          <w:p>
            <w:pPr>
              <w:spacing w:after="0"/>
              <w:rPr>
                <w:sz w:val="17"/>
                <w:szCs w:val="17"/>
                <w:color w:val="auto"/>
              </w:rPr>
            </w:pPr>
          </w:p>
        </w:tc>
        <w:tc>
          <w:tcPr>
            <w:tcW w:w="9200" w:type="dxa"/>
            <w:vAlign w:val="bottom"/>
          </w:tcPr>
          <w:p>
            <w:pPr>
              <w:ind w:left="900"/>
              <w:spacing w:after="0" w:line="202" w:lineRule="exact"/>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32"/>
        </w:trPr>
        <w:tc>
          <w:tcPr>
            <w:tcW w:w="1660" w:type="dxa"/>
            <w:vAlign w:val="bottom"/>
            <w:vMerge w:val="restart"/>
          </w:tcPr>
          <w:p>
            <w:pPr>
              <w:jc w:val="center"/>
              <w:ind w:right="290"/>
              <w:spacing w:after="0"/>
              <w:rPr>
                <w:sz w:val="20"/>
                <w:szCs w:val="20"/>
                <w:color w:val="auto"/>
              </w:rPr>
            </w:pPr>
            <w:r>
              <w:rPr>
                <w:rFonts w:ascii="Times New Roman" w:cs="Times New Roman" w:eastAsia="Times New Roman" w:hAnsi="Times New Roman"/>
                <w:sz w:val="18"/>
                <w:szCs w:val="18"/>
                <w:color w:val="auto"/>
                <w:w w:val="98"/>
              </w:rPr>
              <w:t>PERSON</w:t>
            </w:r>
          </w:p>
        </w:tc>
        <w:tc>
          <w:tcPr>
            <w:tcW w:w="9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660" w:type="dxa"/>
            <w:vAlign w:val="bottom"/>
            <w:vMerge w:val="continue"/>
          </w:tcPr>
          <w:p>
            <w:pPr>
              <w:spacing w:after="0"/>
              <w:rPr>
                <w:sz w:val="14"/>
                <w:szCs w:val="14"/>
                <w:color w:val="auto"/>
              </w:rPr>
            </w:pPr>
          </w:p>
        </w:tc>
        <w:tc>
          <w:tcPr>
            <w:tcW w:w="9200" w:type="dxa"/>
            <w:vAlign w:val="bottom"/>
          </w:tcPr>
          <w:p>
            <w:pPr>
              <w:ind w:left="900"/>
              <w:spacing w:after="0" w:line="164" w:lineRule="exact"/>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61"/>
        </w:trPr>
        <w:tc>
          <w:tcPr>
            <w:tcW w:w="16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WITH:</w:t>
            </w:r>
          </w:p>
        </w:tc>
        <w:tc>
          <w:tcPr>
            <w:tcW w:w="9200" w:type="dxa"/>
            <w:vAlign w:val="bottom"/>
          </w:tcPr>
          <w:p>
            <w:pPr>
              <w:jc w:val="center"/>
              <w:ind w:right="8451"/>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0" w:type="dxa"/>
            <w:vAlign w:val="bottom"/>
          </w:tcPr>
          <w:p>
            <w:pPr>
              <w:spacing w:after="0"/>
              <w:rPr>
                <w:sz w:val="1"/>
                <w:szCs w:val="1"/>
                <w:color w:val="auto"/>
              </w:rPr>
            </w:pPr>
          </w:p>
        </w:tc>
      </w:tr>
    </w:tbl>
    <w:p>
      <w:pPr>
        <w:ind w:left="2940"/>
        <w:spacing w:after="0" w:line="185" w:lineRule="auto"/>
        <w:rPr>
          <w:sz w:val="20"/>
          <w:szCs w:val="20"/>
          <w:color w:val="auto"/>
        </w:rPr>
      </w:pPr>
      <w:r>
        <w:rPr>
          <w:rFonts w:ascii="Times New Roman" w:cs="Times New Roman" w:eastAsia="Times New Roman" w:hAnsi="Times New Roman"/>
          <w:sz w:val="16"/>
          <w:szCs w:val="16"/>
          <w:color w:val="auto"/>
        </w:rPr>
        <w:t>627,572</w:t>
      </w:r>
      <w:r>
        <w:rPr>
          <w:rFonts w:ascii="Times New Roman" w:cs="Times New Roman" w:eastAsia="Times New Roman" w:hAnsi="Times New Roman"/>
          <w:sz w:val="26"/>
          <w:szCs w:val="26"/>
          <w:color w:val="auto"/>
          <w:vertAlign w:val="superscript"/>
        </w:rPr>
        <w:t>(1)</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11</w:t>
      </w:r>
    </w:p>
    <w:p>
      <w:pPr>
        <w:ind w:left="920"/>
        <w:spacing w:after="0" w:line="185" w:lineRule="auto"/>
        <w:rPr>
          <w:sz w:val="20"/>
          <w:szCs w:val="20"/>
          <w:color w:val="auto"/>
        </w:rPr>
      </w:pPr>
      <w:r>
        <w:rPr>
          <w:rFonts w:ascii="Times New Roman" w:cs="Times New Roman" w:eastAsia="Times New Roman" w:hAnsi="Times New Roman"/>
          <w:sz w:val="17"/>
          <w:szCs w:val="17"/>
          <w:color w:val="auto"/>
        </w:rPr>
        <w:t>627,572</w:t>
      </w:r>
      <w:r>
        <w:rPr>
          <w:rFonts w:ascii="Times New Roman" w:cs="Times New Roman" w:eastAsia="Times New Roman" w:hAnsi="Times New Roman"/>
          <w:sz w:val="27"/>
          <w:szCs w:val="27"/>
          <w:color w:val="auto"/>
          <w:vertAlign w:val="superscript"/>
        </w:rPr>
        <w:t>(1)</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4" w:lineRule="exact"/>
        <w:rPr>
          <w:sz w:val="20"/>
          <w:szCs w:val="20"/>
          <w:color w:val="auto"/>
        </w:rPr>
      </w:pPr>
    </w:p>
    <w:p>
      <w:pPr>
        <w:ind w:left="920"/>
        <w:spacing w:after="0" w:line="181" w:lineRule="exact"/>
        <w:rPr>
          <w:sz w:val="20"/>
          <w:szCs w:val="20"/>
          <w:color w:val="auto"/>
        </w:rPr>
      </w:pPr>
      <w:r>
        <w:rPr>
          <w:rFonts w:ascii="MS PGothic" w:cs="MS PGothic" w:eastAsia="MS PGothic" w:hAnsi="MS PGothic"/>
          <w:sz w:val="18"/>
          <w:szCs w:val="18"/>
          <w:color w:val="auto"/>
        </w:rPr>
        <w:t>☐</w:t>
      </w:r>
    </w:p>
    <w:p>
      <w:pPr>
        <w:spacing w:after="0" w:line="5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13</w:t>
      </w:r>
    </w:p>
    <w:p>
      <w:pPr>
        <w:ind w:left="920"/>
        <w:spacing w:after="0" w:line="185" w:lineRule="auto"/>
        <w:rPr>
          <w:sz w:val="20"/>
          <w:szCs w:val="20"/>
          <w:color w:val="auto"/>
        </w:rPr>
      </w:pPr>
      <w:r>
        <w:rPr>
          <w:rFonts w:ascii="Times New Roman" w:cs="Times New Roman" w:eastAsia="Times New Roman" w:hAnsi="Times New Roman"/>
          <w:sz w:val="17"/>
          <w:szCs w:val="17"/>
          <w:color w:val="auto"/>
        </w:rPr>
        <w:t>7.11%</w:t>
      </w:r>
      <w:r>
        <w:rPr>
          <w:rFonts w:ascii="Times New Roman" w:cs="Times New Roman" w:eastAsia="Times New Roman" w:hAnsi="Times New Roman"/>
          <w:sz w:val="27"/>
          <w:szCs w:val="27"/>
          <w:color w:val="auto"/>
          <w:vertAlign w:val="superscript"/>
        </w:rPr>
        <w:t>(2)</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14</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IN</w:t>
      </w:r>
    </w:p>
    <w:p>
      <w:pPr>
        <w:spacing w:after="0" w:line="131" w:lineRule="exact"/>
        <w:rPr>
          <w:sz w:val="20"/>
          <w:szCs w:val="20"/>
          <w:color w:val="auto"/>
        </w:rPr>
      </w:pPr>
    </w:p>
    <w:p>
      <w:pPr>
        <w:ind w:left="220" w:hanging="212"/>
        <w:spacing w:after="0"/>
        <w:tabs>
          <w:tab w:leader="none" w:pos="220" w:val="left"/>
        </w:tabs>
        <w:numPr>
          <w:ilvl w:val="0"/>
          <w:numId w:val="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Includes beneficial ownership of 627,572 shares of Common Stock.</w:t>
      </w:r>
    </w:p>
    <w:p>
      <w:pPr>
        <w:spacing w:after="0" w:line="197" w:lineRule="exact"/>
        <w:rPr>
          <w:rFonts w:ascii="Times New Roman" w:cs="Times New Roman" w:eastAsia="Times New Roman" w:hAnsi="Times New Roman"/>
          <w:sz w:val="27"/>
          <w:szCs w:val="27"/>
          <w:color w:val="auto"/>
          <w:vertAlign w:val="superscript"/>
        </w:rPr>
      </w:pPr>
    </w:p>
    <w:p>
      <w:pPr>
        <w:ind w:right="80" w:firstLine="8"/>
        <w:spacing w:after="0" w:line="218" w:lineRule="auto"/>
        <w:tabs>
          <w:tab w:leader="none" w:pos="220" w:val="left"/>
        </w:tabs>
        <w:numPr>
          <w:ilvl w:val="0"/>
          <w:numId w:val="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The ownership percentage set forth herein is calculated assuming a total of 8,828,751 shares of Common Stock of the Issuer are issued and outstanding, as set forth in the Issuer’s Quarterly Report on Form 10-Q filed with the Securities and Exchange Commission on April 3, 2024.</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SCHEDULE 13D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Amendment No. 1 to Schedule 13D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supplements and amends the Schedule 13D filed with the Securities and Exchange Commission on May 6, 2024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filed by Auto Services Company, Inc., an Arkansas corporation (“</w:t>
      </w:r>
      <w:r>
        <w:rPr>
          <w:rFonts w:ascii="Times New Roman" w:cs="Times New Roman" w:eastAsia="Times New Roman" w:hAnsi="Times New Roman"/>
          <w:sz w:val="18"/>
          <w:szCs w:val="18"/>
          <w:u w:val="single" w:color="auto"/>
          <w:color w:val="auto"/>
        </w:rPr>
        <w:t>ASC</w:t>
      </w:r>
      <w:r>
        <w:rPr>
          <w:rFonts w:ascii="Times New Roman" w:cs="Times New Roman" w:eastAsia="Times New Roman" w:hAnsi="Times New Roman"/>
          <w:sz w:val="18"/>
          <w:szCs w:val="18"/>
          <w:color w:val="auto"/>
        </w:rPr>
        <w:t>”), ASC Holding Company, Inc. (“</w:t>
      </w:r>
      <w:r>
        <w:rPr>
          <w:rFonts w:ascii="Times New Roman" w:cs="Times New Roman" w:eastAsia="Times New Roman" w:hAnsi="Times New Roman"/>
          <w:sz w:val="18"/>
          <w:szCs w:val="18"/>
          <w:u w:val="single" w:color="auto"/>
          <w:color w:val="auto"/>
        </w:rPr>
        <w:t>ASC Holding</w:t>
      </w:r>
      <w:r>
        <w:rPr>
          <w:rFonts w:ascii="Times New Roman" w:cs="Times New Roman" w:eastAsia="Times New Roman" w:hAnsi="Times New Roman"/>
          <w:sz w:val="18"/>
          <w:szCs w:val="18"/>
          <w:color w:val="auto"/>
        </w:rPr>
        <w:t>”), an Arkansas corporation, and Bradley L. Hasselwander (“</w:t>
      </w:r>
      <w:r>
        <w:rPr>
          <w:rFonts w:ascii="Times New Roman" w:cs="Times New Roman" w:eastAsia="Times New Roman" w:hAnsi="Times New Roman"/>
          <w:sz w:val="18"/>
          <w:szCs w:val="18"/>
          <w:u w:val="single" w:color="auto"/>
          <w:color w:val="auto"/>
        </w:rPr>
        <w:t>Hasselwander</w:t>
      </w:r>
      <w:r>
        <w:rPr>
          <w:rFonts w:ascii="Times New Roman" w:cs="Times New Roman" w:eastAsia="Times New Roman" w:hAnsi="Times New Roman"/>
          <w:sz w:val="18"/>
          <w:szCs w:val="18"/>
          <w:color w:val="auto"/>
        </w:rPr>
        <w:t>”), an individual. Each of the foregoing is referred to herein as a “Reporting Person” and collectively as the “Reporting Persons.” This Amendment relates to the Common Stock, par value $5.00 per share (the “</w:t>
      </w:r>
      <w:r>
        <w:rPr>
          <w:rFonts w:ascii="Times New Roman" w:cs="Times New Roman" w:eastAsia="Times New Roman" w:hAnsi="Times New Roman"/>
          <w:sz w:val="18"/>
          <w:szCs w:val="18"/>
          <w:u w:val="single" w:color="auto"/>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of Bassett Furniture Industries, Incorporated, a Virginia corporation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The principal executive offices of the Issuer are located at 3525 Fairystone Park Highway, Bassett, Virginia 24055.</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capitalized terms used herein but not otherwise defined shall have the meanings ascribed to such terms in the Schedule 13D. Except as amended and supplemented by this Amendment, the Schedule 13D is unmodified.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jc w:val="both"/>
        <w:ind w:firstLine="656"/>
        <w:spacing w:after="0" w:line="254" w:lineRule="auto"/>
        <w:tabs>
          <w:tab w:leader="none" w:pos="90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The information relating to the beneficial ownership of Common Stock by the Reporting Persons set forth in Rows 7 through 13 of each cover page hereto is incorporated by reference. ASC is the beneficial owner of 627,572 shares of Common Stock, constituting approximately 7.11% of outstanding Common Stock. Because it is the parent holding company of ASC, ASC Holding may be deemed to have the shared power to vote or direct the vote, and the shared power to dispose or direct the disposition, of all shares beneficially owned by ASC. Because he is the controlling stockholder of ASC Holdings, Bradley L. Hasselwander may be deemed to have the shared power to vote or direct the vote, and the shared power to dispose or direct the disposition, of all shares beneficially owned by ASC. The foregoing ownership percentage is calculated assuming a total of 8,828,751 shares of Common Stock of the Issuer are issued and outstanding, as set forth in the Issuer’s Quarterly Report on Form 10-Q filed with the Securities and Exchange Commission on April 3, 2024.</w:t>
      </w:r>
    </w:p>
    <w:p>
      <w:pPr>
        <w:spacing w:after="0" w:line="19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None of the Reporting Persons or, to the knowledge of the Reporting Persons, any of the other persons listed in Item 2(a)-(c) hereto beneficially owns any other securities of the Issuer.</w:t>
      </w:r>
    </w:p>
    <w:p>
      <w:pPr>
        <w:spacing w:after="0" w:line="162" w:lineRule="exact"/>
        <w:rPr>
          <w:sz w:val="20"/>
          <w:szCs w:val="20"/>
          <w:color w:val="auto"/>
        </w:rPr>
      </w:pPr>
    </w:p>
    <w:p>
      <w:pPr>
        <w:ind w:right="400" w:firstLine="656"/>
        <w:spacing w:after="0" w:line="282" w:lineRule="auto"/>
        <w:tabs>
          <w:tab w:leader="none" w:pos="9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by the Reporting Persons in shares of Common Stock of the Issuer since the filing of the Schedule 13D are as follows, all of which were effected and held by ASC through open market purchases:</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1980" w:type="dxa"/>
            <w:vAlign w:val="bottom"/>
            <w:tcBorders>
              <w:top w:val="single" w:sz="8" w:color="auto"/>
              <w:left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3080" w:type="dxa"/>
            <w:vAlign w:val="bottom"/>
            <w:tcBorders>
              <w:top w:val="single" w:sz="8" w:color="auto"/>
              <w:right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Amount of Shares</w:t>
            </w:r>
          </w:p>
        </w:tc>
        <w:tc>
          <w:tcPr>
            <w:tcW w:w="3100" w:type="dxa"/>
            <w:vAlign w:val="bottom"/>
            <w:tcBorders>
              <w:top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spacing w:after="0"/>
              <w:rPr>
                <w:sz w:val="18"/>
                <w:szCs w:val="18"/>
                <w:color w:val="auto"/>
              </w:rPr>
            </w:pPr>
          </w:p>
        </w:tc>
      </w:tr>
      <w:tr>
        <w:trPr>
          <w:trHeight w:val="255"/>
        </w:trPr>
        <w:tc>
          <w:tcPr>
            <w:tcW w:w="1980" w:type="dxa"/>
            <w:vAlign w:val="bottom"/>
            <w:tcBorders>
              <w:left w:val="single" w:sz="8" w:color="auto"/>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Acquired</w:t>
            </w:r>
          </w:p>
        </w:tc>
        <w:tc>
          <w:tcPr>
            <w:tcW w:w="3080" w:type="dxa"/>
            <w:vAlign w:val="bottom"/>
            <w:tcBorders>
              <w:bottom w:val="single" w:sz="8" w:color="auto"/>
              <w:right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Class of Securities</w:t>
            </w:r>
          </w:p>
        </w:tc>
        <w:tc>
          <w:tcPr>
            <w:tcW w:w="3080" w:type="dxa"/>
            <w:vAlign w:val="bottom"/>
            <w:tcBorders>
              <w:bottom w:val="single" w:sz="8" w:color="auto"/>
              <w:right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Per Share Price</w:t>
            </w:r>
          </w:p>
        </w:tc>
      </w:tr>
      <w:tr>
        <w:trPr>
          <w:trHeight w:val="193"/>
        </w:trPr>
        <w:tc>
          <w:tcPr>
            <w:tcW w:w="1980" w:type="dxa"/>
            <w:vAlign w:val="bottom"/>
            <w:tcBorders>
              <w:bottom w:val="single" w:sz="8" w:color="auto"/>
              <w:right w:val="single" w:sz="8" w:color="auto"/>
            </w:tcBorders>
          </w:tcPr>
          <w:p>
            <w:pPr>
              <w:jc w:val="center"/>
              <w:ind w:left="90"/>
              <w:spacing w:after="0" w:line="193" w:lineRule="exact"/>
              <w:rPr>
                <w:sz w:val="20"/>
                <w:szCs w:val="20"/>
                <w:color w:val="auto"/>
              </w:rPr>
            </w:pPr>
            <w:r>
              <w:rPr>
                <w:rFonts w:ascii="Times New Roman" w:cs="Times New Roman" w:eastAsia="Times New Roman" w:hAnsi="Times New Roman"/>
                <w:sz w:val="18"/>
                <w:szCs w:val="18"/>
                <w:color w:val="auto"/>
                <w:w w:val="99"/>
              </w:rPr>
              <w:t>2024-06-17</w:t>
            </w:r>
          </w:p>
        </w:tc>
        <w:tc>
          <w:tcPr>
            <w:tcW w:w="3080" w:type="dxa"/>
            <w:vAlign w:val="bottom"/>
            <w:tcBorders>
              <w:bottom w:val="single" w:sz="8" w:color="auto"/>
              <w:right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174</w:t>
            </w:r>
          </w:p>
        </w:tc>
        <w:tc>
          <w:tcPr>
            <w:tcW w:w="3100" w:type="dxa"/>
            <w:vAlign w:val="bottom"/>
            <w:tcBorders>
              <w:bottom w:val="single" w:sz="8" w:color="auto"/>
              <w:right w:val="single" w:sz="8" w:color="auto"/>
            </w:tcBorders>
          </w:tcPr>
          <w:p>
            <w:pPr>
              <w:jc w:val="center"/>
              <w:ind w:left="50"/>
              <w:spacing w:after="0" w:line="193" w:lineRule="exact"/>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$13.44</w:t>
            </w:r>
          </w:p>
        </w:tc>
      </w:tr>
      <w:tr>
        <w:trPr>
          <w:trHeight w:val="210"/>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2024-06-17</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w:t>
            </w:r>
          </w:p>
        </w:tc>
      </w:tr>
      <w:tr>
        <w:trPr>
          <w:trHeight w:val="210"/>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2024-06-17</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w:t>
            </w:r>
          </w:p>
        </w:tc>
      </w:tr>
      <w:tr>
        <w:trPr>
          <w:trHeight w:val="209"/>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2024-06-17</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w:t>
            </w:r>
          </w:p>
        </w:tc>
      </w:tr>
      <w:tr>
        <w:trPr>
          <w:trHeight w:val="210"/>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2024-06-17</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w:t>
            </w:r>
          </w:p>
        </w:tc>
      </w:tr>
      <w:tr>
        <w:trPr>
          <w:trHeight w:val="210"/>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2024-06-17</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w:t>
            </w:r>
          </w:p>
        </w:tc>
      </w:tr>
      <w:tr>
        <w:trPr>
          <w:trHeight w:val="210"/>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2024-06-17</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w:t>
            </w:r>
          </w:p>
        </w:tc>
      </w:tr>
      <w:tr>
        <w:trPr>
          <w:trHeight w:val="209"/>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2024-06-17</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$13.94</w:t>
            </w:r>
          </w:p>
        </w:tc>
      </w:tr>
      <w:tr>
        <w:trPr>
          <w:trHeight w:val="210"/>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2024-06-17</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w:t>
            </w:r>
          </w:p>
        </w:tc>
      </w:tr>
      <w:tr>
        <w:trPr>
          <w:trHeight w:val="210"/>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2024-06-17</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w:t>
            </w:r>
          </w:p>
        </w:tc>
      </w:tr>
      <w:tr>
        <w:trPr>
          <w:trHeight w:val="210"/>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2024-06-17</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w:t>
            </w:r>
          </w:p>
        </w:tc>
      </w:tr>
      <w:tr>
        <w:trPr>
          <w:trHeight w:val="209"/>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2024-06-17</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w:t>
            </w:r>
          </w:p>
        </w:tc>
      </w:tr>
      <w:tr>
        <w:trPr>
          <w:trHeight w:val="210"/>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2024-06-17</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w:t>
            </w:r>
          </w:p>
        </w:tc>
      </w:tr>
      <w:tr>
        <w:trPr>
          <w:trHeight w:val="210"/>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2024-06-17</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w:t>
            </w:r>
          </w:p>
        </w:tc>
      </w:tr>
      <w:tr>
        <w:trPr>
          <w:trHeight w:val="210"/>
        </w:trPr>
        <w:tc>
          <w:tcPr>
            <w:tcW w:w="1980" w:type="dxa"/>
            <w:vAlign w:val="bottom"/>
            <w:tcBorders>
              <w:bottom w:val="single" w:sz="8" w:color="auto"/>
              <w:right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color w:val="auto"/>
                <w:w w:val="99"/>
              </w:rPr>
              <w:t>2024-06-17</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100" w:type="dxa"/>
            <w:vAlign w:val="bottom"/>
            <w:tcBorders>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w:t>
            </w:r>
          </w:p>
        </w:tc>
      </w:tr>
      <w:tr>
        <w:trPr>
          <w:trHeight w:val="425"/>
        </w:trPr>
        <w:tc>
          <w:tcPr>
            <w:tcW w:w="19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100" w:type="dxa"/>
            <w:vAlign w:val="bottom"/>
          </w:tcPr>
          <w:p>
            <w:pPr>
              <w:jc w:val="right"/>
              <w:ind w:right="2410"/>
              <w:spacing w:after="0"/>
              <w:rPr>
                <w:sz w:val="20"/>
                <w:szCs w:val="20"/>
                <w:color w:val="auto"/>
              </w:rPr>
            </w:pPr>
            <w:r>
              <w:rPr>
                <w:rFonts w:ascii="Times New Roman" w:cs="Times New Roman" w:eastAsia="Times New Roman" w:hAnsi="Times New Roman"/>
                <w:sz w:val="18"/>
                <w:szCs w:val="18"/>
                <w:color w:val="auto"/>
              </w:rPr>
              <w:t>5</w:t>
            </w:r>
          </w:p>
        </w:tc>
        <w:tc>
          <w:tcPr>
            <w:tcW w:w="3080" w:type="dxa"/>
            <w:vAlign w:val="bottom"/>
          </w:tcPr>
          <w:p>
            <w:pPr>
              <w:spacing w:after="0"/>
              <w:rPr>
                <w:sz w:val="24"/>
                <w:szCs w:val="24"/>
                <w:color w:val="auto"/>
              </w:rPr>
            </w:pPr>
          </w:p>
        </w:tc>
      </w:tr>
      <w:tr>
        <w:trPr>
          <w:trHeight w:val="115"/>
        </w:trPr>
        <w:tc>
          <w:tcPr>
            <w:tcW w:w="1980" w:type="dxa"/>
            <w:vAlign w:val="bottom"/>
            <w:tcBorders>
              <w:bottom w:val="single" w:sz="8" w:color="auto"/>
            </w:tcBorders>
          </w:tcPr>
          <w:p>
            <w:pPr>
              <w:spacing w:after="0"/>
              <w:rPr>
                <w:sz w:val="10"/>
                <w:szCs w:val="10"/>
                <w:color w:val="auto"/>
              </w:rPr>
            </w:pPr>
          </w:p>
        </w:tc>
        <w:tc>
          <w:tcPr>
            <w:tcW w:w="308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tcPr>
          <w:p>
            <w:pPr>
              <w:spacing w:after="0"/>
              <w:rPr>
                <w:sz w:val="10"/>
                <w:szCs w:val="10"/>
                <w:color w:val="auto"/>
              </w:rPr>
            </w:pPr>
          </w:p>
        </w:tc>
        <w:tc>
          <w:tcPr>
            <w:tcW w:w="30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1980" w:type="dxa"/>
            <w:vAlign w:val="bottom"/>
            <w:tcBorders>
              <w:top w:val="single" w:sz="8" w:color="auto"/>
              <w:left w:val="single" w:sz="8" w:color="auto"/>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2024-06-17</w:t>
            </w:r>
          </w:p>
        </w:tc>
        <w:tc>
          <w:tcPr>
            <w:tcW w:w="308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100" w:type="dxa"/>
            <w:vAlign w:val="bottom"/>
            <w:tcBorders>
              <w:top w:val="single" w:sz="8" w:color="auto"/>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w:t>
            </w:r>
          </w:p>
        </w:tc>
      </w:tr>
      <w:tr>
        <w:trPr>
          <w:trHeight w:val="193"/>
        </w:trPr>
        <w:tc>
          <w:tcPr>
            <w:tcW w:w="1980" w:type="dxa"/>
            <w:vAlign w:val="bottom"/>
            <w:tcBorders>
              <w:bottom w:val="single" w:sz="8" w:color="auto"/>
              <w:right w:val="single" w:sz="8" w:color="auto"/>
            </w:tcBorders>
          </w:tcPr>
          <w:p>
            <w:pPr>
              <w:jc w:val="right"/>
              <w:ind w:right="390"/>
              <w:spacing w:after="0" w:line="193" w:lineRule="exact"/>
              <w:rPr>
                <w:sz w:val="20"/>
                <w:szCs w:val="20"/>
                <w:color w:val="auto"/>
              </w:rPr>
            </w:pPr>
            <w:r>
              <w:rPr>
                <w:rFonts w:ascii="Times New Roman" w:cs="Times New Roman" w:eastAsia="Times New Roman" w:hAnsi="Times New Roman"/>
                <w:sz w:val="18"/>
                <w:szCs w:val="18"/>
                <w:color w:val="auto"/>
              </w:rPr>
              <w:t>2024-06-17</w:t>
            </w:r>
          </w:p>
        </w:tc>
        <w:tc>
          <w:tcPr>
            <w:tcW w:w="3080" w:type="dxa"/>
            <w:vAlign w:val="bottom"/>
            <w:tcBorders>
              <w:bottom w:val="single" w:sz="8" w:color="auto"/>
              <w:right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643</w:t>
            </w:r>
          </w:p>
        </w:tc>
        <w:tc>
          <w:tcPr>
            <w:tcW w:w="3100" w:type="dxa"/>
            <w:vAlign w:val="bottom"/>
            <w:tcBorders>
              <w:bottom w:val="single" w:sz="8" w:color="auto"/>
              <w:right w:val="single" w:sz="8" w:color="auto"/>
            </w:tcBorders>
          </w:tcPr>
          <w:p>
            <w:pPr>
              <w:ind w:left="1060"/>
              <w:spacing w:after="0" w:line="193" w:lineRule="exact"/>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$13.70</w:t>
            </w:r>
          </w:p>
        </w:tc>
      </w:tr>
      <w:tr>
        <w:trPr>
          <w:trHeight w:val="209"/>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2024-06-17</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w:t>
            </w:r>
          </w:p>
        </w:tc>
      </w:tr>
      <w:tr>
        <w:trPr>
          <w:trHeight w:val="210"/>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2024-06-17</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w:t>
            </w:r>
          </w:p>
        </w:tc>
      </w:tr>
      <w:tr>
        <w:trPr>
          <w:trHeight w:val="209"/>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2024-06-17</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w:t>
            </w:r>
          </w:p>
        </w:tc>
      </w:tr>
      <w:tr>
        <w:trPr>
          <w:trHeight w:val="209"/>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2024-06-17</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w:t>
            </w:r>
          </w:p>
        </w:tc>
      </w:tr>
      <w:tr>
        <w:trPr>
          <w:trHeight w:val="210"/>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2024-06-17</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w:t>
            </w:r>
          </w:p>
        </w:tc>
      </w:tr>
      <w:tr>
        <w:trPr>
          <w:trHeight w:val="209"/>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2024-06-17</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w:t>
            </w:r>
          </w:p>
        </w:tc>
      </w:tr>
      <w:tr>
        <w:trPr>
          <w:trHeight w:val="210"/>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2024-06-17</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w:t>
            </w:r>
          </w:p>
        </w:tc>
      </w:tr>
      <w:tr>
        <w:trPr>
          <w:trHeight w:val="209"/>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2024-06-17</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w:t>
            </w:r>
          </w:p>
        </w:tc>
      </w:tr>
      <w:tr>
        <w:trPr>
          <w:trHeight w:val="209"/>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2024-06-17</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w:t>
            </w:r>
          </w:p>
        </w:tc>
      </w:tr>
      <w:tr>
        <w:trPr>
          <w:trHeight w:val="210"/>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2024-06-17</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w:t>
            </w:r>
          </w:p>
        </w:tc>
      </w:tr>
      <w:tr>
        <w:trPr>
          <w:trHeight w:val="209"/>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2024-06-17</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w:t>
            </w:r>
          </w:p>
        </w:tc>
      </w:tr>
      <w:tr>
        <w:trPr>
          <w:trHeight w:val="210"/>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2024-06-17</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w:t>
            </w:r>
          </w:p>
        </w:tc>
      </w:tr>
      <w:tr>
        <w:trPr>
          <w:trHeight w:val="209"/>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2024-06-17</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w:t>
            </w:r>
          </w:p>
        </w:tc>
      </w:tr>
      <w:tr>
        <w:trPr>
          <w:trHeight w:val="209"/>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2024-06-17</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w:t>
            </w:r>
          </w:p>
        </w:tc>
      </w:tr>
      <w:tr>
        <w:trPr>
          <w:trHeight w:val="210"/>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2024-06-17</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w:t>
            </w:r>
          </w:p>
        </w:tc>
      </w:tr>
      <w:tr>
        <w:trPr>
          <w:trHeight w:val="209"/>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2024-06-17</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w:t>
            </w:r>
          </w:p>
        </w:tc>
      </w:tr>
      <w:tr>
        <w:trPr>
          <w:trHeight w:val="209"/>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2024-06-17</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w:t>
            </w:r>
          </w:p>
        </w:tc>
      </w:tr>
      <w:tr>
        <w:trPr>
          <w:trHeight w:val="210"/>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2024-06-17</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w:t>
            </w:r>
          </w:p>
        </w:tc>
      </w:tr>
      <w:tr>
        <w:trPr>
          <w:trHeight w:val="209"/>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2024-06-17</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w:t>
            </w:r>
          </w:p>
        </w:tc>
      </w:tr>
      <w:tr>
        <w:trPr>
          <w:trHeight w:val="210"/>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2024-06-17</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w:t>
            </w:r>
          </w:p>
        </w:tc>
      </w:tr>
      <w:tr>
        <w:trPr>
          <w:trHeight w:val="209"/>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2024-06-17</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w:t>
            </w:r>
          </w:p>
        </w:tc>
      </w:tr>
      <w:tr>
        <w:trPr>
          <w:trHeight w:val="209"/>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2024-06-17</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w:t>
            </w:r>
          </w:p>
        </w:tc>
      </w:tr>
      <w:tr>
        <w:trPr>
          <w:trHeight w:val="210"/>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2024-06-17</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w:t>
            </w:r>
          </w:p>
        </w:tc>
      </w:tr>
      <w:tr>
        <w:trPr>
          <w:trHeight w:val="209"/>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2024-06-17</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w:t>
            </w:r>
          </w:p>
        </w:tc>
      </w:tr>
      <w:tr>
        <w:trPr>
          <w:trHeight w:val="210"/>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2024-06-17</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w:t>
            </w:r>
          </w:p>
        </w:tc>
      </w:tr>
      <w:tr>
        <w:trPr>
          <w:trHeight w:val="210"/>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2024-06-17</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6,091</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w:t>
            </w:r>
          </w:p>
        </w:tc>
      </w:tr>
      <w:tr>
        <w:trPr>
          <w:trHeight w:val="209"/>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2024-06-17</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w:t>
            </w:r>
          </w:p>
        </w:tc>
      </w:tr>
      <w:tr>
        <w:trPr>
          <w:trHeight w:val="210"/>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2024-06-17</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w:t>
            </w:r>
          </w:p>
        </w:tc>
      </w:tr>
      <w:tr>
        <w:trPr>
          <w:trHeight w:val="210"/>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2024-06-17</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w:t>
            </w:r>
          </w:p>
        </w:tc>
      </w:tr>
      <w:tr>
        <w:trPr>
          <w:trHeight w:val="210"/>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2024-06-17</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w:t>
            </w:r>
          </w:p>
        </w:tc>
      </w:tr>
      <w:tr>
        <w:trPr>
          <w:trHeight w:val="209"/>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2024-06-14</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47,934</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w:t>
            </w:r>
          </w:p>
        </w:tc>
      </w:tr>
      <w:tr>
        <w:trPr>
          <w:trHeight w:val="210"/>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2024-06-13</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w:t>
            </w:r>
          </w:p>
        </w:tc>
      </w:tr>
      <w:tr>
        <w:trPr>
          <w:trHeight w:val="210"/>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2024-06-12</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w:t>
            </w:r>
          </w:p>
        </w:tc>
      </w:tr>
      <w:tr>
        <w:trPr>
          <w:trHeight w:val="210"/>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2024-06-11</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w:t>
            </w:r>
          </w:p>
        </w:tc>
      </w:tr>
      <w:tr>
        <w:trPr>
          <w:trHeight w:val="209"/>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2024-06-11</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w:t>
            </w:r>
          </w:p>
        </w:tc>
      </w:tr>
      <w:tr>
        <w:trPr>
          <w:trHeight w:val="210"/>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2024-05-28</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w:t>
            </w:r>
          </w:p>
        </w:tc>
      </w:tr>
      <w:tr>
        <w:trPr>
          <w:trHeight w:val="210"/>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2024-05-28</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w:t>
            </w:r>
          </w:p>
        </w:tc>
      </w:tr>
      <w:tr>
        <w:trPr>
          <w:trHeight w:val="426"/>
        </w:trPr>
        <w:tc>
          <w:tcPr>
            <w:tcW w:w="19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1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6</w:t>
            </w:r>
          </w:p>
        </w:tc>
        <w:tc>
          <w:tcPr>
            <w:tcW w:w="3080" w:type="dxa"/>
            <w:vAlign w:val="bottom"/>
          </w:tcPr>
          <w:p>
            <w:pPr>
              <w:spacing w:after="0"/>
              <w:rPr>
                <w:sz w:val="24"/>
                <w:szCs w:val="24"/>
                <w:color w:val="auto"/>
              </w:rPr>
            </w:pPr>
          </w:p>
        </w:tc>
      </w:tr>
      <w:tr>
        <w:trPr>
          <w:trHeight w:val="115"/>
        </w:trPr>
        <w:tc>
          <w:tcPr>
            <w:tcW w:w="1980" w:type="dxa"/>
            <w:vAlign w:val="bottom"/>
            <w:tcBorders>
              <w:bottom w:val="single" w:sz="8" w:color="auto"/>
            </w:tcBorders>
          </w:tcPr>
          <w:p>
            <w:pPr>
              <w:spacing w:after="0"/>
              <w:rPr>
                <w:sz w:val="10"/>
                <w:szCs w:val="10"/>
                <w:color w:val="auto"/>
              </w:rPr>
            </w:pPr>
          </w:p>
        </w:tc>
        <w:tc>
          <w:tcPr>
            <w:tcW w:w="308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tcPr>
          <w:p>
            <w:pPr>
              <w:spacing w:after="0"/>
              <w:rPr>
                <w:sz w:val="10"/>
                <w:szCs w:val="10"/>
                <w:color w:val="auto"/>
              </w:rPr>
            </w:pPr>
          </w:p>
        </w:tc>
        <w:tc>
          <w:tcPr>
            <w:tcW w:w="30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5" w:right="339" w:bottom="1440" w:gutter="0" w:footer="0" w:header="0"/>
        </w:sectPr>
      </w:pPr>
    </w:p>
    <w:bookmarkStart w:id="6" w:name="page7"/>
    <w:bookmarkEnd w:id="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1980" w:type="dxa"/>
            <w:vAlign w:val="bottom"/>
            <w:tcBorders>
              <w:top w:val="single" w:sz="8" w:color="auto"/>
              <w:left w:val="single" w:sz="8" w:color="auto"/>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2024-05-28</w:t>
            </w:r>
          </w:p>
        </w:tc>
        <w:tc>
          <w:tcPr>
            <w:tcW w:w="308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3100" w:type="dxa"/>
            <w:vAlign w:val="bottom"/>
            <w:tcBorders>
              <w:top w:val="single" w:sz="8" w:color="auto"/>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w:t>
            </w:r>
          </w:p>
        </w:tc>
      </w:tr>
      <w:tr>
        <w:trPr>
          <w:trHeight w:val="193"/>
        </w:trPr>
        <w:tc>
          <w:tcPr>
            <w:tcW w:w="1980" w:type="dxa"/>
            <w:vAlign w:val="bottom"/>
            <w:tcBorders>
              <w:bottom w:val="single" w:sz="8" w:color="auto"/>
              <w:right w:val="single" w:sz="8" w:color="auto"/>
            </w:tcBorders>
          </w:tcPr>
          <w:p>
            <w:pPr>
              <w:jc w:val="right"/>
              <w:ind w:right="390"/>
              <w:spacing w:after="0" w:line="193" w:lineRule="exact"/>
              <w:rPr>
                <w:sz w:val="20"/>
                <w:szCs w:val="20"/>
                <w:color w:val="auto"/>
              </w:rPr>
            </w:pPr>
            <w:r>
              <w:rPr>
                <w:rFonts w:ascii="Times New Roman" w:cs="Times New Roman" w:eastAsia="Times New Roman" w:hAnsi="Times New Roman"/>
                <w:sz w:val="18"/>
                <w:szCs w:val="18"/>
                <w:color w:val="auto"/>
              </w:rPr>
              <w:t>2024-05-28</w:t>
            </w:r>
          </w:p>
        </w:tc>
        <w:tc>
          <w:tcPr>
            <w:tcW w:w="3080" w:type="dxa"/>
            <w:vAlign w:val="bottom"/>
            <w:tcBorders>
              <w:bottom w:val="single" w:sz="8" w:color="auto"/>
              <w:right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1,346</w:t>
            </w:r>
          </w:p>
        </w:tc>
        <w:tc>
          <w:tcPr>
            <w:tcW w:w="3100" w:type="dxa"/>
            <w:vAlign w:val="bottom"/>
            <w:tcBorders>
              <w:bottom w:val="single" w:sz="8" w:color="auto"/>
              <w:right w:val="single" w:sz="8" w:color="auto"/>
            </w:tcBorders>
          </w:tcPr>
          <w:p>
            <w:pPr>
              <w:ind w:left="1060"/>
              <w:spacing w:after="0" w:line="193" w:lineRule="exact"/>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$14.15</w:t>
            </w:r>
          </w:p>
        </w:tc>
      </w:tr>
      <w:tr>
        <w:trPr>
          <w:trHeight w:val="209"/>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2024-05-28</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10,741</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w:t>
            </w:r>
          </w:p>
        </w:tc>
      </w:tr>
      <w:tr>
        <w:trPr>
          <w:trHeight w:val="210"/>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2024-05-28</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$14.49</w:t>
            </w:r>
          </w:p>
        </w:tc>
      </w:tr>
      <w:tr>
        <w:trPr>
          <w:trHeight w:val="209"/>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2024-05-28</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w:t>
            </w:r>
          </w:p>
        </w:tc>
      </w:tr>
      <w:tr>
        <w:trPr>
          <w:trHeight w:val="210"/>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2024-05-28</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w:t>
            </w:r>
          </w:p>
        </w:tc>
      </w:tr>
      <w:tr>
        <w:trPr>
          <w:trHeight w:val="209"/>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2024-05-28</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$14.18</w:t>
            </w:r>
          </w:p>
        </w:tc>
      </w:tr>
      <w:tr>
        <w:trPr>
          <w:trHeight w:val="209"/>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2024-05-28</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w:t>
            </w:r>
          </w:p>
        </w:tc>
      </w:tr>
      <w:tr>
        <w:trPr>
          <w:trHeight w:val="210"/>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2024-05-28</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w:t>
            </w:r>
          </w:p>
        </w:tc>
      </w:tr>
      <w:tr>
        <w:trPr>
          <w:trHeight w:val="209"/>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2024-05-28</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23,600</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w:t>
            </w:r>
          </w:p>
        </w:tc>
      </w:tr>
      <w:tr>
        <w:trPr>
          <w:trHeight w:val="209"/>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2024-05-28</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w:t>
            </w:r>
          </w:p>
        </w:tc>
      </w:tr>
      <w:tr>
        <w:trPr>
          <w:trHeight w:val="210"/>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2024-05-28</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w:t>
            </w:r>
          </w:p>
        </w:tc>
      </w:tr>
      <w:tr>
        <w:trPr>
          <w:trHeight w:val="209"/>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2024-05-28</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w:t>
            </w:r>
          </w:p>
        </w:tc>
      </w:tr>
      <w:tr>
        <w:trPr>
          <w:trHeight w:val="210"/>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2024-05-28</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w:t>
            </w:r>
          </w:p>
        </w:tc>
      </w:tr>
      <w:tr>
        <w:trPr>
          <w:trHeight w:val="209"/>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2024-05-28</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w:t>
            </w:r>
          </w:p>
        </w:tc>
      </w:tr>
      <w:tr>
        <w:trPr>
          <w:trHeight w:val="209"/>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2024-05-28</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w:t>
            </w:r>
          </w:p>
        </w:tc>
      </w:tr>
      <w:tr>
        <w:trPr>
          <w:trHeight w:val="210"/>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2024-05-28</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w:t>
            </w:r>
          </w:p>
        </w:tc>
      </w:tr>
      <w:tr>
        <w:trPr>
          <w:trHeight w:val="209"/>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2024-05-28</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w:t>
            </w:r>
          </w:p>
        </w:tc>
      </w:tr>
      <w:tr>
        <w:trPr>
          <w:trHeight w:val="209"/>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2024-05-28</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w:t>
            </w:r>
          </w:p>
        </w:tc>
      </w:tr>
      <w:tr>
        <w:trPr>
          <w:trHeight w:val="210"/>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2024-05-28</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w:t>
            </w:r>
          </w:p>
        </w:tc>
      </w:tr>
      <w:tr>
        <w:trPr>
          <w:trHeight w:val="209"/>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2024-05-24</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w:t>
            </w:r>
          </w:p>
        </w:tc>
      </w:tr>
      <w:tr>
        <w:trPr>
          <w:trHeight w:val="210"/>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2024-05-24</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w:t>
            </w:r>
          </w:p>
        </w:tc>
      </w:tr>
      <w:tr>
        <w:trPr>
          <w:trHeight w:val="209"/>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2024-05-23</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w:t>
            </w:r>
          </w:p>
        </w:tc>
      </w:tr>
      <w:tr>
        <w:trPr>
          <w:trHeight w:val="209"/>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2024-05-23</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w:t>
            </w:r>
          </w:p>
        </w:tc>
      </w:tr>
      <w:tr>
        <w:trPr>
          <w:trHeight w:val="210"/>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2024-05-23</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w:t>
            </w:r>
          </w:p>
        </w:tc>
      </w:tr>
      <w:tr>
        <w:trPr>
          <w:trHeight w:val="209"/>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2024-05-23</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w:t>
            </w:r>
          </w:p>
        </w:tc>
      </w:tr>
      <w:tr>
        <w:trPr>
          <w:trHeight w:val="210"/>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2024-05-23</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w:t>
            </w:r>
          </w:p>
        </w:tc>
      </w:tr>
      <w:tr>
        <w:trPr>
          <w:trHeight w:val="210"/>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2024-05-23</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w:t>
            </w:r>
          </w:p>
        </w:tc>
      </w:tr>
      <w:tr>
        <w:trPr>
          <w:trHeight w:val="209"/>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2024-05-23</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w:t>
            </w:r>
          </w:p>
        </w:tc>
      </w:tr>
      <w:tr>
        <w:trPr>
          <w:trHeight w:val="210"/>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2024-05-23</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w:t>
            </w:r>
          </w:p>
        </w:tc>
      </w:tr>
      <w:tr>
        <w:trPr>
          <w:trHeight w:val="210"/>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2024-05-23</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w:t>
            </w:r>
          </w:p>
        </w:tc>
      </w:tr>
      <w:tr>
        <w:trPr>
          <w:trHeight w:val="210"/>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2024-05-23</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w:t>
            </w:r>
          </w:p>
        </w:tc>
      </w:tr>
      <w:tr>
        <w:trPr>
          <w:trHeight w:val="209"/>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2024-05-22</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w:t>
            </w:r>
          </w:p>
        </w:tc>
      </w:tr>
      <w:tr>
        <w:trPr>
          <w:trHeight w:val="210"/>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2024-05-22</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w:t>
            </w:r>
          </w:p>
        </w:tc>
      </w:tr>
      <w:tr>
        <w:trPr>
          <w:trHeight w:val="210"/>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2024-05-21</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w:t>
            </w:r>
          </w:p>
        </w:tc>
      </w:tr>
      <w:tr>
        <w:trPr>
          <w:trHeight w:val="210"/>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2024-05-21</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w:t>
            </w:r>
          </w:p>
        </w:tc>
      </w:tr>
      <w:tr>
        <w:trPr>
          <w:trHeight w:val="210"/>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2024-05-21</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w:t>
            </w:r>
          </w:p>
        </w:tc>
      </w:tr>
      <w:tr>
        <w:trPr>
          <w:trHeight w:val="209"/>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2024-05-21</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w:t>
            </w:r>
          </w:p>
        </w:tc>
      </w:tr>
      <w:tr>
        <w:trPr>
          <w:trHeight w:val="210"/>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2024-05-21</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10,497</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w:t>
            </w:r>
          </w:p>
        </w:tc>
      </w:tr>
      <w:tr>
        <w:trPr>
          <w:trHeight w:val="426"/>
        </w:trPr>
        <w:tc>
          <w:tcPr>
            <w:tcW w:w="19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1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7</w:t>
            </w:r>
          </w:p>
        </w:tc>
        <w:tc>
          <w:tcPr>
            <w:tcW w:w="3080" w:type="dxa"/>
            <w:vAlign w:val="bottom"/>
          </w:tcPr>
          <w:p>
            <w:pPr>
              <w:spacing w:after="0"/>
              <w:rPr>
                <w:sz w:val="24"/>
                <w:szCs w:val="24"/>
                <w:color w:val="auto"/>
              </w:rPr>
            </w:pPr>
          </w:p>
        </w:tc>
      </w:tr>
      <w:tr>
        <w:trPr>
          <w:trHeight w:val="115"/>
        </w:trPr>
        <w:tc>
          <w:tcPr>
            <w:tcW w:w="1980" w:type="dxa"/>
            <w:vAlign w:val="bottom"/>
            <w:tcBorders>
              <w:bottom w:val="single" w:sz="8" w:color="auto"/>
            </w:tcBorders>
          </w:tcPr>
          <w:p>
            <w:pPr>
              <w:spacing w:after="0"/>
              <w:rPr>
                <w:sz w:val="10"/>
                <w:szCs w:val="10"/>
                <w:color w:val="auto"/>
              </w:rPr>
            </w:pPr>
          </w:p>
        </w:tc>
        <w:tc>
          <w:tcPr>
            <w:tcW w:w="308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tcPr>
          <w:p>
            <w:pPr>
              <w:spacing w:after="0"/>
              <w:rPr>
                <w:sz w:val="10"/>
                <w:szCs w:val="10"/>
                <w:color w:val="auto"/>
              </w:rPr>
            </w:pPr>
          </w:p>
        </w:tc>
        <w:tc>
          <w:tcPr>
            <w:tcW w:w="30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5" w:right="33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1980" w:type="dxa"/>
            <w:vAlign w:val="bottom"/>
            <w:tcBorders>
              <w:top w:val="single" w:sz="8" w:color="auto"/>
              <w:left w:val="single" w:sz="8" w:color="auto"/>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2024-05-21</w:t>
            </w:r>
          </w:p>
        </w:tc>
        <w:tc>
          <w:tcPr>
            <w:tcW w:w="308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100" w:type="dxa"/>
            <w:vAlign w:val="bottom"/>
            <w:tcBorders>
              <w:top w:val="single" w:sz="8" w:color="auto"/>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top w:val="single" w:sz="8" w:color="auto"/>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w:t>
            </w:r>
          </w:p>
        </w:tc>
      </w:tr>
      <w:tr>
        <w:trPr>
          <w:trHeight w:val="193"/>
        </w:trPr>
        <w:tc>
          <w:tcPr>
            <w:tcW w:w="1980" w:type="dxa"/>
            <w:vAlign w:val="bottom"/>
            <w:tcBorders>
              <w:bottom w:val="single" w:sz="8" w:color="auto"/>
              <w:right w:val="single" w:sz="8" w:color="auto"/>
            </w:tcBorders>
          </w:tcPr>
          <w:p>
            <w:pPr>
              <w:jc w:val="right"/>
              <w:ind w:right="390"/>
              <w:spacing w:after="0" w:line="193" w:lineRule="exact"/>
              <w:rPr>
                <w:sz w:val="20"/>
                <w:szCs w:val="20"/>
                <w:color w:val="auto"/>
              </w:rPr>
            </w:pPr>
            <w:r>
              <w:rPr>
                <w:rFonts w:ascii="Times New Roman" w:cs="Times New Roman" w:eastAsia="Times New Roman" w:hAnsi="Times New Roman"/>
                <w:sz w:val="18"/>
                <w:szCs w:val="18"/>
                <w:color w:val="auto"/>
              </w:rPr>
              <w:t>2024-05-21</w:t>
            </w:r>
          </w:p>
        </w:tc>
        <w:tc>
          <w:tcPr>
            <w:tcW w:w="3080" w:type="dxa"/>
            <w:vAlign w:val="bottom"/>
            <w:tcBorders>
              <w:bottom w:val="single" w:sz="8" w:color="auto"/>
              <w:right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100</w:t>
            </w:r>
          </w:p>
        </w:tc>
        <w:tc>
          <w:tcPr>
            <w:tcW w:w="3100" w:type="dxa"/>
            <w:vAlign w:val="bottom"/>
            <w:tcBorders>
              <w:bottom w:val="single" w:sz="8" w:color="auto"/>
              <w:right w:val="single" w:sz="8" w:color="auto"/>
            </w:tcBorders>
          </w:tcPr>
          <w:p>
            <w:pPr>
              <w:ind w:left="1060"/>
              <w:spacing w:after="0" w:line="193" w:lineRule="exact"/>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line="193" w:lineRule="exact"/>
              <w:rPr>
                <w:sz w:val="20"/>
                <w:szCs w:val="20"/>
                <w:color w:val="auto"/>
              </w:rPr>
            </w:pPr>
            <w:r>
              <w:rPr>
                <w:rFonts w:ascii="Times New Roman" w:cs="Times New Roman" w:eastAsia="Times New Roman" w:hAnsi="Times New Roman"/>
                <w:sz w:val="18"/>
                <w:szCs w:val="18"/>
                <w:color w:val="auto"/>
              </w:rPr>
              <w:t>$14.09</w:t>
            </w:r>
          </w:p>
        </w:tc>
      </w:tr>
      <w:tr>
        <w:trPr>
          <w:trHeight w:val="209"/>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2024-05-20</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w:t>
            </w:r>
          </w:p>
        </w:tc>
      </w:tr>
      <w:tr>
        <w:trPr>
          <w:trHeight w:val="210"/>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2024-05-20</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w:t>
            </w:r>
          </w:p>
        </w:tc>
      </w:tr>
      <w:tr>
        <w:trPr>
          <w:trHeight w:val="209"/>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2024-05-20</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9,525</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w:t>
            </w:r>
          </w:p>
        </w:tc>
      </w:tr>
      <w:tr>
        <w:trPr>
          <w:trHeight w:val="210"/>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2024-05-16</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14,503</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09"/>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2024-05-14</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w:t>
            </w:r>
          </w:p>
        </w:tc>
      </w:tr>
      <w:tr>
        <w:trPr>
          <w:trHeight w:val="209"/>
        </w:trPr>
        <w:tc>
          <w:tcPr>
            <w:tcW w:w="19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2024-05-08</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310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Common Stock</w:t>
            </w:r>
          </w:p>
        </w:tc>
        <w:tc>
          <w:tcPr>
            <w:tcW w:w="3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w:t>
            </w:r>
          </w:p>
        </w:tc>
      </w:tr>
    </w:tbl>
    <w:p>
      <w:pPr>
        <w:spacing w:after="0" w:line="198" w:lineRule="exact"/>
        <w:rPr>
          <w:sz w:val="20"/>
          <w:szCs w:val="20"/>
          <w:color w:val="auto"/>
        </w:rPr>
      </w:pPr>
    </w:p>
    <w:p>
      <w:pPr>
        <w:ind w:right="280" w:firstLine="656"/>
        <w:spacing w:after="0" w:line="282" w:lineRule="auto"/>
        <w:tabs>
          <w:tab w:leader="none" w:pos="94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person has the right to receive or the power to direct the receipt of dividends from, or the proceeds of sale of, any of the Common Stock beneficially owned by the Reporting Persons.</w:t>
      </w:r>
    </w:p>
    <w:p>
      <w:pPr>
        <w:spacing w:after="0" w:line="161"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filing includes the following exhibit:</w:t>
      </w:r>
    </w:p>
    <w:p>
      <w:pPr>
        <w:spacing w:after="0" w:line="22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0000EE"/>
        </w:rPr>
        <w:t>Joint Filing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8" w:name="page9"/>
    <w:bookmarkEnd w:id="8"/>
    <w:p>
      <w:pPr>
        <w:jc w:val="center"/>
        <w:ind w:right="-17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18, 2024</w:t>
      </w:r>
    </w:p>
    <w:p>
      <w:pPr>
        <w:spacing w:after="0" w:line="200" w:lineRule="exact"/>
        <w:rPr>
          <w:sz w:val="20"/>
          <w:szCs w:val="20"/>
          <w:color w:val="auto"/>
        </w:rPr>
      </w:pP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AUTO SERVICES COMPANY,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Bradley L. Hasselwander</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Bradley L. Hasselwander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CEO</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ASC HOLDING COMPANY,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Bradley L. Hasselwander</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Bradley L. Hasselwander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CEO</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Bradley L. Hasselwander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-7620</wp:posOffset>
            </wp:positionV>
            <wp:extent cx="15513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5130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Bradley L. Hasselwander</w:t>
      </w:r>
    </w:p>
    <w:p>
      <w:pPr>
        <w:spacing w:after="0" w:line="20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320" w:top="576" w:right="49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AS TO JOINT FILING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Rule 13d-1(k) under the Securities and Exchange Act of 1934, as amended, the undersigned hereby agree to the joint filing on behalf of each of them of a statement on Schedule 13D, and any amendments thereto, with respect to the Common Stock, par value $5.00 per share of Bassett Furniture Industries, Incorporated, and that this agreement be included as an exhibit to such filing and any amendment thereof.</w:t>
      </w:r>
    </w:p>
    <w:p>
      <w:pPr>
        <w:spacing w:after="0" w:line="17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each of which shall be deemed to be an original and all of which together shall be deemed to constitute one and the same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each of the undersigned hereby executes this agreement as of June 18, 2024.</w:t>
      </w:r>
    </w:p>
    <w:p>
      <w:pPr>
        <w:spacing w:after="0" w:line="200" w:lineRule="exact"/>
        <w:rPr>
          <w:sz w:val="20"/>
          <w:szCs w:val="20"/>
          <w:color w:val="auto"/>
        </w:rPr>
      </w:pP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AUTO SERVICES COMPANY,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Bradley L. Hasselwander</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Bradley L. Hasselwander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CEO</w:t>
            </w:r>
          </w:p>
        </w:tc>
      </w:tr>
    </w:tbl>
    <w:p>
      <w:pPr>
        <w:spacing w:after="0" w:line="200" w:lineRule="exact"/>
        <w:rPr>
          <w:sz w:val="20"/>
          <w:szCs w:val="20"/>
          <w:color w:val="auto"/>
        </w:rPr>
      </w:pPr>
    </w:p>
    <w:p>
      <w:pPr>
        <w:spacing w:after="0" w:line="21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ASC HOLDING COMPANY, INC.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Bradley L. Hasselwander</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Bradley L. Hasselwander</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CEO</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u w:val="single" w:color="auto"/>
          <w:color w:val="auto"/>
        </w:rPr>
        <w:t>/s/ Bradley L. Hasselwander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Bradley L. Hasselwander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2"/>
      <w:numFmt w:val="bullet"/>
      <w:start w:val="1"/>
    </w:lvl>
    <w:lvl w:ilvl="1">
      <w:lvlJc w:val="left"/>
      <w:lvlText w:val="(%2)"/>
      <w:numFmt w:val="lowerLetter"/>
      <w:start w:val="2"/>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2"/>
      <w:numFmt w:val="bullet"/>
      <w:start w:val="1"/>
    </w:lvl>
    <w:lvl w:ilvl="1">
      <w:lvlJc w:val="left"/>
      <w:lvlText w:val="(%2)"/>
      <w:numFmt w:val="lowerLetter"/>
      <w:start w:val="2"/>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2"/>
      <w:numFmt w:val="bullet"/>
      <w:start w:val="1"/>
    </w:lvl>
    <w:lvl w:ilvl="1">
      <w:lvlJc w:val="left"/>
      <w:lvlText w:val="(%2)"/>
      <w:numFmt w:val="lowerLetter"/>
      <w:start w:val="2"/>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2024-06-18T15:53:16Z</dcterms:created>
  <dcterms:modified xsi:type="dcterms:W3CDTF">2024-06-18T15:53:16Z</dcterms:modified>
</cp:coreProperties>
</file>