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bset20261007_8k.htm"/>
      <w:bookmarkStart w:id="1" w:name="ksbset20261007_8k"/>
      <w:bookmarkEnd w:id="0"/>
      <w:bookmarkEnd w:id="1"/>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4"/>
        </w:rPr>
      </w:pPr>
      <w:r>
        <w:rPr>
          <w:rFonts w:ascii="Times New Roman" w:hAnsi="Times New Roman"/>
          <w:b/>
          <w:caps w:val="false"/>
          <w:smallCaps w:val="false"/>
          <w:sz w:val="24"/>
        </w:rPr>
        <w:t>UNITED STATES</w:t>
      </w:r>
      <w:r>
        <w:rPr>
          <w:rFonts w:ascii="Times New Roman" w:hAnsi="Times New Roman"/>
          <w:caps w:val="false"/>
          <w:smallCaps w:val="false"/>
          <w:sz w:val="24"/>
        </w:rPr>
        <w:t xml:space="preserve"> </w:t>
      </w:r>
    </w:p>
    <w:p>
      <w:pPr>
        <w:pStyle w:val="TextBody"/>
        <w:bidi w:val="0"/>
        <w:spacing w:before="0" w:after="0"/>
        <w:ind w:left="160" w:right="0" w:hanging="0"/>
        <w:jc w:val="center"/>
        <w:rPr>
          <w:rFonts w:ascii="Times New Roman" w:hAnsi="Times New Roman"/>
          <w:caps w:val="false"/>
          <w:smallCaps w:val="false"/>
          <w:sz w:val="24"/>
        </w:rPr>
      </w:pPr>
      <w:r>
        <w:rPr>
          <w:rFonts w:ascii="Times New Roman" w:hAnsi="Times New Roman"/>
          <w:b/>
          <w:caps w:val="false"/>
          <w:smallCaps w:val="false"/>
          <w:sz w:val="24"/>
        </w:rPr>
        <w:t>SECURITIES AND EXCHANGE COMMISSION</w:t>
      </w:r>
      <w:r>
        <w:rPr>
          <w:rFonts w:ascii="Times New Roman" w:hAnsi="Times New Roman"/>
          <w:caps w:val="false"/>
          <w:smallCaps w:val="false"/>
          <w:sz w:val="24"/>
        </w:rPr>
        <w:t xml:space="preserve">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FORM 8-K</w:t>
      </w:r>
      <w:r>
        <w:rPr>
          <w:rFonts w:ascii="Times New Roman" w:hAnsi="Times New Roman"/>
          <w:caps w:val="false"/>
          <w:smallCaps w:val="false"/>
          <w:sz w:val="24"/>
        </w:rPr>
        <w: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 OF THE</w:t>
      </w:r>
      <w:r>
        <w:rPr>
          <w:rFonts w:ascii="Times New Roman" w:hAnsi="Times New Roman"/>
          <w:caps w:val="false"/>
          <w:smallCaps w:val="false"/>
          <w:sz w:val="20"/>
        </w:rPr>
        <w:t xml:space="preserve">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Date of Report (Date of earliest event reported) October 14,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160" w:right="0" w:hanging="0"/>
        <w:jc w:val="center"/>
        <w:rPr>
          <w:rFonts w:ascii="Times New Roman" w:hAnsi="Times New Roman"/>
          <w:caps w:val="false"/>
          <w:smallCaps w:val="false"/>
          <w:sz w:val="24"/>
        </w:rPr>
      </w:pPr>
      <w:r>
        <w:rPr>
          <w:rFonts w:ascii="Times New Roman" w:hAnsi="Times New Roman"/>
          <w:b/>
          <w:caps w:val="false"/>
          <w:smallCaps w:val="false"/>
          <w:sz w:val="24"/>
        </w:rPr>
        <w:t>BASSETT FURNITURE INDUSTRIES, INCORPORATED</w:t>
      </w:r>
      <w:r>
        <w:rPr>
          <w:rFonts w:ascii="Times New Roman" w:hAnsi="Times New Roman"/>
          <w:caps w:val="false"/>
          <w:smallCaps w:val="false"/>
          <w:sz w:val="24"/>
        </w:rPr>
        <w:t xml:space="preserve">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(Exact name of registrant as specified in its charter)</w:t>
      </w:r>
      <w:r>
        <w:rPr>
          <w:rFonts w:ascii="Times New Roman" w:hAnsi="Times New Roman"/>
          <w:caps w:val="false"/>
          <w:smallCaps w:val="false"/>
          <w:sz w:val="20"/>
        </w:rPr>
        <w:t xml:space="preserve"> </w:t>
      </w:r>
    </w:p>
    <w:p>
      <w:pPr>
        <w:pStyle w:val="TextBody"/>
        <w:bidi w:val="0"/>
        <w:spacing w:before="0" w:after="0"/>
        <w:ind w:left="16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6210" w:type="dxa"/>
        <w:jc w:val="left"/>
        <w:tblInd w:w="0" w:type="dxa"/>
        <w:tblLayout w:type="fixed"/>
        <w:tblCellMar>
          <w:top w:w="0" w:type="dxa"/>
          <w:left w:w="0" w:type="dxa"/>
          <w:bottom w:w="0" w:type="dxa"/>
          <w:right w:w="0" w:type="dxa"/>
        </w:tblCellMar>
      </w:tblPr>
      <w:tblGrid>
        <w:gridCol w:w="2645"/>
        <w:gridCol w:w="60"/>
        <w:gridCol w:w="1895"/>
        <w:gridCol w:w="60"/>
        <w:gridCol w:w="1550"/>
      </w:tblGrid>
      <w:tr>
        <w:trPr/>
        <w:tc>
          <w:tcPr>
            <w:tcW w:w="26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Virginia</w:t>
            </w:r>
          </w:p>
        </w:tc>
        <w:tc>
          <w:tcPr>
            <w:tcW w:w="60" w:type="dxa"/>
            <w:tcBorders/>
            <w:vAlign w:val="center"/>
          </w:tcPr>
          <w:p>
            <w:pPr>
              <w:pStyle w:val="TableContents"/>
              <w:bidi w:val="0"/>
              <w:spacing w:before="0" w:after="0"/>
              <w:ind w:left="0" w:right="0" w:hanging="0"/>
              <w:jc w:val="left"/>
              <w:rPr/>
            </w:pPr>
            <w:r>
              <w:rPr/>
              <w:t> </w:t>
            </w:r>
          </w:p>
        </w:tc>
        <w:tc>
          <w:tcPr>
            <w:tcW w:w="18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000-00209</w:t>
            </w:r>
          </w:p>
        </w:tc>
        <w:tc>
          <w:tcPr>
            <w:tcW w:w="60" w:type="dxa"/>
            <w:tcBorders/>
            <w:vAlign w:val="center"/>
          </w:tcPr>
          <w:p>
            <w:pPr>
              <w:pStyle w:val="TableContents"/>
              <w:bidi w:val="0"/>
              <w:spacing w:before="0" w:after="0"/>
              <w:ind w:left="0" w:right="0" w:hanging="0"/>
              <w:jc w:val="left"/>
              <w:rPr/>
            </w:pPr>
            <w:r>
              <w:rPr/>
              <w:t> </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54-0135270</w:t>
            </w:r>
          </w:p>
        </w:tc>
      </w:tr>
      <w:tr>
        <w:trPr/>
        <w:tc>
          <w:tcPr>
            <w:tcW w:w="26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 or other jurisdiction of</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incorporation or organization)</w:t>
            </w:r>
          </w:p>
        </w:tc>
        <w:tc>
          <w:tcPr>
            <w:tcW w:w="60" w:type="dxa"/>
            <w:tcBorders/>
            <w:vAlign w:val="center"/>
          </w:tcPr>
          <w:p>
            <w:pPr>
              <w:pStyle w:val="TableContents"/>
              <w:bidi w:val="0"/>
              <w:spacing w:before="0" w:after="0"/>
              <w:ind w:left="0" w:right="0" w:hanging="0"/>
              <w:jc w:val="left"/>
              <w:rPr/>
            </w:pPr>
            <w:r>
              <w:rPr/>
              <w:t> </w:t>
            </w:r>
          </w:p>
        </w:tc>
        <w:tc>
          <w:tcPr>
            <w:tcW w:w="18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No.)</w:t>
            </w:r>
          </w:p>
        </w:tc>
        <w:tc>
          <w:tcPr>
            <w:tcW w:w="60" w:type="dxa"/>
            <w:tcBorders/>
            <w:vAlign w:val="center"/>
          </w:tcPr>
          <w:p>
            <w:pPr>
              <w:pStyle w:val="TableContents"/>
              <w:bidi w:val="0"/>
              <w:spacing w:before="0" w:after="0"/>
              <w:ind w:left="0" w:right="0" w:hanging="0"/>
              <w:jc w:val="left"/>
              <w:rPr/>
            </w:pPr>
            <w:r>
              <w:rPr/>
              <w:t> </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(I.R.S. Employer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3275"/>
        <w:gridCol w:w="60"/>
        <w:gridCol w:w="920"/>
      </w:tblGrid>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3525 Fairystone Park Highway</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Bassett, Virginia</w:t>
            </w:r>
          </w:p>
        </w:tc>
        <w:tc>
          <w:tcPr>
            <w:tcW w:w="60"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24055</w:t>
            </w:r>
          </w:p>
        </w:tc>
      </w:tr>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w:t>
            </w:r>
          </w:p>
        </w:tc>
        <w:tc>
          <w:tcPr>
            <w:tcW w:w="60"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 (276) 629-6000</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(Former name or former address, if changed since last report)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230"/>
        <w:gridCol w:w="728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30"/>
        <w:gridCol w:w="731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230"/>
        <w:gridCol w:w="899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320" w:type="dxa"/>
        <w:jc w:val="left"/>
        <w:tblInd w:w="0" w:type="dxa"/>
        <w:tblLayout w:type="fixed"/>
        <w:tblCellMar>
          <w:top w:w="0" w:type="dxa"/>
          <w:left w:w="0" w:type="dxa"/>
          <w:bottom w:w="28" w:type="dxa"/>
          <w:right w:w="0" w:type="dxa"/>
        </w:tblCellMar>
      </w:tblPr>
      <w:tblGrid>
        <w:gridCol w:w="2705"/>
        <w:gridCol w:w="60"/>
        <w:gridCol w:w="1340"/>
        <w:gridCol w:w="60"/>
        <w:gridCol w:w="3155"/>
      </w:tblGrid>
      <w:tr>
        <w:trPr/>
        <w:tc>
          <w:tcPr>
            <w:tcW w:w="270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34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15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exchange on which registered</w:t>
            </w:r>
          </w:p>
        </w:tc>
      </w:tr>
      <w:tr>
        <w:trPr/>
        <w:tc>
          <w:tcPr>
            <w:tcW w:w="270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($5.00 par value)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34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BSET</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15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or Rule 12b-2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2237" w:type="dxa"/>
        <w:jc w:val="left"/>
        <w:tblInd w:w="0" w:type="dxa"/>
        <w:tblLayout w:type="fixed"/>
        <w:tblCellMar>
          <w:top w:w="28" w:type="dxa"/>
          <w:left w:w="28" w:type="dxa"/>
          <w:bottom w:w="28" w:type="dxa"/>
          <w:right w:w="28" w:type="dxa"/>
        </w:tblCellMar>
      </w:tblPr>
      <w:tblGrid>
        <w:gridCol w:w="916"/>
        <w:gridCol w:w="1321"/>
      </w:tblGrid>
      <w:tr>
        <w:trPr/>
        <w:tc>
          <w:tcPr>
            <w:tcW w:w="9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b/>
                <w:sz w:val="20"/>
              </w:rPr>
              <w:t>Item</w:t>
            </w:r>
            <w:r>
              <w:rPr>
                <w:rFonts w:ascii="Times New Roman" w:hAnsi="Times New Roman"/>
                <w:sz w:val="20"/>
              </w:rPr>
              <w:t> </w:t>
            </w:r>
            <w:r>
              <w:rPr>
                <w:rFonts w:ascii="Times New Roman" w:hAnsi="Times New Roman"/>
                <w:b/>
                <w:sz w:val="20"/>
              </w:rPr>
              <w:t>8.01</w:t>
            </w:r>
          </w:p>
        </w:tc>
        <w:tc>
          <w:tcPr>
            <w:tcW w:w="1321"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b/>
                <w:caps w:val="false"/>
                <w:smallCaps w:val="false"/>
                <w:sz w:val="20"/>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October 14, 2026, Bassett Furniture Industries issued a news release relating to the declaration of a quarterly dividend of $0.20 per share of common stock payable on November 27, 2026, to shareholders of record at the close of business on November 13, 2026. A copy of the news release is attached to the report as Exhibit 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097" w:type="dxa"/>
        <w:jc w:val="left"/>
        <w:tblInd w:w="0" w:type="dxa"/>
        <w:tblLayout w:type="fixed"/>
        <w:tblCellMar>
          <w:top w:w="28" w:type="dxa"/>
          <w:left w:w="28" w:type="dxa"/>
          <w:bottom w:w="28" w:type="dxa"/>
          <w:right w:w="28" w:type="dxa"/>
        </w:tblCellMar>
      </w:tblPr>
      <w:tblGrid>
        <w:gridCol w:w="961"/>
        <w:gridCol w:w="3136"/>
      </w:tblGrid>
      <w:tr>
        <w:trPr/>
        <w:tc>
          <w:tcPr>
            <w:tcW w:w="96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Item 9.01.</w:t>
            </w:r>
          </w:p>
        </w:tc>
        <w:tc>
          <w:tcPr>
            <w:tcW w:w="3136"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b/>
                <w:caps w:val="false"/>
                <w:smallCaps w:val="false"/>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6737" w:type="dxa"/>
        <w:jc w:val="left"/>
        <w:tblInd w:w="0" w:type="dxa"/>
        <w:tblLayout w:type="fixed"/>
        <w:tblCellMar>
          <w:top w:w="28" w:type="dxa"/>
          <w:left w:w="28" w:type="dxa"/>
          <w:bottom w:w="28" w:type="dxa"/>
          <w:right w:w="28" w:type="dxa"/>
        </w:tblCellMar>
      </w:tblPr>
      <w:tblGrid>
        <w:gridCol w:w="331"/>
        <w:gridCol w:w="6406"/>
      </w:tblGrid>
      <w:tr>
        <w:trPr/>
        <w:tc>
          <w:tcPr>
            <w:tcW w:w="33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99</w:t>
            </w:r>
          </w:p>
        </w:tc>
        <w:tc>
          <w:tcPr>
            <w:tcW w:w="6406" w:type="dxa"/>
            <w:tcBorders/>
            <w:vAlign w:val="center"/>
          </w:tcPr>
          <w:p>
            <w:pPr>
              <w:pStyle w:val="TableContents"/>
              <w:bidi w:val="0"/>
              <w:spacing w:before="0" w:after="0"/>
              <w:ind w:left="0" w:right="0" w:hanging="0"/>
              <w:jc w:val="left"/>
              <w:rPr/>
            </w:pPr>
            <w:hyperlink w:anchor="ex_1023699.htm">
              <w:r>
                <w:rPr>
                  <w:rStyle w:val="InternetLink"/>
                  <w:rFonts w:ascii="Times New Roman" w:hAnsi="Times New Roman"/>
                  <w:caps w:val="false"/>
                  <w:smallCaps w:val="false"/>
                  <w:sz w:val="20"/>
                </w:rPr>
                <w:t>News release issued by Bassett Furniture Industries, Inc. on October 14, 2026.</w:t>
              </w:r>
            </w:hyperlink>
          </w:p>
        </w:tc>
      </w:tr>
    </w:tbl>
    <w:p>
      <w:pPr>
        <w:pStyle w:val="TextBody"/>
        <w:bidi w:val="0"/>
        <w:spacing w:before="0" w:after="0"/>
        <w:ind w:left="0" w:right="0" w:hanging="0"/>
        <w:jc w:val="left"/>
        <w:rPr>
          <w:caps w:val="false"/>
          <w:smallCaps w:val="false"/>
        </w:rPr>
      </w:pPr>
      <w:r>
        <w:rPr>
          <w:caps w:val="false"/>
          <w:smallCaps w:val="false"/>
        </w:rPr>
        <w:t> </w:t>
      </w:r>
    </w:p>
    <w:tbl>
      <w:tblPr>
        <w:tblW w:w="7037" w:type="dxa"/>
        <w:jc w:val="left"/>
        <w:tblInd w:w="0" w:type="dxa"/>
        <w:tblLayout w:type="fixed"/>
        <w:tblCellMar>
          <w:top w:w="28" w:type="dxa"/>
          <w:left w:w="28" w:type="dxa"/>
          <w:bottom w:w="28" w:type="dxa"/>
          <w:right w:w="28" w:type="dxa"/>
        </w:tblCellMar>
      </w:tblPr>
      <w:tblGrid>
        <w:gridCol w:w="436"/>
        <w:gridCol w:w="6601"/>
      </w:tblGrid>
      <w:tr>
        <w:trPr/>
        <w:tc>
          <w:tcPr>
            <w:tcW w:w="43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104</w:t>
            </w:r>
          </w:p>
        </w:tc>
        <w:tc>
          <w:tcPr>
            <w:tcW w:w="660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 w:name="signature-table"/>
      <w:bookmarkStart w:id="3" w:name="signature-table"/>
      <w:bookmarkEnd w:id="3"/>
    </w:p>
    <w:tbl>
      <w:tblPr>
        <w:tblW w:w="7275" w:type="dxa"/>
        <w:jc w:val="left"/>
        <w:tblInd w:w="0" w:type="dxa"/>
        <w:tblLayout w:type="fixed"/>
        <w:tblCellMar>
          <w:top w:w="0" w:type="dxa"/>
          <w:left w:w="0" w:type="dxa"/>
          <w:bottom w:w="0" w:type="dxa"/>
          <w:right w:w="0" w:type="dxa"/>
        </w:tblCellMar>
      </w:tblPr>
      <w:tblGrid>
        <w:gridCol w:w="1430"/>
        <w:gridCol w:w="515"/>
        <w:gridCol w:w="5270"/>
        <w:gridCol w:w="60"/>
      </w:tblGrid>
      <w:tr>
        <w:trPr/>
        <w:tc>
          <w:tcPr>
            <w:tcW w:w="143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October 14, 2026</w:t>
            </w:r>
          </w:p>
        </w:tc>
        <w:tc>
          <w:tcPr>
            <w:tcW w:w="515"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5270"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J. Michael Daniel</w:t>
            </w:r>
          </w:p>
        </w:tc>
        <w:tc>
          <w:tcPr>
            <w:tcW w:w="6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r>
        <w:trPr/>
        <w:tc>
          <w:tcPr>
            <w:tcW w:w="1430" w:type="dxa"/>
            <w:tcBorders/>
            <w:vAlign w:val="center"/>
          </w:tcPr>
          <w:p>
            <w:pPr>
              <w:pStyle w:val="TableContents"/>
              <w:bidi w:val="0"/>
              <w:spacing w:before="0" w:after="0"/>
              <w:ind w:left="0" w:right="0" w:hanging="0"/>
              <w:jc w:val="left"/>
              <w:rPr/>
            </w:pPr>
            <w:r>
              <w:rPr/>
              <w:t> </w:t>
            </w:r>
          </w:p>
        </w:tc>
        <w:tc>
          <w:tcPr>
            <w:tcW w:w="5785" w:type="dxa"/>
            <w:gridSpan w:val="2"/>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J. Michael Daniel</w:t>
            </w:r>
          </w:p>
        </w:tc>
        <w:tc>
          <w:tcPr>
            <w:tcW w:w="60" w:type="dxa"/>
            <w:tcBorders/>
            <w:vAlign w:val="center"/>
          </w:tcPr>
          <w:p>
            <w:pPr>
              <w:pStyle w:val="TableContents"/>
              <w:bidi w:val="0"/>
              <w:spacing w:before="0" w:after="0"/>
              <w:ind w:left="0" w:right="0" w:hanging="0"/>
              <w:jc w:val="left"/>
              <w:rPr/>
            </w:pPr>
            <w:r>
              <w:rPr/>
              <w:t> </w:t>
            </w:r>
          </w:p>
        </w:tc>
      </w:tr>
      <w:tr>
        <w:trPr/>
        <w:tc>
          <w:tcPr>
            <w:tcW w:w="1430"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 </w:t>
            </w:r>
          </w:p>
        </w:tc>
        <w:tc>
          <w:tcPr>
            <w:tcW w:w="527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Senior Vice President – Chief Financial &amp; Administrative Officer</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 w:hAnsi="Times New Roman"/>
          <w:caps w:val="false"/>
          <w:smallCaps w:val="false"/>
          <w:sz w:val="20"/>
        </w:rPr>
      </w:pPr>
      <w:bookmarkStart w:id="4" w:name="ex_1023699.htm"/>
      <w:bookmarkStart w:id="5" w:name="ksex_1023699"/>
      <w:bookmarkEnd w:id="4"/>
      <w:bookmarkEnd w:id="5"/>
      <w:r>
        <w:rPr>
          <w:rFonts w:ascii="Times New Roman" w:hAnsi="Times New Roman"/>
          <w:caps w:val="false"/>
          <w:smallCaps w:val="false"/>
          <w:sz w:val="20"/>
        </w:rPr>
        <w:t>Exhibit 99</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323975" cy="485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23975" cy="485775"/>
                    </a:xfrm>
                    <a:prstGeom prst="rect">
                      <a:avLst/>
                    </a:prstGeom>
                  </pic:spPr>
                </pic:pic>
              </a:graphicData>
            </a:graphic>
          </wp:inline>
        </w:drawing>
      </w:r>
      <w:r>
        <w:rPr>
          <w:caps w:val="false"/>
          <w:smallCaps w:val="false"/>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972" w:type="dxa"/>
        <w:jc w:val="left"/>
        <w:tblInd w:w="0" w:type="dxa"/>
        <w:tblLayout w:type="fixed"/>
        <w:tblCellMar>
          <w:top w:w="28" w:type="dxa"/>
          <w:left w:w="28" w:type="dxa"/>
          <w:bottom w:w="28" w:type="dxa"/>
          <w:right w:w="28" w:type="dxa"/>
        </w:tblCellMar>
      </w:tblPr>
      <w:tblGrid>
        <w:gridCol w:w="2731"/>
        <w:gridCol w:w="3241"/>
      </w:tblGrid>
      <w:tr>
        <w:trPr/>
        <w:tc>
          <w:tcPr>
            <w:tcW w:w="273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Bassett Furniture Industries, Inc.</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P.O. Box 626</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Bassett, VA 24055</w:t>
            </w:r>
          </w:p>
        </w:tc>
        <w:tc>
          <w:tcPr>
            <w:tcW w:w="324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J. Michael Daniel, Senior Vice</w:t>
            </w:r>
          </w:p>
          <w:p>
            <w:pPr>
              <w:pStyle w:val="TableContents"/>
              <w:bidi w:val="0"/>
              <w:spacing w:before="0" w:after="0"/>
              <w:ind w:left="0" w:right="0" w:hanging="0"/>
              <w:jc w:val="left"/>
              <w:rPr>
                <w:rFonts w:ascii="Times New Roman" w:hAnsi="Times New Roman"/>
                <w:b/>
                <w:sz w:val="20"/>
              </w:rPr>
            </w:pPr>
            <w:r>
              <w:rPr>
                <w:rFonts w:ascii="Times New Roman" w:hAnsi="Times New Roman"/>
                <w:b/>
                <w:sz w:val="20"/>
              </w:rPr>
              <w:t>President - Chief Financial</w:t>
            </w:r>
          </w:p>
          <w:p>
            <w:pPr>
              <w:pStyle w:val="TableContents"/>
              <w:bidi w:val="0"/>
              <w:spacing w:before="0" w:after="0"/>
              <w:ind w:left="0" w:right="0" w:hanging="0"/>
              <w:jc w:val="left"/>
              <w:rPr>
                <w:rFonts w:ascii="Times New Roman" w:hAnsi="Times New Roman"/>
                <w:b/>
                <w:sz w:val="20"/>
              </w:rPr>
            </w:pPr>
            <w:r>
              <w:rPr>
                <w:rFonts w:ascii="Times New Roman" w:hAnsi="Times New Roman"/>
                <w:b/>
                <w:sz w:val="20"/>
              </w:rPr>
              <w:t>&amp; Administrative Officer</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(276) 629-6614 - Investors</w:t>
            </w:r>
          </w:p>
        </w:tc>
      </w:tr>
      <w:tr>
        <w:trPr/>
        <w:tc>
          <w:tcPr>
            <w:tcW w:w="2731" w:type="dxa"/>
            <w:tcBorders/>
            <w:vAlign w:val="center"/>
          </w:tcPr>
          <w:p>
            <w:pPr>
              <w:pStyle w:val="TableContents"/>
              <w:bidi w:val="0"/>
              <w:spacing w:before="0" w:after="0"/>
              <w:ind w:left="0" w:right="0" w:hanging="0"/>
              <w:jc w:val="left"/>
              <w:rPr/>
            </w:pPr>
            <w:r>
              <w:rPr/>
              <w:t> </w:t>
            </w:r>
          </w:p>
        </w:tc>
        <w:tc>
          <w:tcPr>
            <w:tcW w:w="3241" w:type="dxa"/>
            <w:tcBorders/>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For Immediate Release</w:t>
            </w:r>
          </w:p>
        </w:tc>
        <w:tc>
          <w:tcPr>
            <w:tcW w:w="324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Peter D. Morrison, Vice President of </w:t>
            </w:r>
          </w:p>
          <w:p>
            <w:pPr>
              <w:pStyle w:val="TableContents"/>
              <w:bidi w:val="0"/>
              <w:spacing w:before="0" w:after="0"/>
              <w:ind w:left="0" w:right="0" w:hanging="0"/>
              <w:jc w:val="left"/>
              <w:rPr>
                <w:rFonts w:ascii="Times New Roman" w:hAnsi="Times New Roman"/>
                <w:b/>
                <w:sz w:val="20"/>
              </w:rPr>
            </w:pPr>
            <w:r>
              <w:rPr>
                <w:rFonts w:ascii="Times New Roman" w:hAnsi="Times New Roman"/>
                <w:b/>
                <w:sz w:val="20"/>
              </w:rPr>
              <w:t>Communications</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(276) 629-6387 – Media</w:t>
            </w:r>
          </w:p>
        </w:tc>
      </w:tr>
    </w:tbl>
    <w:p>
      <w:pPr>
        <w:pStyle w:val="TextBody"/>
        <w:bidi w:val="0"/>
        <w:spacing w:before="0" w:after="0"/>
        <w:ind w:left="6480" w:right="0" w:hanging="648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36"/>
        </w:rPr>
      </w:pPr>
      <w:r>
        <w:rPr>
          <w:rFonts w:ascii="Times New Roman" w:hAnsi="Times New Roman"/>
          <w:b/>
          <w:caps w:val="false"/>
          <w:smallCaps w:val="false"/>
          <w:sz w:val="36"/>
        </w:rPr>
        <w:t>Bassett Furniture News Release</w:t>
      </w:r>
      <w:r>
        <w:rPr>
          <w:rFonts w:ascii="Times New Roman" w:hAnsi="Times New Roman"/>
          <w:caps w:val="false"/>
          <w:smallCaps w:val="false"/>
          <w:sz w:val="36"/>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4"/>
        </w:rPr>
      </w:pPr>
      <w:r>
        <w:rPr>
          <w:rFonts w:ascii="Times New Roman" w:hAnsi="Times New Roman"/>
          <w:b/>
          <w:caps w:val="false"/>
          <w:smallCaps w:val="false"/>
          <w:sz w:val="24"/>
        </w:rPr>
        <w:t>Bassett Announces Regular Quarterly Dividend</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(Bassett, Va.) – October 14, 2026 –Bassett Furniture Industries, Inc. (Nasdaq: BSET) announced today that its Board of Directors has declared a regular quarterly dividend of $0.20 per share of common stock, payable on November 27, 2026, to shareholders of record at the close of business on November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About Bassett Furniture Industries, Inc.</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Bassett Furniture Industries, Inc. (NASDAQ: BSET) is a leading provider of high-quality home furnishings with a wide range of distribution types. Bassett sells approximately 60% of its products through its network of 88 company- and licensee-owned stores which feature the latest on-trend furniture styles, the Company’s capabilities in custom furniture design and manufacturing, free in-home design visits, and coordinated decorating accessories in a professional and friendly environment.  Bassett also has a significant traditional wholesale business with more than 1,000 open market accounts. Most of the open market sales are through Bassett Design Centers and Bassett Custom Studios which function as a store within a multi-line store featuring the Company’s custom furniture capabilities.  The wholesale business, including the Lane Venture outdoor brand, also services general furniture stores and a growing number of interior design firms.  Bassett products are also directly available to consumers at </w:t>
      </w:r>
      <w:r>
        <w:rPr>
          <w:rFonts w:ascii="Times New Roman" w:hAnsi="Times New Roman"/>
          <w:caps w:val="false"/>
          <w:smallCaps w:val="false"/>
          <w:sz w:val="20"/>
          <w:u w:val="single"/>
        </w:rPr>
        <w:t>www.bassettfurniture.com</w:t>
      </w:r>
      <w:r>
        <w:rPr>
          <w:rFonts w:ascii="Times New Roman" w:hAnsi="Times New Roman"/>
          <w:caps w:val="false"/>
          <w:smallCaps w:val="false"/>
          <w:sz w:val="20"/>
        </w:rPr>
        <w:t>. (BSET-E)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690</Words>
  <Characters>3916</Characters>
  <CharactersWithSpaces>4668</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