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Chivari Anthony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&amp;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1222"/>
        <w:gridCol w:w="1137"/>
        <w:gridCol w:w="996"/>
        <w:gridCol w:w="954"/>
        <w:gridCol w:w="1283"/>
        <w:gridCol w:w="1252"/>
        <w:gridCol w:w="144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Derivative Securities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2021 Stock Incentive Plan which is a Rule 16b-3 plan; cliff vesting in 3 years from 10/29/2024.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Risk of forfeiture until vesting and subject to stock ownership guidelines.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 Derivatives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Lee Chivari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2319" TargetMode="External"/><Relationship Id="rId3" Type="http://schemas.openxmlformats.org/officeDocument/2006/relationships/hyperlink" Target="http://www.sec.gov/cgi-bin/browse-edgar?action=getcompany&amp;CIK=000001032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439</Words>
  <Characters>2396</Characters>
  <CharactersWithSpaces>2787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