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Hamlet Virginia W.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BASSETT FURNITURE INDUSTRIES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3525 FAIRYSTONE PARK HWY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 O BOX 626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2,857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7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7"/>
                <w:vertAlign w:val="subscript"/>
              </w:rPr>
              <w:t>14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7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20,480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under the 2021 Stock Incentive Plan which is a Rule 16b-3 plan; vests in one year.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Risk of forfeiture until vesting and subject to stock ownership guidelines.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of Bassett Furniture Industries Stock at the close of business 03/11/2026.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Virginia Hamlet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4373" TargetMode="External"/><Relationship Id="rId14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2026-03-13T12:41:39Z</dcterms:created>
  <dcterms:modified xsi:type="dcterms:W3CDTF">2026-03-13T12:41:39Z</dcterms:modified>
</cp:coreProperties>
</file>