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2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jc w:val="center"/>
        <w:ind w:right="16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07020310</w:t>
      </w:r>
    </w:p>
    <w:p>
      <w:pPr>
        <w:ind w:left="2200"/>
        <w:spacing w:after="0" w:line="238" w:lineRule="auto"/>
        <w:rPr>
          <w:sz w:val="20"/>
          <w:szCs w:val="20"/>
          <w:color w:val="auto"/>
        </w:rPr>
      </w:pPr>
      <w:r>
        <w:rPr>
          <w:rFonts w:ascii="Courier New" w:cs="Courier New" w:eastAsia="Courier New" w:hAnsi="Courier New"/>
          <w:sz w:val="18"/>
          <w:szCs w:val="18"/>
          <w:color w:val="auto"/>
        </w:rPr>
        <w:t>__________________________________</w:t>
      </w:r>
    </w:p>
    <w:p>
      <w:pPr>
        <w:ind w:left="32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3760" w:val="left"/>
          <w:tab w:leader="none" w:pos="5660" w:val="left"/>
          <w:tab w:leader="none" w:pos="6300" w:val="left"/>
          <w:tab w:leader="none" w:pos="6620" w:val="left"/>
          <w:tab w:leader="none" w:pos="7040" w:val="left"/>
          <w:tab w:leader="none" w:pos="7340"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tab/>
        <w:t>2</w:t>
        <w:tab/>
        <w:t>of</w:t>
        <w:tab/>
        <w:t>5</w:t>
        <w:tab/>
        <w:t>Pages</w:t>
      </w:r>
    </w:p>
    <w:p>
      <w:pPr>
        <w:spacing w:after="0" w:line="201" w:lineRule="exact"/>
        <w:rPr>
          <w:sz w:val="24"/>
          <w:szCs w:val="24"/>
          <w:color w:val="auto"/>
        </w:rPr>
      </w:pPr>
    </w:p>
    <w:p>
      <w:pPr>
        <w:ind w:left="940" w:hanging="840"/>
        <w:spacing w:after="0"/>
        <w:tabs>
          <w:tab w:leader="none" w:pos="9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Mitchell Hutchins Institutional Investors Inc.</w:t>
      </w:r>
    </w:p>
    <w:p>
      <w:pPr>
        <w:ind w:left="5360"/>
        <w:spacing w:after="0" w:line="238" w:lineRule="auto"/>
        <w:rPr>
          <w:sz w:val="20"/>
          <w:szCs w:val="20"/>
          <w:color w:val="auto"/>
        </w:rPr>
      </w:pPr>
      <w:r>
        <w:rPr>
          <w:rFonts w:ascii="Courier New" w:cs="Courier New" w:eastAsia="Courier New" w:hAnsi="Courier New"/>
          <w:sz w:val="18"/>
          <w:szCs w:val="18"/>
          <w:color w:val="auto"/>
        </w:rPr>
        <w:t>13-3180862</w:t>
      </w:r>
    </w:p>
    <w:p>
      <w:pPr>
        <w:spacing w:after="0" w:line="202" w:lineRule="exact"/>
        <w:rPr>
          <w:sz w:val="24"/>
          <w:szCs w:val="24"/>
          <w:color w:val="auto"/>
        </w:rPr>
      </w:pP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1779"/>
        <w:spacing w:after="0" w:line="238" w:lineRule="auto"/>
        <w:rPr>
          <w:sz w:val="20"/>
          <w:szCs w:val="20"/>
          <w:color w:val="auto"/>
        </w:rPr>
      </w:pPr>
      <w:r>
        <w:rPr>
          <w:rFonts w:ascii="Courier New" w:cs="Courier New" w:eastAsia="Courier New" w:hAnsi="Courier New"/>
          <w:sz w:val="18"/>
          <w:szCs w:val="18"/>
          <w:color w:val="auto"/>
        </w:rPr>
        <w:t>(a) /__/</w:t>
      </w:r>
    </w:p>
    <w:p>
      <w:pPr>
        <w:jc w:val="right"/>
        <w:ind w:right="1779"/>
        <w:spacing w:after="0"/>
        <w:rPr>
          <w:sz w:val="20"/>
          <w:szCs w:val="20"/>
          <w:color w:val="auto"/>
        </w:rPr>
      </w:pPr>
      <w:r>
        <w:rPr>
          <w:rFonts w:ascii="Courier New" w:cs="Courier New" w:eastAsia="Courier New" w:hAnsi="Courier New"/>
          <w:sz w:val="18"/>
          <w:szCs w:val="18"/>
          <w:color w:val="auto"/>
        </w:rPr>
        <w:t>(b) /__/</w:t>
      </w:r>
    </w:p>
    <w:p>
      <w:pPr>
        <w:ind w:left="940" w:hanging="840"/>
        <w:spacing w:after="0" w:line="237" w:lineRule="auto"/>
        <w:tabs>
          <w:tab w:leader="none" w:pos="9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40" w:hanging="840"/>
        <w:spacing w:after="0"/>
        <w:tabs>
          <w:tab w:leader="none" w:pos="9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9679"/>
          </w:cols>
          <w:pgMar w:left="780" w:top="1440" w:right="1440" w:bottom="0" w:gutter="0" w:footer="0" w:header="0"/>
        </w:sectPr>
      </w:pPr>
    </w:p>
    <w:bookmarkStart w:id="1" w:name="page2"/>
    <w:bookmarkEnd w:id="1"/>
    <w:tbl>
      <w:tblPr>
        <w:tblLayout w:type="fixed"/>
        <w:tblInd w:w="5"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420" w:type="dxa"/>
            <w:vAlign w:val="bottom"/>
          </w:tcPr>
          <w:p>
            <w:pPr>
              <w:spacing w:after="0"/>
              <w:rPr>
                <w:sz w:val="24"/>
                <w:szCs w:val="24"/>
                <w:color w:val="auto"/>
              </w:rPr>
            </w:pP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4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NUMBER OF</w:t>
            </w:r>
          </w:p>
        </w:tc>
        <w:tc>
          <w:tcPr>
            <w:tcW w:w="168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420" w:type="dxa"/>
            <w:vAlign w:val="bottom"/>
          </w:tcPr>
          <w:p>
            <w:pPr>
              <w:jc w:val="center"/>
              <w:ind w:right="1292"/>
              <w:spacing w:after="0"/>
              <w:rPr>
                <w:sz w:val="20"/>
                <w:szCs w:val="20"/>
                <w:color w:val="auto"/>
              </w:rPr>
            </w:pPr>
            <w:r>
              <w:rPr>
                <w:rFonts w:ascii="Courier New" w:cs="Courier New" w:eastAsia="Courier New" w:hAnsi="Courier New"/>
                <w:sz w:val="18"/>
                <w:szCs w:val="18"/>
                <w:color w:val="auto"/>
                <w:w w:val="98"/>
              </w:rPr>
              <w:t>SHARES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242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5"/>
              </w:rPr>
              <w:t>BENEFICIALLY</w:t>
            </w:r>
          </w:p>
        </w:tc>
        <w:tc>
          <w:tcPr>
            <w:tcW w:w="168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1,166,967</w:t>
            </w:r>
          </w:p>
        </w:tc>
      </w:tr>
      <w:tr>
        <w:trPr>
          <w:trHeight w:val="405"/>
        </w:trPr>
        <w:tc>
          <w:tcPr>
            <w:tcW w:w="24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OWNED BY</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4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7"/>
              </w:rPr>
              <w:t>EACH</w:t>
            </w:r>
          </w:p>
        </w:tc>
        <w:tc>
          <w:tcPr>
            <w:tcW w:w="168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4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REPORTING</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2420" w:type="dxa"/>
            <w:vAlign w:val="bottom"/>
          </w:tcPr>
          <w:p>
            <w:pPr>
              <w:jc w:val="center"/>
              <w:ind w:right="1292"/>
              <w:spacing w:after="0"/>
              <w:rPr>
                <w:sz w:val="20"/>
                <w:szCs w:val="20"/>
                <w:color w:val="auto"/>
              </w:rPr>
            </w:pPr>
            <w:r>
              <w:rPr>
                <w:rFonts w:ascii="Courier New" w:cs="Courier New" w:eastAsia="Courier New" w:hAnsi="Courier New"/>
                <w:sz w:val="18"/>
                <w:szCs w:val="18"/>
                <w:color w:val="auto"/>
                <w:w w:val="98"/>
              </w:rPr>
              <w:t>PERSON</w:t>
            </w:r>
          </w:p>
        </w:tc>
        <w:tc>
          <w:tcPr>
            <w:tcW w:w="168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1,166,967</w:t>
            </w:r>
          </w:p>
        </w:tc>
      </w:tr>
      <w:tr>
        <w:trPr>
          <w:trHeight w:val="405"/>
        </w:trPr>
        <w:tc>
          <w:tcPr>
            <w:tcW w:w="24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7"/>
              </w:rPr>
              <w:t>WITH</w:t>
            </w:r>
          </w:p>
        </w:tc>
        <w:tc>
          <w:tcPr>
            <w:tcW w:w="16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07" w:lineRule="exact"/>
        <w:rPr>
          <w:sz w:val="20"/>
          <w:szCs w:val="20"/>
          <w:color w:val="auto"/>
        </w:rPr>
      </w:pPr>
    </w:p>
    <w:p>
      <w:pPr>
        <w:ind w:left="5365" w:right="2419" w:hanging="5260"/>
        <w:spacing w:after="0" w:line="470" w:lineRule="auto"/>
        <w:tabs>
          <w:tab w:leader="none" w:pos="94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1,166,967</w:t>
      </w:r>
    </w:p>
    <w:p>
      <w:pPr>
        <w:spacing w:after="0" w:line="11" w:lineRule="exact"/>
        <w:rPr>
          <w:rFonts w:ascii="Courier New" w:cs="Courier New" w:eastAsia="Courier New" w:hAnsi="Courier New"/>
          <w:sz w:val="18"/>
          <w:szCs w:val="18"/>
          <w:color w:val="auto"/>
        </w:rPr>
      </w:pPr>
    </w:p>
    <w:p>
      <w:pPr>
        <w:ind w:left="945" w:right="2319" w:hanging="945"/>
        <w:spacing w:after="0" w:line="235" w:lineRule="auto"/>
        <w:tabs>
          <w:tab w:leader="none" w:pos="94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945" w:hanging="945"/>
        <w:spacing w:after="0"/>
        <w:tabs>
          <w:tab w:leader="none" w:pos="94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365"/>
        <w:spacing w:after="0"/>
        <w:rPr>
          <w:sz w:val="20"/>
          <w:szCs w:val="20"/>
          <w:color w:val="auto"/>
        </w:rPr>
      </w:pPr>
      <w:r>
        <w:rPr>
          <w:rFonts w:ascii="Courier New" w:cs="Courier New" w:eastAsia="Courier New" w:hAnsi="Courier New"/>
          <w:sz w:val="18"/>
          <w:szCs w:val="18"/>
          <w:color w:val="auto"/>
        </w:rPr>
        <w:t>8.28</w:t>
      </w:r>
    </w:p>
    <w:p>
      <w:pPr>
        <w:spacing w:after="0" w:line="201" w:lineRule="exact"/>
        <w:rPr>
          <w:sz w:val="20"/>
          <w:szCs w:val="20"/>
          <w:color w:val="auto"/>
        </w:rPr>
      </w:pPr>
    </w:p>
    <w:p>
      <w:pPr>
        <w:ind w:left="5"/>
        <w:spacing w:after="0"/>
        <w:tabs>
          <w:tab w:leader="none" w:pos="925"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365"/>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2105"/>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684"/>
          </w:cols>
          <w:pgMar w:left="775" w:top="339" w:right="1440" w:bottom="1440" w:gutter="0" w:footer="0" w:header="0"/>
        </w:sectPr>
      </w:pPr>
    </w:p>
    <w:bookmarkStart w:id="2" w:name="page3"/>
    <w:bookmarkEnd w:id="2"/>
    <w:p>
      <w:pPr>
        <w:spacing w:after="0" w:line="290" w:lineRule="exact"/>
        <w:rPr>
          <w:sz w:val="20"/>
          <w:szCs w:val="20"/>
          <w:color w:val="auto"/>
        </w:rPr>
      </w:pPr>
    </w:p>
    <w:p>
      <w:pPr>
        <w:jc w:val="right"/>
        <w:ind w:right="1779"/>
        <w:spacing w:after="0"/>
        <w:tabs>
          <w:tab w:leader="none" w:pos="1560" w:val="left"/>
          <w:tab w:leader="none" w:pos="1240" w:val="left"/>
          <w:tab w:leader="none" w:pos="820" w:val="left"/>
          <w:tab w:leader="none" w:pos="520" w:val="left"/>
        </w:tabs>
        <w:rPr>
          <w:sz w:val="20"/>
          <w:szCs w:val="20"/>
          <w:color w:val="auto"/>
        </w:rPr>
      </w:pPr>
      <w:r>
        <w:rPr>
          <w:rFonts w:ascii="Courier New" w:cs="Courier New" w:eastAsia="Courier New" w:hAnsi="Courier New"/>
          <w:sz w:val="18"/>
          <w:szCs w:val="18"/>
          <w:color w:val="auto"/>
        </w:rPr>
        <w:t>Page</w:t>
        <w:tab/>
        <w:t>3</w:t>
        <w:tab/>
        <w:t>of</w:t>
        <w:tab/>
        <w:t>5</w:t>
        <w:tab/>
        <w:t>Pages</w:t>
      </w:r>
    </w:p>
    <w:p>
      <w:pPr>
        <w:spacing w:after="0" w:line="201" w:lineRule="exact"/>
        <w:rPr>
          <w:sz w:val="20"/>
          <w:szCs w:val="20"/>
          <w:color w:val="auto"/>
        </w:rPr>
      </w:pPr>
    </w:p>
    <w:p>
      <w:pPr>
        <w:spacing w:after="0"/>
        <w:tabs>
          <w:tab w:leader="none" w:pos="1760" w:val="left"/>
          <w:tab w:leader="none" w:pos="27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P.O. Box 626</w:t>
      </w:r>
    </w:p>
    <w:p>
      <w:pPr>
        <w:ind w:left="2740"/>
        <w:spacing w:after="0"/>
        <w:tabs>
          <w:tab w:leader="none" w:pos="4080" w:val="left"/>
        </w:tabs>
        <w:rPr>
          <w:sz w:val="20"/>
          <w:szCs w:val="20"/>
          <w:color w:val="auto"/>
        </w:rPr>
      </w:pPr>
      <w:r>
        <w:rPr>
          <w:rFonts w:ascii="Courier New" w:cs="Courier New" w:eastAsia="Courier New" w:hAnsi="Courier New"/>
          <w:sz w:val="18"/>
          <w:szCs w:val="18"/>
          <w:color w:val="auto"/>
        </w:rPr>
        <w:t>Bassett, VA</w:t>
      </w:r>
      <w:r>
        <w:rPr>
          <w:sz w:val="20"/>
          <w:szCs w:val="20"/>
          <w:color w:val="auto"/>
        </w:rPr>
        <w:tab/>
      </w:r>
      <w:r>
        <w:rPr>
          <w:rFonts w:ascii="Courier New" w:cs="Courier New" w:eastAsia="Courier New" w:hAnsi="Courier New"/>
          <w:sz w:val="16"/>
          <w:szCs w:val="16"/>
          <w:color w:val="auto"/>
        </w:rPr>
        <w:t>24055</w:t>
      </w:r>
    </w:p>
    <w:p>
      <w:pPr>
        <w:spacing w:after="0" w:line="202" w:lineRule="exact"/>
        <w:rPr>
          <w:sz w:val="20"/>
          <w:szCs w:val="20"/>
          <w:color w:val="auto"/>
        </w:rPr>
      </w:pPr>
    </w:p>
    <w:p>
      <w:pPr>
        <w:spacing w:after="0"/>
        <w:tabs>
          <w:tab w:leader="none" w:pos="1760" w:val="left"/>
          <w:tab w:leader="none" w:pos="27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Mitchell Hutchins Institutional Investors Inc.</w:t>
      </w:r>
    </w:p>
    <w:p>
      <w:pPr>
        <w:spacing w:after="0" w:line="201" w:lineRule="exact"/>
        <w:rPr>
          <w:sz w:val="20"/>
          <w:szCs w:val="20"/>
          <w:color w:val="auto"/>
        </w:rPr>
      </w:pPr>
    </w:p>
    <w:p>
      <w:pPr>
        <w:ind w:left="2740" w:hanging="954"/>
        <w:spacing w:after="0"/>
        <w:tabs>
          <w:tab w:leader="none" w:pos="2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1285 Avenue of the Americas</w:t>
      </w:r>
    </w:p>
    <w:p>
      <w:pPr>
        <w:ind w:left="2740"/>
        <w:spacing w:after="0" w:line="238" w:lineRule="auto"/>
        <w:tabs>
          <w:tab w:leader="none" w:pos="4180" w:val="left"/>
        </w:tabs>
        <w:rPr>
          <w:sz w:val="20"/>
          <w:szCs w:val="20"/>
          <w:color w:val="auto"/>
        </w:rPr>
      </w:pPr>
      <w:r>
        <w:rPr>
          <w:rFonts w:ascii="Courier New" w:cs="Courier New" w:eastAsia="Courier New" w:hAnsi="Courier New"/>
          <w:sz w:val="18"/>
          <w:szCs w:val="18"/>
          <w:color w:val="auto"/>
        </w:rPr>
        <w:t>New York, NY</w:t>
        <w:tab/>
        <w:t>10019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1160" w:type="dxa"/>
            <w:vAlign w:val="bottom"/>
          </w:tcPr>
          <w:p>
            <w:pPr>
              <w:ind w:left="520"/>
              <w:spacing w:after="0"/>
              <w:rPr>
                <w:sz w:val="20"/>
                <w:szCs w:val="20"/>
                <w:color w:val="auto"/>
              </w:rPr>
            </w:pPr>
            <w:r>
              <w:rPr>
                <w:rFonts w:ascii="Courier New" w:cs="Courier New" w:eastAsia="Courier New" w:hAnsi="Courier New"/>
                <w:sz w:val="18"/>
                <w:szCs w:val="18"/>
                <w:color w:val="auto"/>
              </w:rPr>
              <w:t>(c)</w:t>
            </w:r>
          </w:p>
        </w:tc>
        <w:tc>
          <w:tcPr>
            <w:tcW w:w="2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c>
          <w:tcPr>
            <w:tcW w:w="10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1260" w:type="dxa"/>
            <w:vAlign w:val="bottom"/>
          </w:tcPr>
          <w:p>
            <w:pPr>
              <w:spacing w:after="0"/>
              <w:rPr>
                <w:sz w:val="24"/>
                <w:szCs w:val="24"/>
                <w:color w:val="auto"/>
              </w:rPr>
            </w:pPr>
          </w:p>
        </w:tc>
        <w:tc>
          <w:tcPr>
            <w:tcW w:w="1160" w:type="dxa"/>
            <w:vAlign w:val="bottom"/>
          </w:tcPr>
          <w:p>
            <w:pPr>
              <w:ind w:left="520"/>
              <w:spacing w:after="0"/>
              <w:rPr>
                <w:sz w:val="20"/>
                <w:szCs w:val="20"/>
                <w:color w:val="auto"/>
              </w:rPr>
            </w:pPr>
            <w:r>
              <w:rPr>
                <w:rFonts w:ascii="Courier New" w:cs="Courier New" w:eastAsia="Courier New" w:hAnsi="Courier New"/>
                <w:sz w:val="18"/>
                <w:szCs w:val="18"/>
                <w:color w:val="auto"/>
              </w:rPr>
              <w:t>(d)</w:t>
            </w:r>
          </w:p>
        </w:tc>
        <w:tc>
          <w:tcPr>
            <w:tcW w:w="348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Title of Class of Securities: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r>
      <w:tr>
        <w:trPr>
          <w:trHeight w:val="405"/>
        </w:trPr>
        <w:tc>
          <w:tcPr>
            <w:tcW w:w="1260" w:type="dxa"/>
            <w:vAlign w:val="bottom"/>
          </w:tcPr>
          <w:p>
            <w:pPr>
              <w:spacing w:after="0"/>
              <w:rPr>
                <w:sz w:val="24"/>
                <w:szCs w:val="24"/>
                <w:color w:val="auto"/>
              </w:rPr>
            </w:pPr>
          </w:p>
        </w:tc>
        <w:tc>
          <w:tcPr>
            <w:tcW w:w="1160" w:type="dxa"/>
            <w:vAlign w:val="bottom"/>
          </w:tcPr>
          <w:p>
            <w:pPr>
              <w:ind w:left="520"/>
              <w:spacing w:after="0"/>
              <w:rPr>
                <w:sz w:val="20"/>
                <w:szCs w:val="20"/>
                <w:color w:val="auto"/>
              </w:rPr>
            </w:pPr>
            <w:r>
              <w:rPr>
                <w:rFonts w:ascii="Courier New" w:cs="Courier New" w:eastAsia="Courier New" w:hAnsi="Courier New"/>
                <w:sz w:val="18"/>
                <w:szCs w:val="18"/>
                <w:color w:val="auto"/>
              </w:rPr>
              <w:t>(e)</w:t>
            </w:r>
          </w:p>
        </w:tc>
        <w:tc>
          <w:tcPr>
            <w:tcW w:w="2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c>
          <w:tcPr>
            <w:tcW w:w="10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07020310</w:t>
            </w:r>
          </w:p>
        </w:tc>
      </w:tr>
      <w:tr>
        <w:trPr>
          <w:trHeight w:val="608"/>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364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Type of Reporting Person:</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1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Broker   or</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Dealer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registered   under</w:t>
            </w:r>
          </w:p>
        </w:tc>
      </w:tr>
      <w:tr>
        <w:trPr>
          <w:trHeight w:val="203"/>
        </w:trPr>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15 of the Act</w:t>
            </w:r>
          </w:p>
        </w:tc>
        <w:tc>
          <w:tcPr>
            <w:tcW w:w="2000" w:type="dxa"/>
            <w:vAlign w:val="bottom"/>
          </w:tcPr>
          <w:p>
            <w:pPr>
              <w:spacing w:after="0"/>
              <w:rPr>
                <w:sz w:val="17"/>
                <w:szCs w:val="17"/>
                <w:color w:val="auto"/>
              </w:rPr>
            </w:pPr>
          </w:p>
        </w:tc>
      </w:tr>
    </w:tbl>
    <w:p>
      <w:pPr>
        <w:spacing w:after="0" w:line="207" w:lineRule="exact"/>
        <w:rPr>
          <w:sz w:val="20"/>
          <w:szCs w:val="20"/>
          <w:color w:val="auto"/>
        </w:rPr>
      </w:pPr>
    </w:p>
    <w:p>
      <w:pPr>
        <w:ind w:left="3580" w:right="1779" w:hanging="1794"/>
        <w:spacing w:after="0" w:line="235" w:lineRule="auto"/>
        <w:tabs>
          <w:tab w:leader="none" w:pos="2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3(a)(6)of the Act</w:t>
      </w:r>
    </w:p>
    <w:p>
      <w:pPr>
        <w:spacing w:after="0" w:line="208" w:lineRule="exact"/>
        <w:rPr>
          <w:rFonts w:ascii="Courier New" w:cs="Courier New" w:eastAsia="Courier New" w:hAnsi="Courier New"/>
          <w:sz w:val="18"/>
          <w:szCs w:val="18"/>
          <w:color w:val="auto"/>
        </w:rPr>
      </w:pPr>
    </w:p>
    <w:p>
      <w:pPr>
        <w:ind w:left="3580" w:right="1779" w:hanging="1794"/>
        <w:spacing w:after="0" w:line="235" w:lineRule="auto"/>
        <w:tabs>
          <w:tab w:leader="none" w:pos="2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3580" w:right="1779" w:hanging="1794"/>
        <w:spacing w:after="0" w:line="235" w:lineRule="auto"/>
        <w:tabs>
          <w:tab w:leader="none" w:pos="2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3580" w:right="1779" w:hanging="1794"/>
        <w:spacing w:after="0" w:line="236" w:lineRule="auto"/>
        <w:tabs>
          <w:tab w:leader="none" w:pos="2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(XX)Investment Adviser Registered under Section 203 of the Investment Advisers Act of 1940</w:t>
      </w:r>
    </w:p>
    <w:p>
      <w:pPr>
        <w:sectPr>
          <w:pgSz w:w="11900" w:h="16838" w:orient="portrait"/>
          <w:cols w:equalWidth="0" w:num="1">
            <w:col w:w="9679"/>
          </w:cols>
          <w:pgMar w:left="780" w:top="1440" w:right="1440" w:bottom="1440" w:gutter="0" w:footer="0" w:header="0"/>
        </w:sectPr>
      </w:pPr>
    </w:p>
    <w:bookmarkStart w:id="3" w:name="page4"/>
    <w:bookmarkEnd w:id="3"/>
    <w:p>
      <w:pPr>
        <w:spacing w:after="0" w:line="290" w:lineRule="exact"/>
        <w:rPr>
          <w:sz w:val="20"/>
          <w:szCs w:val="20"/>
          <w:color w:val="auto"/>
        </w:rPr>
      </w:pPr>
    </w:p>
    <w:p>
      <w:pPr>
        <w:jc w:val="right"/>
        <w:ind w:right="1779"/>
        <w:spacing w:after="0"/>
        <w:tabs>
          <w:tab w:leader="none" w:pos="1560" w:val="left"/>
          <w:tab w:leader="none" w:pos="1240" w:val="left"/>
          <w:tab w:leader="none" w:pos="820" w:val="left"/>
          <w:tab w:leader="none" w:pos="520" w:val="left"/>
        </w:tabs>
        <w:rPr>
          <w:sz w:val="20"/>
          <w:szCs w:val="20"/>
          <w:color w:val="auto"/>
        </w:rPr>
      </w:pPr>
      <w:r>
        <w:rPr>
          <w:rFonts w:ascii="Courier New" w:cs="Courier New" w:eastAsia="Courier New" w:hAnsi="Courier New"/>
          <w:sz w:val="18"/>
          <w:szCs w:val="18"/>
          <w:color w:val="auto"/>
        </w:rPr>
        <w:t>Page</w:t>
        <w:tab/>
        <w:t>4</w:t>
        <w:tab/>
        <w:t>of</w:t>
        <w:tab/>
        <w:t>5</w:t>
        <w:tab/>
        <w:t>Pages</w:t>
      </w:r>
    </w:p>
    <w:p>
      <w:pPr>
        <w:spacing w:after="0" w:line="207" w:lineRule="exact"/>
        <w:rPr>
          <w:sz w:val="20"/>
          <w:szCs w:val="20"/>
          <w:color w:val="auto"/>
        </w:rPr>
      </w:pPr>
    </w:p>
    <w:p>
      <w:pPr>
        <w:ind w:left="3580" w:right="1779" w:hanging="1794"/>
        <w:spacing w:after="0" w:line="237" w:lineRule="auto"/>
        <w:tabs>
          <w:tab w:leader="none" w:pos="2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Section 240.13d-1(b)(1)(ii)(F)</w:t>
      </w:r>
    </w:p>
    <w:p>
      <w:pPr>
        <w:spacing w:after="0" w:line="208" w:lineRule="exact"/>
        <w:rPr>
          <w:rFonts w:ascii="Courier New" w:cs="Courier New" w:eastAsia="Courier New" w:hAnsi="Courier New"/>
          <w:sz w:val="18"/>
          <w:szCs w:val="18"/>
          <w:color w:val="auto"/>
        </w:rPr>
      </w:pPr>
    </w:p>
    <w:p>
      <w:pPr>
        <w:ind w:left="3580" w:right="1779" w:hanging="1794"/>
        <w:spacing w:after="0" w:line="236" w:lineRule="auto"/>
        <w:tabs>
          <w:tab w:leader="none" w:pos="2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in accordance with Section 240.13d-1(b)(ii)(G) (Note: See Item 7)</w:t>
      </w:r>
    </w:p>
    <w:p>
      <w:pPr>
        <w:spacing w:after="0" w:line="208" w:lineRule="exact"/>
        <w:rPr>
          <w:rFonts w:ascii="Courier New" w:cs="Courier New" w:eastAsia="Courier New" w:hAnsi="Courier New"/>
          <w:sz w:val="18"/>
          <w:szCs w:val="18"/>
          <w:color w:val="auto"/>
        </w:rPr>
      </w:pPr>
    </w:p>
    <w:p>
      <w:pPr>
        <w:ind w:left="3580" w:right="1779" w:hanging="1794"/>
        <w:spacing w:after="0" w:line="235" w:lineRule="auto"/>
        <w:tabs>
          <w:tab w:leader="none" w:pos="2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240.13d-1(b)(1)(ii)(H)</w:t>
      </w:r>
    </w:p>
    <w:p>
      <w:pPr>
        <w:spacing w:after="0" w:line="203"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78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Amount Beneficially Owned:</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1,166,967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8.28</w:t>
            </w:r>
          </w:p>
        </w:tc>
      </w:tr>
    </w:tbl>
    <w:p>
      <w:pPr>
        <w:spacing w:after="0" w:line="201" w:lineRule="exact"/>
        <w:rPr>
          <w:sz w:val="20"/>
          <w:szCs w:val="20"/>
          <w:color w:val="auto"/>
        </w:rPr>
      </w:pPr>
    </w:p>
    <w:p>
      <w:pPr>
        <w:ind w:left="2740" w:hanging="954"/>
        <w:spacing w:after="0"/>
        <w:tabs>
          <w:tab w:leader="none" w:pos="2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3580" w:hanging="846"/>
        <w:spacing w:after="0" w:line="238" w:lineRule="auto"/>
        <w:tabs>
          <w:tab w:leader="none" w:pos="3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3580" w:type="dxa"/>
        <w:tblCellMar>
          <w:top w:w="0" w:type="dxa"/>
          <w:left w:w="0" w:type="dxa"/>
          <w:bottom w:w="0" w:type="dxa"/>
          <w:right w:w="0" w:type="dxa"/>
        </w:tblCellMar>
      </w:tblPr>
      <w:tr>
        <w:trPr>
          <w:trHeight w:val="203"/>
        </w:trPr>
        <w:tc>
          <w:tcPr>
            <w:tcW w:w="2580" w:type="dxa"/>
            <w:vAlign w:val="bottom"/>
          </w:tcPr>
          <w:p>
            <w:pPr>
              <w:spacing w:after="0"/>
              <w:rPr>
                <w:sz w:val="20"/>
                <w:szCs w:val="20"/>
                <w:color w:val="auto"/>
              </w:rPr>
            </w:pPr>
            <w:r>
              <w:rPr>
                <w:rFonts w:ascii="Courier New" w:cs="Courier New" w:eastAsia="Courier New" w:hAnsi="Courier New"/>
                <w:sz w:val="18"/>
                <w:szCs w:val="18"/>
                <w:color w:val="auto"/>
              </w:rPr>
              <w:t>the vote: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580" w:hanging="846"/>
        <w:spacing w:after="0"/>
        <w:tabs>
          <w:tab w:leader="none" w:pos="3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3580" w:type="dxa"/>
        <w:tblCellMar>
          <w:top w:w="0" w:type="dxa"/>
          <w:left w:w="0" w:type="dxa"/>
          <w:bottom w:w="0" w:type="dxa"/>
          <w:right w:w="0" w:type="dxa"/>
        </w:tblCellMar>
      </w:tblP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1,166,967</w:t>
            </w:r>
          </w:p>
        </w:tc>
      </w:tr>
    </w:tbl>
    <w:p>
      <w:pPr>
        <w:spacing w:after="0" w:line="207" w:lineRule="exact"/>
        <w:rPr>
          <w:sz w:val="20"/>
          <w:szCs w:val="20"/>
          <w:color w:val="auto"/>
        </w:rPr>
      </w:pPr>
    </w:p>
    <w:p>
      <w:pPr>
        <w:ind w:left="3580" w:right="2519" w:hanging="846"/>
        <w:spacing w:after="0" w:line="235" w:lineRule="auto"/>
        <w:tabs>
          <w:tab w:leader="none" w:pos="3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of:0</w:t>
      </w:r>
    </w:p>
    <w:p>
      <w:pPr>
        <w:spacing w:after="0" w:line="202" w:lineRule="exact"/>
        <w:rPr>
          <w:rFonts w:ascii="Courier New" w:cs="Courier New" w:eastAsia="Courier New" w:hAnsi="Courier New"/>
          <w:sz w:val="18"/>
          <w:szCs w:val="18"/>
          <w:color w:val="auto"/>
        </w:rPr>
      </w:pPr>
    </w:p>
    <w:p>
      <w:pPr>
        <w:ind w:left="3580" w:hanging="846"/>
        <w:spacing w:after="0"/>
        <w:tabs>
          <w:tab w:leader="none" w:pos="3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358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1,166,967</w:t>
            </w:r>
          </w:p>
        </w:tc>
      </w:tr>
    </w:tbl>
    <w:p>
      <w:pPr>
        <w:spacing w:after="0" w:line="201"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9679"/>
          </w:cols>
          <w:pgMar w:left="780" w:top="1440" w:right="1440" w:bottom="1440" w:gutter="0" w:footer="0" w:header="0"/>
        </w:sectPr>
      </w:pPr>
    </w:p>
    <w:bookmarkStart w:id="4" w:name="page5"/>
    <w:bookmarkEnd w:id="4"/>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Page  5  of  5  Pages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040" w:type="dxa"/>
            <w:vAlign w:val="bottom"/>
            <w:gridSpan w:val="8"/>
          </w:tcPr>
          <w:p>
            <w:pPr>
              <w:ind w:left="460"/>
              <w:spacing w:after="0"/>
              <w:rPr>
                <w:sz w:val="20"/>
                <w:szCs w:val="20"/>
                <w:color w:val="auto"/>
              </w:rPr>
            </w:pPr>
            <w:r>
              <w:rPr>
                <w:rFonts w:ascii="Courier New" w:cs="Courier New" w:eastAsia="Courier New" w:hAnsi="Courier New"/>
                <w:sz w:val="18"/>
                <w:szCs w:val="18"/>
                <w:color w:val="auto"/>
              </w:rPr>
              <w:t>Identification and Classification of the Subsidiary</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Which</w:t>
            </w:r>
          </w:p>
        </w:tc>
      </w:tr>
      <w:tr>
        <w:trPr>
          <w:trHeight w:val="203"/>
        </w:trPr>
        <w:tc>
          <w:tcPr>
            <w:tcW w:w="1320" w:type="dxa"/>
            <w:vAlign w:val="bottom"/>
          </w:tcPr>
          <w:p>
            <w:pPr>
              <w:spacing w:after="0"/>
              <w:rPr>
                <w:sz w:val="17"/>
                <w:szCs w:val="17"/>
                <w:color w:val="auto"/>
              </w:rPr>
            </w:pPr>
          </w:p>
        </w:tc>
        <w:tc>
          <w:tcPr>
            <w:tcW w:w="1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4"/>
              </w:rPr>
              <w:t>Acquired</w:t>
            </w:r>
          </w:p>
        </w:tc>
        <w:tc>
          <w:tcPr>
            <w:tcW w:w="1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the Security</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Being Reported</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on  by the  Parent</w:t>
            </w:r>
          </w:p>
        </w:tc>
      </w:tr>
      <w:tr>
        <w:trPr>
          <w:trHeight w:val="203"/>
        </w:trPr>
        <w:tc>
          <w:tcPr>
            <w:tcW w:w="1320" w:type="dxa"/>
            <w:vAlign w:val="bottom"/>
          </w:tcPr>
          <w:p>
            <w:pPr>
              <w:spacing w:after="0"/>
              <w:rPr>
                <w:sz w:val="17"/>
                <w:szCs w:val="17"/>
                <w:color w:val="auto"/>
              </w:rPr>
            </w:pPr>
          </w:p>
        </w:tc>
        <w:tc>
          <w:tcPr>
            <w:tcW w:w="24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Holding Company:</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8"/>
                <w:szCs w:val="18"/>
                <w:color w:val="auto"/>
              </w:rPr>
              <w:t>N/A</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19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Identification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1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Classification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Members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1320" w:type="dxa"/>
            <w:vAlign w:val="bottom"/>
          </w:tcPr>
          <w:p>
            <w:pPr>
              <w:spacing w:after="0"/>
              <w:rPr>
                <w:sz w:val="17"/>
                <w:szCs w:val="17"/>
                <w:color w:val="auto"/>
              </w:rPr>
            </w:pPr>
          </w:p>
        </w:tc>
        <w:tc>
          <w:tcPr>
            <w:tcW w:w="1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Group:</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8"/>
                <w:szCs w:val="18"/>
                <w:color w:val="auto"/>
              </w:rPr>
              <w:t>N/A</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260" w:type="dxa"/>
            <w:vAlign w:val="bottom"/>
            <w:gridSpan w:val="5"/>
          </w:tcPr>
          <w:p>
            <w:pPr>
              <w:ind w:left="460"/>
              <w:spacing w:after="0"/>
              <w:rPr>
                <w:sz w:val="20"/>
                <w:szCs w:val="20"/>
                <w:color w:val="auto"/>
              </w:rPr>
            </w:pPr>
            <w:r>
              <w:rPr>
                <w:rFonts w:ascii="Courier New" w:cs="Courier New" w:eastAsia="Courier New" w:hAnsi="Courier New"/>
                <w:sz w:val="18"/>
                <w:szCs w:val="18"/>
                <w:color w:val="auto"/>
              </w:rPr>
              <w:t>Notice of Dissolution of Group:</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8"/>
                <w:szCs w:val="18"/>
                <w:color w:val="auto"/>
              </w:rPr>
              <w:t>N/A</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9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Certification:</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6580" w:type="dxa"/>
            <w:vAlign w:val="bottom"/>
            <w:gridSpan w:val="9"/>
          </w:tcPr>
          <w:p>
            <w:pPr>
              <w:ind w:left="460"/>
              <w:spacing w:after="0"/>
              <w:rPr>
                <w:sz w:val="20"/>
                <w:szCs w:val="20"/>
                <w:color w:val="auto"/>
              </w:rPr>
            </w:pPr>
            <w:r>
              <w:rPr>
                <w:rFonts w:ascii="Courier New" w:cs="Courier New" w:eastAsia="Courier New" w:hAnsi="Courier New"/>
                <w:sz w:val="18"/>
                <w:szCs w:val="18"/>
                <w:color w:val="auto"/>
                <w:w w:val="97"/>
              </w:rPr>
              <w:t>By  signing  below I  certify  that,  to  the  best of  my</w:t>
            </w:r>
          </w:p>
        </w:tc>
      </w:tr>
      <w:tr>
        <w:trPr>
          <w:trHeight w:val="203"/>
        </w:trPr>
        <w:tc>
          <w:tcPr>
            <w:tcW w:w="1320" w:type="dxa"/>
            <w:vAlign w:val="bottom"/>
          </w:tcPr>
          <w:p>
            <w:pPr>
              <w:spacing w:after="0"/>
              <w:rPr>
                <w:sz w:val="17"/>
                <w:szCs w:val="17"/>
                <w:color w:val="auto"/>
              </w:rPr>
            </w:pPr>
          </w:p>
        </w:tc>
        <w:tc>
          <w:tcPr>
            <w:tcW w:w="19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knowledge and</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belief,</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securities</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referred 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above</w:t>
            </w:r>
          </w:p>
        </w:tc>
      </w:tr>
      <w:tr>
        <w:trPr>
          <w:trHeight w:val="203"/>
        </w:trPr>
        <w:tc>
          <w:tcPr>
            <w:tcW w:w="1320" w:type="dxa"/>
            <w:vAlign w:val="bottom"/>
          </w:tcPr>
          <w:p>
            <w:pPr>
              <w:spacing w:after="0"/>
              <w:rPr>
                <w:sz w:val="17"/>
                <w:szCs w:val="17"/>
                <w:color w:val="auto"/>
              </w:rPr>
            </w:pPr>
          </w:p>
        </w:tc>
        <w:tc>
          <w:tcPr>
            <w:tcW w:w="19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were acquired</w:t>
            </w: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in the ordinary course of</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business and were</w:t>
            </w:r>
          </w:p>
        </w:tc>
      </w:tr>
      <w:tr>
        <w:trPr>
          <w:trHeight w:val="203"/>
        </w:trPr>
        <w:tc>
          <w:tcPr>
            <w:tcW w:w="1320" w:type="dxa"/>
            <w:vAlign w:val="bottom"/>
          </w:tcPr>
          <w:p>
            <w:pPr>
              <w:spacing w:after="0"/>
              <w:rPr>
                <w:sz w:val="17"/>
                <w:szCs w:val="17"/>
                <w:color w:val="auto"/>
              </w:rPr>
            </w:pPr>
          </w:p>
        </w:tc>
        <w:tc>
          <w:tcPr>
            <w:tcW w:w="19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not acquired</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for</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  of</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and</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do not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have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320" w:type="dxa"/>
            <w:vAlign w:val="bottom"/>
          </w:tcPr>
          <w:p>
            <w:pPr>
              <w:spacing w:after="0"/>
              <w:rPr>
                <w:sz w:val="17"/>
                <w:szCs w:val="17"/>
                <w:color w:val="auto"/>
              </w:rPr>
            </w:pPr>
          </w:p>
        </w:tc>
        <w:tc>
          <w:tcPr>
            <w:tcW w:w="1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effect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of changing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influencing</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the control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320" w:type="dxa"/>
            <w:vAlign w:val="bottom"/>
          </w:tcPr>
          <w:p>
            <w:pPr>
              <w:spacing w:after="0"/>
              <w:rPr>
                <w:sz w:val="17"/>
                <w:szCs w:val="17"/>
                <w:color w:val="auto"/>
              </w:rPr>
            </w:pPr>
          </w:p>
        </w:tc>
        <w:tc>
          <w:tcPr>
            <w:tcW w:w="6580" w:type="dxa"/>
            <w:vAlign w:val="bottom"/>
            <w:gridSpan w:val="9"/>
          </w:tcPr>
          <w:p>
            <w:pPr>
              <w:ind w:left="460"/>
              <w:spacing w:after="0" w:line="203" w:lineRule="exact"/>
              <w:rPr>
                <w:sz w:val="20"/>
                <w:szCs w:val="20"/>
                <w:color w:val="auto"/>
              </w:rPr>
            </w:pPr>
            <w:r>
              <w:rPr>
                <w:rFonts w:ascii="Courier New" w:cs="Courier New" w:eastAsia="Courier New" w:hAnsi="Courier New"/>
                <w:sz w:val="18"/>
                <w:szCs w:val="18"/>
                <w:color w:val="auto"/>
                <w:w w:val="97"/>
              </w:rPr>
              <w:t>issuer  of  such  securities  and  were  not  acquired  in</w:t>
            </w:r>
          </w:p>
        </w:tc>
      </w:tr>
      <w:tr>
        <w:trPr>
          <w:trHeight w:val="203"/>
        </w:trPr>
        <w:tc>
          <w:tcPr>
            <w:tcW w:w="1320" w:type="dxa"/>
            <w:vAlign w:val="bottom"/>
          </w:tcPr>
          <w:p>
            <w:pPr>
              <w:spacing w:after="0"/>
              <w:rPr>
                <w:sz w:val="17"/>
                <w:szCs w:val="17"/>
                <w:color w:val="auto"/>
              </w:rPr>
            </w:pPr>
          </w:p>
        </w:tc>
        <w:tc>
          <w:tcPr>
            <w:tcW w:w="2940" w:type="dxa"/>
            <w:vAlign w:val="bottom"/>
            <w:gridSpan w:val="4"/>
          </w:tcPr>
          <w:p>
            <w:pPr>
              <w:ind w:left="460"/>
              <w:spacing w:after="0" w:line="203" w:lineRule="exact"/>
              <w:rPr>
                <w:sz w:val="20"/>
                <w:szCs w:val="20"/>
                <w:color w:val="auto"/>
              </w:rPr>
            </w:pPr>
            <w:r>
              <w:rPr>
                <w:rFonts w:ascii="Courier New" w:cs="Courier New" w:eastAsia="Courier New" w:hAnsi="Courier New"/>
                <w:sz w:val="18"/>
                <w:szCs w:val="18"/>
                <w:color w:val="auto"/>
              </w:rPr>
              <w:t>connection with  or as</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participant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in any  transaction</w:t>
            </w:r>
          </w:p>
        </w:tc>
      </w:tr>
      <w:tr>
        <w:trPr>
          <w:trHeight w:val="203"/>
        </w:trPr>
        <w:tc>
          <w:tcPr>
            <w:tcW w:w="1320" w:type="dxa"/>
            <w:vAlign w:val="bottom"/>
          </w:tcPr>
          <w:p>
            <w:pPr>
              <w:spacing w:after="0"/>
              <w:rPr>
                <w:sz w:val="17"/>
                <w:szCs w:val="17"/>
                <w:color w:val="auto"/>
              </w:rPr>
            </w:pPr>
          </w:p>
        </w:tc>
        <w:tc>
          <w:tcPr>
            <w:tcW w:w="4260" w:type="dxa"/>
            <w:vAlign w:val="bottom"/>
            <w:gridSpan w:val="5"/>
          </w:tcPr>
          <w:p>
            <w:pPr>
              <w:ind w:left="460"/>
              <w:spacing w:after="0" w:line="203" w:lineRule="exact"/>
              <w:rPr>
                <w:sz w:val="20"/>
                <w:szCs w:val="20"/>
                <w:color w:val="auto"/>
              </w:rPr>
            </w:pPr>
            <w:r>
              <w:rPr>
                <w:rFonts w:ascii="Courier New" w:cs="Courier New" w:eastAsia="Courier New" w:hAnsi="Courier New"/>
                <w:sz w:val="18"/>
                <w:szCs w:val="18"/>
                <w:color w:val="auto"/>
              </w:rPr>
              <w:t>having such purposes or effect.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178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William R. Cavell</w:t>
      </w:r>
    </w:p>
    <w:p>
      <w:pPr>
        <w:ind w:left="1780"/>
        <w:spacing w:after="0" w:line="238" w:lineRule="auto"/>
        <w:rPr>
          <w:sz w:val="20"/>
          <w:szCs w:val="20"/>
          <w:color w:val="auto"/>
        </w:rPr>
      </w:pPr>
      <w:r>
        <w:rPr>
          <w:rFonts w:ascii="Courier New" w:cs="Courier New" w:eastAsia="Courier New" w:hAnsi="Courier New"/>
          <w:sz w:val="18"/>
          <w:szCs w:val="18"/>
          <w:color w:val="auto"/>
        </w:rPr>
        <w:t>By: ____________________________</w:t>
      </w:r>
    </w:p>
    <w:p>
      <w:pPr>
        <w:ind w:left="2740"/>
        <w:spacing w:after="0"/>
        <w:rPr>
          <w:sz w:val="20"/>
          <w:szCs w:val="20"/>
          <w:color w:val="auto"/>
        </w:rPr>
      </w:pPr>
      <w:r>
        <w:rPr>
          <w:rFonts w:ascii="Courier New" w:cs="Courier New" w:eastAsia="Courier New" w:hAnsi="Courier New"/>
          <w:sz w:val="18"/>
          <w:szCs w:val="18"/>
          <w:color w:val="auto"/>
        </w:rPr>
        <w:t>William R. Cavell</w:t>
      </w:r>
    </w:p>
    <w:p>
      <w:pPr>
        <w:ind w:left="2740"/>
        <w:spacing w:after="0" w:line="237" w:lineRule="auto"/>
        <w:rPr>
          <w:sz w:val="20"/>
          <w:szCs w:val="20"/>
          <w:color w:val="auto"/>
        </w:rPr>
      </w:pPr>
      <w:r>
        <w:rPr>
          <w:rFonts w:ascii="Courier New" w:cs="Courier New" w:eastAsia="Courier New" w:hAnsi="Courier New"/>
          <w:sz w:val="18"/>
          <w:szCs w:val="18"/>
          <w:color w:val="auto"/>
        </w:rPr>
        <w:t>Legal Department</w:t>
      </w:r>
    </w:p>
    <w:p>
      <w:pPr>
        <w:spacing w:after="0" w:line="202"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8"/>
          <w:szCs w:val="18"/>
          <w:color w:val="auto"/>
        </w:rPr>
        <w:t>Date:</w:t>
        <w:tab/>
        <w:t>February 13, 1995</w:t>
      </w:r>
    </w:p>
    <w:p>
      <w:pPr>
        <w:sectPr>
          <w:pgSz w:w="11900" w:h="16838" w:orient="portrait"/>
          <w:cols w:equalWidth="0" w:num="1">
            <w:col w:w="9679"/>
          </w:cols>
          <w:pgMar w:left="780" w:top="1440"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3"/>
    </w:lvl>
    <w:lvl w:ilvl="1">
      <w:lvlJc w:val="left"/>
      <w:lvlText w:val="(%2)"/>
      <w:numFmt w:val="lowerLetter"/>
      <w:start w:val="9"/>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2019-12-20T00:00:37Z</dcterms:created>
  <dcterms:modified xsi:type="dcterms:W3CDTF">2019-12-20T00:00:37Z</dcterms:modified>
</cp:coreProperties>
</file>