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3760" w:right="2820" w:hanging="928"/>
        <w:spacing w:after="0" w:line="286" w:lineRule="auto"/>
        <w:tabs>
          <w:tab w:leader="none" w:pos="303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 2024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760" w:right="2820" w:hanging="934"/>
        <w:spacing w:after="0" w:line="286" w:lineRule="auto"/>
        <w:tabs>
          <w:tab w:leader="none" w:pos="303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9"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000-00209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5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6"/>
              </w:rPr>
              <w:t>Virginia</w:t>
            </w:r>
          </w:p>
        </w:tc>
        <w:tc>
          <w:tcPr>
            <w:tcW w:w="5000" w:type="dxa"/>
            <w:vAlign w:val="bottom"/>
            <w:gridSpan w:val="5"/>
          </w:tcPr>
          <w:p>
            <w:pPr>
              <w:jc w:val="center"/>
              <w:ind w:left="3570"/>
              <w:spacing w:after="0"/>
              <w:rPr>
                <w:sz w:val="20"/>
                <w:szCs w:val="20"/>
                <w:color w:val="auto"/>
              </w:rPr>
            </w:pPr>
            <w:r>
              <w:rPr>
                <w:rFonts w:ascii="Times New Roman" w:cs="Times New Roman" w:eastAsia="Times New Roman" w:hAnsi="Times New Roman"/>
                <w:sz w:val="18"/>
                <w:szCs w:val="18"/>
                <w:color w:val="auto"/>
                <w:w w:val="98"/>
              </w:rPr>
              <w:t>54-0135270</w:t>
            </w:r>
          </w:p>
        </w:tc>
      </w:tr>
      <w:tr>
        <w:trPr>
          <w:trHeight w:val="20"/>
        </w:trPr>
        <w:tc>
          <w:tcPr>
            <w:tcW w:w="8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4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4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color w:val="auto"/>
                <w:w w:val="99"/>
              </w:rPr>
              <w:t>3525 Fairystone Park Highway</w:t>
            </w:r>
          </w:p>
        </w:tc>
      </w:tr>
      <w:tr>
        <w:trPr>
          <w:trHeight w:val="391"/>
        </w:trPr>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w w:val="98"/>
              </w:rPr>
              <w:t>Bassett, Virginia 24055</w:t>
            </w:r>
          </w:p>
        </w:tc>
      </w:tr>
      <w:tr>
        <w:trPr>
          <w:trHeight w:val="20"/>
        </w:trPr>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r>
      <w:tr>
        <w:trPr>
          <w:trHeight w:val="218"/>
        </w:trPr>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0" w:type="dxa"/>
            <w:vAlign w:val="bottom"/>
            <w:gridSpan w:val="5"/>
          </w:tcPr>
          <w:p>
            <w:pPr>
              <w:jc w:val="center"/>
              <w:ind w:right="194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4"/>
        </w:trPr>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20" w:type="dxa"/>
            <w:vAlign w:val="bottom"/>
            <w:gridSpan w:val="4"/>
          </w:tcPr>
          <w:p>
            <w:pPr>
              <w:jc w:val="center"/>
              <w:ind w:right="26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(276) 629-6000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24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4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April 1, 2024, 8,828,751 shares of common stock of the Registrant were outstanding.</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 of 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8"/>
          <w:szCs w:val="18"/>
          <w:color w:val="auto"/>
        </w:rPr>
        <w:t>ITEM</w:t>
      </w:r>
      <w:r>
        <w:rPr>
          <w:sz w:val="20"/>
          <w:szCs w:val="20"/>
          <w:color w:val="auto"/>
        </w:rPr>
        <w:tab/>
      </w:r>
      <w:r>
        <w:rPr>
          <w:rFonts w:ascii="Times New Roman" w:cs="Times New Roman" w:eastAsia="Times New Roman" w:hAnsi="Times New Roman"/>
          <w:sz w:val="18"/>
          <w:szCs w:val="18"/>
          <w:color w:val="auto"/>
        </w:rPr>
        <w:t>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240" w:right="540" w:hanging="232"/>
        <w:spacing w:after="0" w:line="282" w:lineRule="auto"/>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Financial Statements as of March 2, 2024 (unaudited) and November 25, 2023 and for the three months ended March 2, 2024 (unaudited) and February 25, 2023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8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8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8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Controls and Procedures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spacing w:after="0"/>
              <w:rPr>
                <w:sz w:val="18"/>
                <w:szCs w:val="18"/>
                <w:color w:val="auto"/>
              </w:rPr>
            </w:pPr>
          </w:p>
        </w:tc>
        <w:tc>
          <w:tcPr>
            <w:tcW w:w="8920" w:type="dxa"/>
            <w:vAlign w:val="bottom"/>
            <w:shd w:val="clear" w:color="auto" w:fill="CCEEFF"/>
          </w:tcPr>
          <w:p>
            <w:pPr>
              <w:ind w:left="410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20" w:type="dxa"/>
            <w:vAlign w:val="bottom"/>
            <w:shd w:val="clear" w:color="auto" w:fill="CCEEFF"/>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Legal Proceedings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8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Unregistered Sales of Equity Securities, Use of Proceeds and Issuer Purchases of Equity Securities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8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8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212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200" w:type="dxa"/>
            <w:vAlign w:val="bottom"/>
          </w:tcPr>
          <w:p>
            <w:pPr>
              <w:spacing w:after="0"/>
              <w:rPr>
                <w:sz w:val="24"/>
                <w:szCs w:val="24"/>
                <w:color w:val="auto"/>
              </w:rPr>
            </w:pPr>
          </w:p>
        </w:tc>
        <w:tc>
          <w:tcPr>
            <w:tcW w:w="892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2 of 34</w:t>
            </w:r>
          </w:p>
        </w:tc>
        <w:tc>
          <w:tcPr>
            <w:tcW w:w="2120" w:type="dxa"/>
            <w:vAlign w:val="bottom"/>
          </w:tcPr>
          <w:p>
            <w:pPr>
              <w:spacing w:after="0"/>
              <w:rPr>
                <w:sz w:val="24"/>
                <w:szCs w:val="24"/>
                <w:color w:val="auto"/>
              </w:rPr>
            </w:pPr>
          </w:p>
        </w:tc>
      </w:tr>
      <w:tr>
        <w:trPr>
          <w:trHeight w:val="115"/>
        </w:trPr>
        <w:tc>
          <w:tcPr>
            <w:tcW w:w="20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OPERATIONS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u w:val="single" w:color="auto"/>
          <w:color w:val="auto"/>
        </w:rPr>
        <w:t>FOR THE PERIODS ENDED MARCH 2, 2024 AND FEBRUARY 25, 2023 – UNAUDITED</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8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25, 2023</w:t>
            </w:r>
          </w:p>
        </w:tc>
      </w:tr>
      <w:tr>
        <w:trPr>
          <w:trHeight w:val="209"/>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57,197</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2,702</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2,287</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1,445</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8"/>
                <w:szCs w:val="18"/>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left="3560"/>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left="820" w:right="1940"/>
        <w:spacing w:after="0" w:line="255" w:lineRule="auto"/>
        <w:rPr>
          <w:sz w:val="20"/>
          <w:szCs w:val="20"/>
          <w:color w:val="auto"/>
        </w:rPr>
      </w:pPr>
      <w:r>
        <w:rPr>
          <w:rFonts w:ascii="Times New Roman" w:cs="Times New Roman" w:eastAsia="Times New Roman" w:hAnsi="Times New Roman"/>
          <w:sz w:val="18"/>
          <w:szCs w:val="18"/>
          <w:u w:val="single" w:color="auto"/>
          <w:color w:val="auto"/>
        </w:rPr>
        <w:t>CONDENSED CONSOLIDATED STATEMENTS OF COMPREHENSIVE INCOME (LOSS) FOR THE PERIODS ENDED MARCH 2, 2024 AND FEBRUARY 25, 2023 – UNAUDITED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associated with Long Term Cash Awards (LTCA)</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associated with supplemental executive retirement defined benefit plan (SERP)</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(1,354)</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MARCH 2, 2024 AND NOVEMBER 25,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740" w:type="dxa"/>
            <w:vAlign w:val="bottom"/>
            <w:gridSpan w:val="2"/>
          </w:tcPr>
          <w:p>
            <w:pPr>
              <w:jc w:val="right"/>
              <w:ind w:right="2000"/>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November 25,</w:t>
            </w: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6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17,775</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157,954</w:t>
            </w:r>
          </w:p>
        </w:tc>
        <w:tc>
          <w:tcPr>
            <w:tcW w:w="0" w:type="dxa"/>
            <w:vAlign w:val="bottom"/>
          </w:tcPr>
          <w:p>
            <w:pPr>
              <w:spacing w:after="0"/>
              <w:rPr>
                <w:sz w:val="1"/>
                <w:szCs w:val="1"/>
                <w:color w:val="auto"/>
              </w:rPr>
            </w:pP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100,888</w:t>
            </w: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3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361,445</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22,788</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operating lease obligations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18,827</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liabilites and accrued expenses</w:t>
            </w:r>
          </w:p>
        </w:tc>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77,890</w:t>
            </w:r>
          </w:p>
        </w:tc>
        <w:tc>
          <w:tcPr>
            <w:tcW w:w="0" w:type="dxa"/>
            <w:vAlign w:val="bottom"/>
          </w:tcPr>
          <w:p>
            <w:pPr>
              <w:spacing w:after="0"/>
              <w:rPr>
                <w:sz w:val="1"/>
                <w:szCs w:val="1"/>
                <w:color w:val="auto"/>
              </w:rPr>
            </w:pP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10,207</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97,357</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109,093</w:t>
            </w:r>
          </w:p>
        </w:tc>
        <w:tc>
          <w:tcPr>
            <w:tcW w:w="0" w:type="dxa"/>
            <w:vAlign w:val="bottom"/>
          </w:tcPr>
          <w:p>
            <w:pPr>
              <w:spacing w:after="0"/>
              <w:rPr>
                <w:sz w:val="1"/>
                <w:szCs w:val="1"/>
                <w:color w:val="auto"/>
              </w:rPr>
            </w:pP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361,445</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ind w:left="3560"/>
        <w:spacing w:after="0"/>
        <w:rPr>
          <w:sz w:val="20"/>
          <w:szCs w:val="20"/>
          <w:color w:val="auto"/>
        </w:rPr>
      </w:pPr>
      <w:r>
        <w:rPr>
          <w:rFonts w:ascii="Times New Roman" w:cs="Times New Roman" w:eastAsia="Times New Roman" w:hAnsi="Times New Roman"/>
          <w:sz w:val="18"/>
          <w:szCs w:val="18"/>
          <w:u w:val="single" w:color="auto"/>
          <w:color w:val="auto"/>
        </w:rPr>
        <w:t>PART I – FINANCIAL INFORMATION – CONTINUED</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u w:val="single" w:color="auto"/>
          <w:color w:val="auto"/>
        </w:rPr>
        <w:t>ITEM 1. FINANCIAL STATEMENTS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u w:val="single" w:color="auto"/>
          <w:color w:val="auto"/>
        </w:rPr>
        <w:t>CONDENSED CONSOLIDATED STATEMENTS OF CASH FLOWS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u w:val="single" w:color="auto"/>
          <w:color w:val="auto"/>
        </w:rPr>
        <w:t>FOR THE PERIODS ENDED MARCH 2, 2024 AND FEBRUARY 25, 2023 – UNAUDITED</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(5,300)</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09"/>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(2,076)</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(2,346)</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(3,904)</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(11,798)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“ASC” included hereinafter refer to the Accounting Standards Codification established by the Financial Accounting Standards Board (“FASB”) as the source of authoritative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Bassett Furniture Industries, Incorporated (“Bassett”, “we”, “our”, or the “Company”) and our wholly-owned subsidiaries of which we have a controlling interest. In accordance with ASC Topic 810, we have evaluated our licensees and certain other entities to determine whether they are variable interest entities (“VIEs”) of which we are the primary beneficiary and thus would require consolidation in our financial statements. To date we have concluded that none of our licensees represent VIEs.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the sale of furniture and accessories is reported in the accompanying condensed consolidated statements of operations net of estimates for returns and allowances.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Our fiscal year, which ends on the last Saturday of November, periodically results in a 53-week year instead of the normal 52 weeks. The current fiscal year ending November 30, 2024 is a 53-week year, with the additional week being included in our first fiscal quarter. Accordingly, the information presented below includes 14 weeks of operations for the quarter ended March 2, 2024 as compared with 13 weeks included in the quarter ended February 25,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Interim Financial Presentation and 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intercompany accounts and transactions have been eliminated in the condensed consolidated financial statements. The results of operations for the three months ended March 2, 2024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25,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and use that effective tax rate to record our year-to-date income tax provision. Any change in annual projections of pretax income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30.0% and 36.8% for the three months ended March 2, 2024 and February 25, 2023, respectively. The effective rates for the three months ended March 2, 2024 and February 25, 2023 differ from the federal statutory rate of 21% primarily due to increases in the valuation allowance placed on deferred tax assets associated with Noa Home Inc. (“Noa Home”), the effects of state income taxes and various permanent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2, 2024 and February 25, 2023, $3,044 and $3,406, respectively, of lease right-of-use assets were added through the recognition of the corresponding lease obligations.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short-term investments in CDs,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short-term investments of $17,775 at both March 2, 2024 and November 25, 2023 consisted of CDs. At March 2, 2024, the CDs had original terms averaging seven months, bearing interest at rates ranging from 0.7% to 5.45% and the weighted average remaining time to maturity was approximately five months and the weighted average yield of the CDs was approximately 5.04%. Each CD is placed with a federally insured financial institution and all deposits are within federal deposit insurance limits. Due to the nature of these investments and their relatively short maturities, the carrying amount of the short-term investments at March 2, 2024 and November 25, 2023 approximates their fair value.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March 2, 2024</w:t>
            </w: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25, 2023</w:t>
            </w: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14,689</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14,271</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(747)</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49"/>
        </w:trPr>
        <w:tc>
          <w:tcPr>
            <w:tcW w:w="6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credit losses for the three months ended March 2, 2024 was as follows:</w:t>
      </w:r>
    </w:p>
    <w:p>
      <w:pPr>
        <w:spacing w:after="0" w:line="22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17145</wp:posOffset>
            </wp:positionV>
            <wp:extent cx="96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Balance at November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570039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Write-offs against allowance</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 at March 2, 2024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253" w:hanging="1253"/>
        <w:spacing w:after="0"/>
        <w:tabs>
          <w:tab w:leader="none" w:pos="12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w:t>
      </w:r>
    </w:p>
    <w:p>
      <w:pPr>
        <w:spacing w:after="0" w:line="27" w:lineRule="exact"/>
        <w:rPr>
          <w:rFonts w:ascii="Times New Roman" w:cs="Times New Roman" w:eastAsia="Times New Roman" w:hAnsi="Times New Roman"/>
          <w:sz w:val="18"/>
          <w:szCs w:val="18"/>
          <w:color w:val="auto"/>
        </w:rPr>
      </w:pPr>
    </w:p>
    <w:p>
      <w:pPr>
        <w:ind w:left="12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w:t>
      </w:r>
    </w:p>
    <w:p>
      <w:pPr>
        <w:spacing w:after="0" w:line="9" w:lineRule="exact"/>
        <w:rPr>
          <w:rFonts w:ascii="Times New Roman" w:cs="Times New Roman" w:eastAsia="Times New Roman" w:hAnsi="Times New Roman"/>
          <w:sz w:val="18"/>
          <w:szCs w:val="18"/>
          <w:color w:val="auto"/>
        </w:rPr>
      </w:pPr>
    </w:p>
    <w:p>
      <w:pPr>
        <w:ind w:left="12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ind w:left="1253" w:hanging="1253"/>
        <w:spacing w:after="0"/>
        <w:tabs>
          <w:tab w:leader="none" w:pos="12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683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307" w:space="720"/>
            <w:col w:w="3213"/>
          </w:cols>
          <w:pgMar w:left="320" w:top="364" w:right="339" w:bottom="1440" w:gutter="0" w:footer="0" w:header="0"/>
          <w:type w:val="continuous"/>
        </w:sectPr>
      </w:pP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 See Note 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were comprised of the following:</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March 2, 2024</w:t>
            </w: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November 25, 2023</w:t>
            </w:r>
          </w:p>
        </w:tc>
        <w:tc>
          <w:tcPr>
            <w:tcW w:w="100" w:type="dxa"/>
            <w:vAlign w:val="bottom"/>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27,521</w:t>
            </w: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18,655</w:t>
            </w: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33,826</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33,090</w:t>
            </w:r>
          </w:p>
        </w:tc>
        <w:tc>
          <w:tcPr>
            <w:tcW w:w="10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79,903</w:t>
            </w: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16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(11,772)</w:t>
            </w: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(11,738)</w:t>
            </w: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(5,183)</w:t>
            </w:r>
          </w:p>
        </w:tc>
      </w:tr>
      <w:tr>
        <w:trPr>
          <w:trHeight w:val="209"/>
        </w:trPr>
        <w:tc>
          <w:tcPr>
            <w:tcW w:w="500" w:type="dxa"/>
            <w:vAlign w:val="bottom"/>
          </w:tcPr>
          <w:p>
            <w:pPr>
              <w:spacing w:after="0"/>
              <w:rPr>
                <w:sz w:val="18"/>
                <w:szCs w:val="18"/>
                <w:color w:val="auto"/>
              </w:rPr>
            </w:pPr>
          </w:p>
        </w:tc>
        <w:tc>
          <w:tcPr>
            <w:tcW w:w="67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62,957</w:t>
            </w: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62,982</w:t>
            </w:r>
          </w:p>
        </w:tc>
        <w:tc>
          <w:tcPr>
            <w:tcW w:w="100" w:type="dxa"/>
            <w:vAlign w:val="bottom"/>
            <w:tcBorders>
              <w:top w:val="single" w:sz="8" w:color="CCEEFF"/>
            </w:tcBorders>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Segment</w:t>
            </w:r>
          </w:p>
        </w:tc>
        <w:tc>
          <w:tcPr>
            <w:tcW w:w="14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Retail Segment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6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25,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1,038</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r>
      <w:tr>
        <w:trPr>
          <w:trHeight w:val="20"/>
        </w:trPr>
        <w:tc>
          <w:tcPr>
            <w:tcW w:w="5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2, 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5,001</w:t>
            </w: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estimates and assumptions have been reasonably accurate in the past. We have not made any significant changes to our methodology for determining inventory reserves in 2024 and do not anticipate that our methodology is likely to change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 the following:</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100" w:type="dxa"/>
            <w:vAlign w:val="bottom"/>
          </w:tcPr>
          <w:p>
            <w:pPr>
              <w:spacing w:after="0"/>
              <w:rPr>
                <w:sz w:val="16"/>
                <w:szCs w:val="16"/>
                <w:color w:val="auto"/>
              </w:rPr>
            </w:pPr>
          </w:p>
        </w:tc>
      </w:tr>
      <w:tr>
        <w:trPr>
          <w:trHeight w:val="238"/>
        </w:trPr>
        <w:tc>
          <w:tcPr>
            <w:tcW w:w="5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Assets, Net</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8,690</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Pr>
          <w:p>
            <w:pPr>
              <w:spacing w:after="0"/>
              <w:rPr>
                <w:sz w:val="18"/>
                <w:szCs w:val="18"/>
                <w:color w:val="auto"/>
              </w:rPr>
            </w:pPr>
          </w:p>
        </w:tc>
      </w:tr>
      <w:tr>
        <w:trPr>
          <w:trHeight w:val="25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16,069</w:t>
            </w:r>
          </w:p>
        </w:tc>
      </w:tr>
      <w:tr>
        <w:trPr>
          <w:trHeight w:val="412"/>
        </w:trPr>
        <w:tc>
          <w:tcPr>
            <w:tcW w:w="54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87"/>
        </w:trPr>
        <w:tc>
          <w:tcPr>
            <w:tcW w:w="5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Intangible</w:t>
            </w:r>
          </w:p>
        </w:tc>
        <w:tc>
          <w:tcPr>
            <w:tcW w:w="100" w:type="dxa"/>
            <w:vAlign w:val="bottom"/>
          </w:tcPr>
          <w:p>
            <w:pPr>
              <w:spacing w:after="0"/>
              <w:rPr>
                <w:sz w:val="16"/>
                <w:szCs w:val="16"/>
                <w:color w:val="auto"/>
              </w:rPr>
            </w:pPr>
          </w:p>
        </w:tc>
      </w:tr>
      <w:tr>
        <w:trPr>
          <w:trHeight w:val="238"/>
        </w:trPr>
        <w:tc>
          <w:tcPr>
            <w:tcW w:w="5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Assets, Net</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subject to amortization</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8,675</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Pr>
          <w:p>
            <w:pPr>
              <w:spacing w:after="0"/>
              <w:rPr>
                <w:sz w:val="18"/>
                <w:szCs w:val="18"/>
                <w:color w:val="auto"/>
              </w:rPr>
            </w:pPr>
          </w:p>
        </w:tc>
      </w:tr>
      <w:tr>
        <w:trPr>
          <w:trHeight w:val="250"/>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carrying amounts of goodwill during the three months ended March 2,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goodwill by reportable segment, including accumulated impairment losses, at both March 2, 2024 and November 25, 2023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Original</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Recorded</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Impairment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6"/>
              </w:rPr>
              <w:t>Carrying</w:t>
            </w:r>
          </w:p>
        </w:tc>
      </w:tr>
      <w:tr>
        <w:trPr>
          <w:trHeight w:val="234"/>
        </w:trPr>
        <w:tc>
          <w:tcPr>
            <w:tcW w:w="3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10"/>
        </w:trPr>
        <w:tc>
          <w:tcPr>
            <w:tcW w:w="3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3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1,926</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8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3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7,217</w:t>
            </w:r>
          </w:p>
        </w:tc>
      </w:tr>
      <w:tr>
        <w:trPr>
          <w:trHeight w:val="413"/>
        </w:trPr>
        <w:tc>
          <w:tcPr>
            <w:tcW w:w="3380" w:type="dxa"/>
            <w:vAlign w:val="bottom"/>
            <w:tcBorders>
              <w:top w:val="single" w:sz="8" w:color="CCEEFF"/>
            </w:tcBorders>
          </w:tcPr>
          <w:p>
            <w:pPr>
              <w:spacing w:after="0"/>
              <w:rPr>
                <w:sz w:val="24"/>
                <w:szCs w:val="24"/>
                <w:color w:val="auto"/>
              </w:rPr>
            </w:pPr>
          </w:p>
        </w:tc>
        <w:tc>
          <w:tcPr>
            <w:tcW w:w="2940" w:type="dxa"/>
            <w:vAlign w:val="bottom"/>
            <w:tcBorders>
              <w:top w:val="single" w:sz="8" w:color="CCEEFF"/>
            </w:tcBorders>
          </w:tcPr>
          <w:p>
            <w:pPr>
              <w:ind w:left="1940"/>
              <w:spacing w:after="0"/>
              <w:rPr>
                <w:sz w:val="20"/>
                <w:szCs w:val="20"/>
                <w:color w:val="auto"/>
              </w:rPr>
            </w:pPr>
            <w:r>
              <w:rPr>
                <w:rFonts w:ascii="Times New Roman" w:cs="Times New Roman" w:eastAsia="Times New Roman" w:hAnsi="Times New Roman"/>
                <w:sz w:val="18"/>
                <w:szCs w:val="18"/>
                <w:color w:val="auto"/>
              </w:rPr>
              <w:t>10 of 34</w:t>
            </w: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intangible assets during the three months ended March 2, 2024 and February 25, 2023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0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00" w:type="dxa"/>
            <w:vAlign w:val="bottom"/>
          </w:tcPr>
          <w:p>
            <w:pPr>
              <w:spacing w:after="0"/>
              <w:rPr>
                <w:sz w:val="20"/>
                <w:szCs w:val="20"/>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0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86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r>
      <w:tr>
        <w:trPr>
          <w:trHeight w:val="20"/>
        </w:trPr>
        <w:tc>
          <w:tcPr>
            <w:tcW w:w="300" w:type="dxa"/>
            <w:vAlign w:val="bottom"/>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that exist at March 2, 2024 is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2024</w:t>
            </w:r>
          </w:p>
        </w:tc>
        <w:tc>
          <w:tcPr>
            <w:tcW w:w="152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Bank Credit Facility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bank credit facility provides for a line of credit of up to $25,000. At March 2, 2024, we had $3,731 outstanding under standby letters of credit against our line, leaving availability under our credit line of $21,269. The line bears interest at the One-Month Term Secured Overnight Financing Rate (“One-Month Term SOFR”) plus 1.5% and is unsecured. Our bank charges a fee of 0.25% on the daily unused balance of the line, payable quarterly. Under the terms of the facility, we must maintain the following financial covenants, measured quarterly on a rolling twelve-month basis:</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1.4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lease-adjusted leverage ratio not to exceed 3.0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tangible net worth of $140,000.</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results of operations in 2023, we were not in compliance with certain of these covenants at the end of our 2023 fiscal year. Consequently, our bank agreed to reduce the consolidated fixed charge coverage ratio to 1.0 times and increase the consolidated lease-adjusted leverage ratio to 3.75 times, as defined, for the year ended November 25, 2023 and the quarter ended March 2, 2024. We were in compliance with the amended covenants at November 25, 2023 and at March 2, 2024. The respective ratios will revert back to the previous values for the quarter ending June 1, 2024. We are in negotiations with our bank and plan to have an amended, restated or new agreement with a similar line of credit in place by the end of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Post Employment Benefit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Defined Benefit Plans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The liability for the Supplemental Plan was $5,784 and $5,778 as of March 2, 2024 and November 25, 2023,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five management employees in the amount of $400 each. Currently, two of those employees have retired and are receiving benefits. The liability for the LTC Awards was $1,257 and $1,234 as of March 2, 2024 and November 25,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pension liability for the Supplemental Plan and LTC Awards is recorded as follows in the condensed consolidated balance sheets: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6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8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6,249</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6,220</w:t>
            </w:r>
          </w:p>
        </w:tc>
      </w:tr>
      <w:tr>
        <w:trPr>
          <w:trHeight w:val="20"/>
        </w:trPr>
        <w:tc>
          <w:tcPr>
            <w:tcW w:w="5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pension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7,041</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7,012</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pension costs for our defined benefit plans for the three months ended March 2, 2024 and November 25, 2023 are as follows: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 cost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cost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Amortization of prior service costs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of loss</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periodic pension cost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Quarter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20" w:type="dxa"/>
            <w:vAlign w:val="bottom"/>
          </w:tcPr>
          <w:p>
            <w:pPr>
              <w:spacing w:after="0"/>
              <w:rPr>
                <w:sz w:val="18"/>
                <w:szCs w:val="18"/>
                <w:color w:val="auto"/>
              </w:rPr>
            </w:pP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top w:val="single" w:sz="8" w:color="auto"/>
            </w:tcBorders>
          </w:tcPr>
          <w:p>
            <w:pPr>
              <w:jc w:val="right"/>
              <w:ind w:right="4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6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-719455</wp:posOffset>
            </wp:positionV>
            <wp:extent cx="570039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-445135</wp:posOffset>
            </wp:positionV>
            <wp:extent cx="57003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-162560</wp:posOffset>
            </wp:positionV>
            <wp:extent cx="570039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20"/>
          </w:cols>
          <w:pgMar w:left="320" w:top="364"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which is included in selling, general and administrative expenses, are included in other loss, net in our condensed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Compensation Plans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$1,642 and $1,655 as of March 2, 2024 and November 25, 2023,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$3,117 and $2661 as of March 2, 2024 and November 25, 2023,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combined liability for all deferred compensation arrangements, including Company contributions and participant deferrals under the Management Savings Plan, is recorded as follows in the condensed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6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c>
          <w:tcPr>
            <w:tcW w:w="16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4,429</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3,987</w:t>
            </w:r>
          </w:p>
        </w:tc>
        <w:tc>
          <w:tcPr>
            <w:tcW w:w="16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compensation liability</w:t>
            </w:r>
          </w:p>
        </w:tc>
        <w:tc>
          <w:tcPr>
            <w:tcW w:w="20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4,758</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4,316</w:t>
            </w:r>
          </w:p>
        </w:tc>
        <w:tc>
          <w:tcPr>
            <w:tcW w:w="160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12 of 34</w:t>
            </w: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expense under our deferred compensation arrangements during the three months ended March 2, 2024 and February 25, 2023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6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80" w:type="dxa"/>
            <w:vAlign w:val="bottom"/>
          </w:tcPr>
          <w:p>
            <w:pPr>
              <w:spacing w:after="0"/>
              <w:rPr>
                <w:sz w:val="18"/>
                <w:szCs w:val="18"/>
                <w:color w:val="auto"/>
              </w:rPr>
            </w:pPr>
          </w:p>
        </w:tc>
      </w:tr>
      <w:tr>
        <w:trPr>
          <w:trHeight w:val="22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expense (benefit)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Guarantees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contingently liable under a licensee lease obligation guarantee in the amounts of $1,750 and $1,845 at March 2, 2024 and November 25, 2023, respectively. The remaining term under this lease guarantee extends for four and a half years.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default by the licensee, we believe that the risk of loss is mitigated through a combination of options that include, but are not limited to, arranging for a replacement licensee or liquidating the collateral (primarily inventory). The proceeds of the above options are expected to cover the estimated amount of our future payments under the guarantee obligation, net of recorded reserves. The fair value of this lease guarantee (an estimate of the cost to the Company to perform on the guarantee) at March 2, 2024 and November 25, 2023 was not material.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Earnings (Loss) Per Share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reconciles basic and diluted earnings (loss) per share: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16"/>
        </w:trPr>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(Loss) Per</w:t>
            </w:r>
          </w:p>
        </w:tc>
      </w:tr>
      <w:tr>
        <w:trPr>
          <w:trHeight w:val="234"/>
        </w:trPr>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(Loss)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Share</w:t>
            </w:r>
          </w:p>
        </w:tc>
      </w:tr>
      <w:tr>
        <w:trPr>
          <w:trHeight w:val="189"/>
        </w:trPr>
        <w:tc>
          <w:tcPr>
            <w:tcW w:w="56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For the quarter ended March 2, 2024:</w:t>
            </w:r>
          </w:p>
        </w:tc>
        <w:tc>
          <w:tcPr>
            <w:tcW w:w="2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8,740,637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loss per share - 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8,740,637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6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quarter ended February 25, 2023:</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8,867,881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and restricted shares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8,897,003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2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net loss for the period, potentially dilutive securities would have been anti-dilutive and are therefore excluded.</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2, 2024 and February 25, 2023, the following potentially dilutive shares were excluded from the computations as their effect was anti-dilutive:</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320" w:type="dxa"/>
            <w:vAlign w:val="bottom"/>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09"/>
        </w:trPr>
        <w:tc>
          <w:tcPr>
            <w:tcW w:w="6780" w:type="dxa"/>
            <w:vAlign w:val="bottom"/>
          </w:tcPr>
          <w:p>
            <w:pPr>
              <w:spacing w:after="0"/>
              <w:rPr>
                <w:sz w:val="18"/>
                <w:szCs w:val="18"/>
                <w:color w:val="auto"/>
              </w:rPr>
            </w:pPr>
          </w:p>
        </w:tc>
        <w:tc>
          <w:tcPr>
            <w:tcW w:w="17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00" w:type="dxa"/>
            <w:vAlign w:val="bottom"/>
          </w:tcPr>
          <w:p>
            <w:pPr>
              <w:spacing w:after="0"/>
              <w:rPr>
                <w:sz w:val="18"/>
                <w:szCs w:val="18"/>
                <w:color w:val="auto"/>
              </w:rPr>
            </w:pPr>
          </w:p>
        </w:tc>
      </w:tr>
      <w:tr>
        <w:trPr>
          <w:trHeight w:val="210"/>
        </w:trPr>
        <w:tc>
          <w:tcPr>
            <w:tcW w:w="67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152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6"/>
              </w:rPr>
              <w:t>61,413</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three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Corporate and other includes the shared costs of corporate functions such as treasury and finance, information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our other insignificant operating segment, Noa Home, which was acquired on September 2, 2022.</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our segment information:</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March 2, 2024</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25, 2023</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54,700</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69,884</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(23,762)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(30,099)</w:t>
            </w:r>
          </w:p>
        </w:tc>
      </w:tr>
      <w:tr>
        <w:trPr>
          <w:trHeight w:val="20"/>
        </w:trPr>
        <w:tc>
          <w:tcPr>
            <w:tcW w:w="66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39,785</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53,754</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64,962</w:t>
            </w: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2,951</w:t>
            </w: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86,554</w:t>
            </w:r>
          </w:p>
        </w:tc>
        <w:tc>
          <w:tcPr>
            <w:tcW w:w="180" w:type="dxa"/>
            <w:vAlign w:val="bottom"/>
            <w:tcBorders>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107,698</w:t>
            </w:r>
          </w:p>
        </w:tc>
      </w:tr>
      <w:tr>
        <w:trPr>
          <w:trHeight w:val="197"/>
        </w:trPr>
        <w:tc>
          <w:tcPr>
            <w:tcW w:w="660" w:type="dxa"/>
            <w:vAlign w:val="bottom"/>
          </w:tcPr>
          <w:p>
            <w:pPr>
              <w:spacing w:after="0"/>
              <w:rPr>
                <w:sz w:val="17"/>
                <w:szCs w:val="17"/>
                <w:color w:val="auto"/>
              </w:rPr>
            </w:pPr>
          </w:p>
        </w:tc>
        <w:tc>
          <w:tcPr>
            <w:tcW w:w="6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8,994</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(1,612)</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expenses - Corporate and other</w:t>
            </w:r>
          </w:p>
        </w:tc>
        <w:tc>
          <w:tcPr>
            <w:tcW w:w="1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(7,595)</w:t>
            </w: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(7,771)</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66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2,702</w:t>
            </w: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r>
      <w:tr>
        <w:trPr>
          <w:trHeight w:val="20"/>
        </w:trPr>
        <w:tc>
          <w:tcPr>
            <w:tcW w:w="66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w:t>
            </w: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r>
      <w:tr>
        <w:trPr>
          <w:trHeight w:val="20"/>
        </w:trPr>
        <w:tc>
          <w:tcPr>
            <w:tcW w:w="66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3,341</w:t>
            </w: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520" w:type="dxa"/>
            <w:vAlign w:val="bottom"/>
          </w:tcPr>
          <w:p>
            <w:pPr>
              <w:spacing w:after="0"/>
              <w:rPr>
                <w:sz w:val="24"/>
                <w:szCs w:val="24"/>
                <w:color w:val="auto"/>
              </w:rPr>
            </w:pPr>
          </w:p>
        </w:tc>
        <w:tc>
          <w:tcPr>
            <w:tcW w:w="11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66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March 2, 2024</w:t>
            </w:r>
          </w:p>
        </w:tc>
        <w:tc>
          <w:tcPr>
            <w:tcW w:w="180" w:type="dxa"/>
            <w:vAlign w:val="bottom"/>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98,491</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99,004</w:t>
            </w: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167,849</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166,604</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95,105</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104,816</w:t>
            </w:r>
          </w:p>
        </w:tc>
      </w:tr>
      <w:tr>
        <w:trPr>
          <w:trHeight w:val="20"/>
        </w:trPr>
        <w:tc>
          <w:tcPr>
            <w:tcW w:w="660" w:type="dxa"/>
            <w:vAlign w:val="bottom"/>
          </w:tcPr>
          <w:p>
            <w:pPr>
              <w:spacing w:after="0" w:line="20" w:lineRule="exact"/>
              <w:rPr>
                <w:sz w:val="1"/>
                <w:szCs w:val="1"/>
                <w:color w:val="auto"/>
              </w:rPr>
            </w:pPr>
          </w:p>
        </w:tc>
        <w:tc>
          <w:tcPr>
            <w:tcW w:w="6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361,445</w:t>
            </w: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12, Revenue Recognition, for disaggregated revenue information regarding sales of furniture and accessories by product type for the wholesale and retail segments.</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364" w:right="5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$22,763 and $22,788 as of March 2, 2024 and November 25, 2023, respectively. Approximately 85% of the customer deposits held as of November 25, 2023 related to performance obligations that were satisfied during the current year-to-date period and have therefore been recognized in revenue for the three months ended March 2, 2024.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March 2, 2024 and November 25, 2023, our balance of prepaid commissions included in other current assets was $2,451 and $2,245,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the three months ended March 2, 2024 and February 25, 2023, excluding intercompany transactions between our segments, is a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March 2, 2024</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2"/>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7"/>
              </w:rPr>
              <w:t>Retail</w:t>
            </w:r>
          </w:p>
        </w:tc>
        <w:tc>
          <w:tcPr>
            <w:tcW w:w="11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&amp; Other (2)</w:t>
            </w:r>
          </w:p>
        </w:tc>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Wholesale</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&amp; Other</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20,375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29,803</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$ 50,178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24,506</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$ 36,159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60,665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3,955</w:t>
            </w:r>
          </w:p>
        </w:tc>
        <w:tc>
          <w:tcPr>
            <w:tcW w:w="2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w:t>
            </w:r>
          </w:p>
        </w:tc>
        <w:tc>
          <w:tcPr>
            <w:tcW w:w="5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6,805</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8,198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4,876</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9,669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2,857</w:t>
            </w:r>
          </w:p>
        </w:tc>
        <w:tc>
          <w:tcPr>
            <w:tcW w:w="2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7,385</w:t>
            </w:r>
          </w:p>
        </w:tc>
        <w:tc>
          <w:tcPr>
            <w:tcW w:w="5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3,598</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10,050</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13,648</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and other (1)</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7,541</w:t>
            </w:r>
          </w:p>
        </w:tc>
        <w:tc>
          <w:tcPr>
            <w:tcW w:w="5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1,862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8,590</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2,951</w:t>
            </w: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Consolidated net sales of furniture and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30,938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53,754</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8"/>
              </w:rPr>
              <w:t>1,862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$ 86,554</w:t>
            </w:r>
          </w:p>
        </w:tc>
        <w:tc>
          <w:tcPr>
            <w:tcW w:w="220" w:type="dxa"/>
            <w:vAlign w:val="bottom"/>
          </w:tcPr>
          <w:p>
            <w:pPr>
              <w:spacing w:after="0"/>
              <w:rPr>
                <w:sz w:val="16"/>
                <w:szCs w:val="16"/>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39,785</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$ 64,962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2,951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w w:val="99"/>
              </w:rPr>
              <w:t>107,698</w:t>
            </w:r>
          </w:p>
        </w:tc>
        <w:tc>
          <w:tcPr>
            <w:tcW w:w="0" w:type="dxa"/>
            <w:vAlign w:val="bottom"/>
          </w:tcPr>
          <w:p>
            <w:pPr>
              <w:spacing w:after="0"/>
              <w:rPr>
                <w:sz w:val="1"/>
                <w:szCs w:val="1"/>
                <w:color w:val="auto"/>
              </w:rPr>
            </w:pPr>
          </w:p>
        </w:tc>
      </w:tr>
      <w:tr>
        <w:trPr>
          <w:trHeight w:val="194"/>
        </w:trPr>
        <w:tc>
          <w:tcPr>
            <w:tcW w:w="3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accessories</w:t>
            </w: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other segment for the three months ended March 2, 2024 and February 25, 2023 includes the sales of Noa Home.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ind w:right="-399"/>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Changes to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changes in our stockholders’ equity occurred during the three months ended March 2, 2024 and February 25,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2, 2024</w:t>
            </w:r>
          </w:p>
        </w:tc>
        <w:tc>
          <w:tcPr>
            <w:tcW w:w="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25, 2023</w:t>
            </w:r>
          </w:p>
        </w:tc>
        <w:tc>
          <w:tcPr>
            <w:tcW w:w="100" w:type="dxa"/>
            <w:vAlign w:val="bottom"/>
          </w:tcPr>
          <w:p>
            <w:pPr>
              <w:spacing w:after="0"/>
              <w:rPr>
                <w:sz w:val="18"/>
                <w:szCs w:val="18"/>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43,842</w:t>
            </w:r>
          </w:p>
        </w:tc>
        <w:tc>
          <w:tcPr>
            <w:tcW w:w="7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44,759</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r>
      <w:tr>
        <w:trPr>
          <w:trHeight w:val="210"/>
        </w:trPr>
        <w:tc>
          <w:tcPr>
            <w:tcW w:w="6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43,883</w:t>
            </w:r>
          </w:p>
        </w:tc>
        <w:tc>
          <w:tcPr>
            <w:tcW w:w="7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44,311</w:t>
            </w:r>
          </w:p>
        </w:tc>
      </w:tr>
      <w:tr>
        <w:trPr>
          <w:trHeight w:val="197"/>
        </w:trPr>
        <w:tc>
          <w:tcPr>
            <w:tcW w:w="6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 Issued and Outstanding:</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8,768,221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8,951,839</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18,488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18,381</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(108,083)</w:t>
            </w:r>
          </w:p>
        </w:tc>
      </w:tr>
      <w:tr>
        <w:trPr>
          <w:trHeight w:val="210"/>
        </w:trPr>
        <w:tc>
          <w:tcPr>
            <w:tcW w:w="6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8,776,349</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8,862,137</w:t>
            </w:r>
          </w:p>
        </w:tc>
      </w:tr>
      <w:tr>
        <w:trPr>
          <w:trHeight w:val="196"/>
        </w:trPr>
        <w:tc>
          <w:tcPr>
            <w:tcW w:w="6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7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09"/>
        </w:trPr>
        <w:tc>
          <w:tcPr>
            <w:tcW w:w="6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7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139,354</w:t>
            </w:r>
          </w:p>
        </w:tc>
        <w:tc>
          <w:tcPr>
            <w:tcW w:w="7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150,800</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for the period</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(1,421)</w:t>
            </w:r>
          </w:p>
        </w:tc>
      </w:tr>
      <w:tr>
        <w:trPr>
          <w:trHeight w:val="210"/>
        </w:trPr>
        <w:tc>
          <w:tcPr>
            <w:tcW w:w="6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136,588</w:t>
            </w:r>
          </w:p>
        </w:tc>
        <w:tc>
          <w:tcPr>
            <w:tcW w:w="7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149,611</w:t>
            </w:r>
          </w:p>
        </w:tc>
      </w:tr>
      <w:tr>
        <w:trPr>
          <w:trHeight w:val="196"/>
        </w:trPr>
        <w:tc>
          <w:tcPr>
            <w:tcW w:w="6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7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1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pension costs, net of tax</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6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balance of cumulative translation adjustments, net of tax, was a net loss of $654 and $486 at March 2, 2024 and November 25, 2023, respectively.</w:t>
      </w:r>
    </w:p>
    <w:p>
      <w:pPr>
        <w:spacing w:after="0" w:line="2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364" w:right="73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Recent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FASB issued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The amendments in ASU 2022-03 will become effective for us as of the beginning of our 2025 fiscal year. Early adoption is permitted. As of March 2, 2024 we do not hold any investments in equity securities, therefore we do not currently expect that this guidance will have a material impact upon our financial position and results of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amendments in ASU 2022-03 will become effective for us as for our 2025 fiscal year and for interim periods beginning with our 2026 fiscal year. Early adoption is permitted. We do not expect that this guidance will have a material impact upon our financial position and results of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2022-03 will become effective for us as of the beginning of our 2026 fiscal year. Early adoption is permitted for annual financial statements that have not yet been issued or made available for issuance. We do not expect that this guidance will have a material impact upon our financial position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Safe-harbor, forward-looking statements: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aims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83"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rising interest rates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 including our initiatives to expand and improve our digital marketing and advertising capabilities, as they are implemented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achieve the strategic benefits of our acquisition of Noa Home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25,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i w:val="1"/>
          <w:iCs w:val="1"/>
          <w:color w:val="auto"/>
        </w:rPr>
        <w:t>Our fiscal year, which ends on the last Saturday of November, periodically results in a 53-week year instead of the normal 52 weeks. The current fiscal year ending November 30, 2024 is a 53-week year, with the additional week being included in our first fiscal quarter. Accordingly, the information presented below includes 14 weeks of operations for the quarter ended March 2, 2024 as compared to 13 weeks included in the quarter ended February 25,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newly redesigned website at </w:t>
      </w:r>
      <w:r>
        <w:rPr>
          <w:rFonts w:ascii="Times New Roman" w:cs="Times New Roman" w:eastAsia="Times New Roman" w:hAnsi="Times New Roman"/>
          <w:sz w:val="18"/>
          <w:szCs w:val="18"/>
          <w:u w:val="single" w:color="auto"/>
          <w:color w:val="auto"/>
        </w:rPr>
        <w:t>www.bassettfurniture.com</w:t>
      </w:r>
      <w:r>
        <w:rPr>
          <w:rFonts w:ascii="Times New Roman" w:cs="Times New Roman" w:eastAsia="Times New Roman" w:hAnsi="Times New Roman"/>
          <w:sz w:val="18"/>
          <w:szCs w:val="18"/>
          <w:color w:val="auto"/>
        </w:rPr>
        <w:t>. We were founded in 1902 and incorporated under the laws of Virginia in 1930. Our rich 122-year history has instilled the principles of quality, value, and integrity in everything we do, while simultaneously providing us with the expertise to respond to ever-changing consumer tastes and meet the demands of a global economy.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88 BHF stores at March 2, 2024,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BHF stores feature custom order furniture,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Digital outreach strategies have become the primary vehicle for brand advertising and customer acquisition. As a result, we have been engaged in a multi-year cross-functional digital transformation initiative with the first phase consisting of the examination and improvement of our underlying data management processes. During fiscal 2022, we implemented a comprehensive Product Information Management system which allows us to enhance and standardize our product development and data management and governance processes. This results in more consistent data that our merchandizing and sales teams can use in analyzing various product and sales trends in order to make better informed decisions. We also introduced a new web platform in August of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We plan to implement several enhancements to the site in 2024 that we believe will improve the overall customer experience and brand presentation. While we have made it easier to purchase on-line, we will not compromise our in-store experience or the quality of our in-home makeover capabilities.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a mid-priced e-commerce furniture retailer headquartered in Montreal, Canada. Noa Home has operations in Canada, Singapore and the United Kingdom. With a lean staffing model, the Noa Home team has built an operational blueprint that has the potential for significant growth. We believe the acquisition will provide Bassett with a greater online presence and will allow us to attract more digitally native consumers. We are currently in the process of expanding Noa Home’s product assortment and categories offered on the Canadian website. In August of 2023, we introduced the Noa Home brand in the United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2018, we added outdoor furniture to our offerings with the acquisition of the Lane Venture brand. Our strategy is to distribute these products outside of our BHF store network through independent sales representatives each of which have a stated geographic territory. Using Lane Venture as a platform, we developed the Bassett Outdoor brand that is only marketed through the BHF store network. This allows Bassett branded products to move from inside the home to outside the home to capitalize on the growing trend of outdoor living.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factories in Martinsville and Bassett, Virginia that assemble and finish our custom bedroom and dining offerings. In 2022, we purchased a facility which we had formerly leased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and China. Over 75% of our wholesale revenues are derived from products that are manufactured in the United States using a mix of domestic and globally sourced components and raw materials.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we opened two new Corporate-owned stores located in Tampa, Florida and Houston, Texas. As of March 2, 2024, we had 58 Corporate-owned stores operating. One licensee-owned store in La Jolla, California was closed during the first quarter of 2024. As of March 2, 2024 there were 30 licensee-owned stores in operation.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Continuing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Periods ended March 2, 2024 compared with the periods ended February 25,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 of continuing operations for the three months ended March 2, 2024 and February 25, 2023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20" w:type="dxa"/>
            <w:vAlign w:val="bottom"/>
            <w:gridSpan w:val="5"/>
          </w:tcPr>
          <w:p>
            <w:pPr>
              <w:jc w:val="right"/>
              <w:ind w:right="810"/>
              <w:spacing w:after="0"/>
              <w:rPr>
                <w:sz w:val="20"/>
                <w:szCs w:val="20"/>
                <w:color w:val="auto"/>
              </w:rPr>
            </w:pPr>
            <w:r>
              <w:rPr>
                <w:rFonts w:ascii="Times New Roman" w:cs="Times New Roman" w:eastAsia="Times New Roman" w:hAnsi="Times New Roman"/>
                <w:sz w:val="18"/>
                <w:szCs w:val="18"/>
                <w:color w:val="auto"/>
              </w:rPr>
              <w:t>Quarter Ended</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3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2, 2024*</w:t>
            </w: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February 25, 2023</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Dollars</w:t>
            </w: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Percent</w:t>
            </w:r>
          </w:p>
        </w:tc>
        <w:tc>
          <w:tcPr>
            <w:tcW w:w="200" w:type="dxa"/>
            <w:vAlign w:val="bottom"/>
          </w:tcPr>
          <w:p>
            <w:pPr>
              <w:spacing w:after="0"/>
              <w:rPr>
                <w:sz w:val="18"/>
                <w:szCs w:val="18"/>
                <w:color w:val="auto"/>
              </w:rPr>
            </w:pPr>
          </w:p>
        </w:tc>
      </w:tr>
      <w:tr>
        <w:trPr>
          <w:trHeight w:val="209"/>
        </w:trPr>
        <w:tc>
          <w:tcPr>
            <w:tcW w:w="3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86,554</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107,698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(21,144)</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26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38,687</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50,501</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(11,814)</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47,867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57,197</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(9,330)</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26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50,224</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54,495</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(4,271)</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(2,357)</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2,702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(5,059)</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-187.2%</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weeks for fiscal 2024 as compared with 13 weeks for fiscal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sales revenue for the three months ended March 2, 2024 decreased $21,144 or 20% from the prior year period due to a 22% decline in wholesale sales along with a 17% decrease in retail sales through the Company-owned stores and a 37% decline in sales at Noa Home.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margins for the three months ended March 2, 2024 increased 220 basis points over the prior year period.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as a percentage of sales for the three months ended March 2, 2024 increased 740 basis points from 2023 primarily due to the deleverage of fixed costs caused by lower sales volumes.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strategically aligned our business into three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223" w:lineRule="exact"/>
        <w:rPr>
          <w:sz w:val="20"/>
          <w:szCs w:val="20"/>
          <w:color w:val="auto"/>
        </w:rPr>
      </w:pPr>
    </w:p>
    <w:p>
      <w:pPr>
        <w:jc w:val="both"/>
        <w:ind w:left="660" w:right="2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Corporate and other includes the shared costs of corporate functions such as treasury and finance, information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human resources, legal and others, including certain product development and marketing functions benefitting both wholesale and retail operations. We consider our corporate functions to be other business activities and have aggregated them with our other insignificant operating segment, Noa Home, which was acquired on September 2,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are included in consolidated income from operations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Quarter Ended March 2, 2024</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color w:val="auto"/>
                <w:w w:val="99"/>
              </w:rPr>
              <w:t>Non-GAAP Presentation</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Special</w:t>
            </w: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GAAP Presentation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2"/>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Corporate &amp;</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Wholesale</w:t>
            </w:r>
          </w:p>
        </w:tc>
        <w:tc>
          <w:tcPr>
            <w:tcW w:w="300" w:type="dxa"/>
            <w:vAlign w:val="bottom"/>
          </w:tcPr>
          <w:p>
            <w:pPr>
              <w:spacing w:after="0"/>
              <w:rPr>
                <w:sz w:val="20"/>
                <w:szCs w:val="20"/>
                <w:color w:val="auto"/>
              </w:rPr>
            </w:pPr>
          </w:p>
        </w:tc>
        <w:tc>
          <w:tcPr>
            <w:tcW w:w="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20"/>
                <w:szCs w:val="20"/>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Other</w:t>
            </w:r>
          </w:p>
        </w:tc>
        <w:tc>
          <w:tcPr>
            <w:tcW w:w="14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20"/>
                <w:szCs w:val="20"/>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Items</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Consolidated</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53,754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(23,762(1)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86,554</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36,709</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24,741</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809</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(23,572(2)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17,991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1,053</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47,867</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11,231</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30,625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8,648</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(280(3)</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413"/>
        </w:trPr>
        <w:tc>
          <w:tcPr>
            <w:tcW w:w="328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580" w:type="dxa"/>
            <w:vAlign w:val="bottom"/>
            <w:tcBorders>
              <w:top w:val="single" w:sz="8" w:color="auto"/>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Quarter Ended February 25, 2023</w:t>
            </w: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color w:val="auto"/>
                <w:w w:val="99"/>
              </w:rPr>
              <w:t>Non-GAAP Presentation</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Special</w:t>
            </w: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GAAP Presentation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2"/>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Corporate &amp;</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Wholesale</w:t>
            </w:r>
          </w:p>
        </w:tc>
        <w:tc>
          <w:tcPr>
            <w:tcW w:w="300" w:type="dxa"/>
            <w:vAlign w:val="bottom"/>
          </w:tcPr>
          <w:p>
            <w:pPr>
              <w:spacing w:after="0"/>
              <w:rPr>
                <w:sz w:val="20"/>
                <w:szCs w:val="20"/>
                <w:color w:val="auto"/>
              </w:rPr>
            </w:pPr>
          </w:p>
        </w:tc>
        <w:tc>
          <w:tcPr>
            <w:tcW w:w="9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20"/>
                <w:szCs w:val="20"/>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Other</w:t>
            </w:r>
          </w:p>
        </w:tc>
        <w:tc>
          <w:tcPr>
            <w:tcW w:w="14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Eliminations</w:t>
            </w:r>
          </w:p>
        </w:tc>
        <w:tc>
          <w:tcPr>
            <w:tcW w:w="200" w:type="dxa"/>
            <w:vAlign w:val="bottom"/>
          </w:tcPr>
          <w:p>
            <w:pPr>
              <w:spacing w:after="0"/>
              <w:rPr>
                <w:sz w:val="20"/>
                <w:szCs w:val="20"/>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Items</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Consolidated</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69,884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64,962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(30,099(1)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107,698</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48,278</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30,586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1,433</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(29,796(2)</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21,606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34,376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57,197</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12,612</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32,846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9,289</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(252(3)</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(7,771)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segment consolidation table:</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 as well as the change for the period in the elimination of intercompany profit in ending retail inventory.</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wholesale segment for the three months ended March 2, 2024 and February 25,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color w:val="auto"/>
              </w:rPr>
              <w:t>Quarter Ended</w:t>
            </w: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Change</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 2024*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February 25, 2023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Dollars</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r>
      <w:tr>
        <w:trPr>
          <w:trHeight w:val="209"/>
        </w:trPr>
        <w:tc>
          <w:tcPr>
            <w:tcW w:w="3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54,700</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69,884</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(15,184)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3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28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17,991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21,606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11,231</w:t>
            </w: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12,612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6,760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8,994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0"/>
        </w:trPr>
        <w:tc>
          <w:tcPr>
            <w:tcW w:w="3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 weeks for fiscal 2024 as compared with 13 weeks for fiscal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sales by major product category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568"/>
              <w:spacing w:after="0"/>
              <w:rPr>
                <w:sz w:val="20"/>
                <w:szCs w:val="20"/>
                <w:color w:val="auto"/>
              </w:rPr>
            </w:pPr>
            <w:r>
              <w:rPr>
                <w:rFonts w:ascii="Times New Roman" w:cs="Times New Roman" w:eastAsia="Times New Roman" w:hAnsi="Times New Roman"/>
                <w:sz w:val="14"/>
                <w:szCs w:val="14"/>
                <w:color w:val="auto"/>
              </w:rPr>
              <w:t>Quarter Ended</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Total Change</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March 2, 2024*</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February 25, 2023</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External</w:t>
            </w:r>
          </w:p>
        </w:tc>
        <w:tc>
          <w:tcPr>
            <w:tcW w:w="1060" w:type="dxa"/>
            <w:vAlign w:val="bottom"/>
            <w:tcBorders>
              <w:top w:val="single" w:sz="8" w:color="auto"/>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Intercompany</w:t>
            </w:r>
          </w:p>
        </w:tc>
        <w:tc>
          <w:tcPr>
            <w:tcW w:w="3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color w:val="auto"/>
              </w:rPr>
              <w:t>External</w:t>
            </w:r>
          </w:p>
        </w:tc>
        <w:tc>
          <w:tcPr>
            <w:tcW w:w="100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Intercompany</w:t>
            </w:r>
          </w:p>
        </w:tc>
        <w:tc>
          <w:tcPr>
            <w:tcW w:w="4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Dollars</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Bassett Custom Upholstery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20,375</w:t>
            </w:r>
          </w:p>
        </w:tc>
        <w:tc>
          <w:tcPr>
            <w:tcW w:w="3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14,767</w:t>
            </w:r>
          </w:p>
        </w:tc>
        <w:tc>
          <w:tcPr>
            <w:tcW w:w="38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35,142</w:t>
            </w:r>
          </w:p>
        </w:tc>
        <w:tc>
          <w:tcPr>
            <w:tcW w:w="5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24,506</w:t>
            </w:r>
          </w:p>
        </w:tc>
        <w:tc>
          <w:tcPr>
            <w:tcW w:w="2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19,344</w:t>
            </w:r>
          </w:p>
        </w:tc>
        <w:tc>
          <w:tcPr>
            <w:tcW w:w="420" w:type="dxa"/>
            <w:vAlign w:val="bottom"/>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43,850</w:t>
            </w:r>
          </w:p>
        </w:tc>
        <w:tc>
          <w:tcPr>
            <w:tcW w:w="5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(8,708)</w:t>
            </w:r>
          </w:p>
        </w:tc>
        <w:tc>
          <w:tcPr>
            <w:tcW w:w="6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Bassett Leather</w:t>
            </w:r>
          </w:p>
        </w:tc>
        <w:tc>
          <w:tcPr>
            <w:tcW w:w="10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3,955</w:t>
            </w:r>
          </w:p>
        </w:tc>
        <w:tc>
          <w:tcPr>
            <w:tcW w:w="3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38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4,490</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6,805</w:t>
            </w:r>
          </w:p>
        </w:tc>
        <w:tc>
          <w:tcPr>
            <w:tcW w:w="2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42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6,823</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(2,333)</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Bassett Custom Wood</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3,751</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4,892</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8,643</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4,876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5,940</w:t>
            </w: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10,816</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(2,173)</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Bassett Casegoods</w:t>
            </w:r>
          </w:p>
        </w:tc>
        <w:tc>
          <w:tcPr>
            <w:tcW w:w="100" w:type="dxa"/>
            <w:vAlign w:val="bottom"/>
          </w:tcPr>
          <w:p>
            <w:pPr>
              <w:spacing w:after="0"/>
              <w:rPr>
                <w:sz w:val="12"/>
                <w:szCs w:val="12"/>
                <w:color w:val="auto"/>
              </w:rPr>
            </w:pPr>
          </w:p>
        </w:tc>
        <w:tc>
          <w:tcPr>
            <w:tcW w:w="8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2,857</w:t>
            </w:r>
          </w:p>
        </w:tc>
        <w:tc>
          <w:tcPr>
            <w:tcW w:w="3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3,568</w:t>
            </w:r>
          </w:p>
        </w:tc>
        <w:tc>
          <w:tcPr>
            <w:tcW w:w="380" w:type="dxa"/>
            <w:vAlign w:val="bottom"/>
          </w:tcPr>
          <w:p>
            <w:pPr>
              <w:spacing w:after="0"/>
              <w:rPr>
                <w:sz w:val="12"/>
                <w:szCs w:val="12"/>
                <w:color w:val="auto"/>
              </w:rPr>
            </w:pPr>
          </w:p>
        </w:tc>
        <w:tc>
          <w:tcPr>
            <w:tcW w:w="7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6,425</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3,598</w:t>
            </w:r>
          </w:p>
        </w:tc>
        <w:tc>
          <w:tcPr>
            <w:tcW w:w="24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4,797</w:t>
            </w:r>
          </w:p>
        </w:tc>
        <w:tc>
          <w:tcPr>
            <w:tcW w:w="420" w:type="dxa"/>
            <w:vAlign w:val="bottom"/>
          </w:tcPr>
          <w:p>
            <w:pPr>
              <w:spacing w:after="0"/>
              <w:rPr>
                <w:sz w:val="12"/>
                <w:szCs w:val="12"/>
                <w:color w:val="auto"/>
              </w:rPr>
            </w:pPr>
          </w:p>
        </w:tc>
        <w:tc>
          <w:tcPr>
            <w:tcW w:w="6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8,395</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(1,970)</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30,938</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23,762</w:t>
            </w:r>
          </w:p>
        </w:tc>
        <w:tc>
          <w:tcPr>
            <w:tcW w:w="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54,700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39,785</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30,099</w:t>
            </w:r>
          </w:p>
        </w:tc>
        <w:tc>
          <w:tcPr>
            <w:tcW w:w="4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69,884</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(15,184)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weeks for fiscal 2024 as compared with 13 weeks for fiscal 2023.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Wholesale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for the three months ended March 2, 2024 decreased $15,184 or 22% from the prior year period due primarily to a 20% decrease in shipments to the open market, a 21% decrease in shipments to our retail store network and a 26% decrease in Lane Venture shipments. Gross margins for the three months ended March 2, 2024 increased 200 basis points over the prior year primarily due to the expected improvement in the Bassett Leather business.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We expect further margin improvement in the second quarter of 2024 with a return to normal margins in the third quarter of 2024. Margins in our Bassett Casegoods business also improved as expected primarily due to shipping more product that contained lower in-bound freight costs. In addition, margins in our Bassett Custom Wood business increased due to lower material costs, partially offset by deleverage of fixed manufacturing costs from lower sales volumes. SG&amp;A expenses as a percentage of sales increased 250 basis points primarily due to reduced leverage of fixed costs from decreased sales.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backlog at March 2, 2024 was $19,491 as compared to $18,478 at November 25, 2023 and $24,895 at February 25,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Retail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retail segment for the periods ended March 2, 2024 and February 25, 2023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Quarter Ended</w:t>
            </w:r>
          </w:p>
        </w:tc>
        <w:tc>
          <w:tcPr>
            <w:tcW w:w="1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2, 2024*</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Dollars</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w:t>
            </w:r>
          </w:p>
        </w:tc>
        <w:tc>
          <w:tcPr>
            <w:tcW w:w="180" w:type="dxa"/>
            <w:vAlign w:val="bottom"/>
          </w:tcPr>
          <w:p>
            <w:pPr>
              <w:spacing w:after="0"/>
              <w:rPr>
                <w:sz w:val="19"/>
                <w:szCs w:val="19"/>
                <w:color w:val="auto"/>
              </w:rPr>
            </w:pPr>
          </w:p>
        </w:tc>
      </w:tr>
      <w:tr>
        <w:trPr>
          <w:trHeight w:val="209"/>
        </w:trPr>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53,754</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64,962</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(11,208)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26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300" w:type="dxa"/>
            <w:vAlign w:val="bottom"/>
          </w:tcPr>
          <w:p>
            <w:pPr>
              <w:spacing w:after="0"/>
              <w:rPr>
                <w:sz w:val="18"/>
                <w:szCs w:val="18"/>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29,013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34,376</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(5,363)</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30,625</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32,846</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(2,221)</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6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5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(1,612)</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1,530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(3,142)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-205.4%</w:t>
            </w:r>
          </w:p>
        </w:tc>
      </w:tr>
      <w:tr>
        <w:trPr>
          <w:trHeight w:val="20"/>
        </w:trPr>
        <w:tc>
          <w:tcPr>
            <w:tcW w:w="2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 weeks for fiscal 2024 as compared with 13 weeks for fiscal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Quarter Ended</w:t>
            </w:r>
          </w:p>
        </w:tc>
        <w:tc>
          <w:tcPr>
            <w:tcW w:w="1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2, 2024*</w:t>
            </w:r>
          </w:p>
        </w:tc>
        <w:tc>
          <w:tcPr>
            <w:tcW w:w="4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February 25, 2023</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Dollars</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29,803</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36,159</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(6,356)</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300" w:type="dxa"/>
            <w:vAlign w:val="bottom"/>
          </w:tcPr>
          <w:p>
            <w:pPr>
              <w:spacing w:after="0"/>
              <w:rPr>
                <w:sz w:val="18"/>
                <w:szCs w:val="18"/>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827</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494</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333</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8,198</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9,669</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(1,471)</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300" w:type="dxa"/>
            <w:vAlign w:val="bottom"/>
          </w:tcPr>
          <w:p>
            <w:pPr>
              <w:spacing w:after="0"/>
              <w:rPr>
                <w:sz w:val="18"/>
                <w:szCs w:val="18"/>
                <w:color w:val="auto"/>
              </w:rPr>
            </w:pP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7,385</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10,050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(2,665)</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Accessories, mattresses and other</w:t>
            </w:r>
          </w:p>
        </w:tc>
        <w:tc>
          <w:tcPr>
            <w:tcW w:w="3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7,541</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8,590</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(1,049)</w:t>
            </w:r>
          </w:p>
        </w:tc>
        <w:tc>
          <w:tcPr>
            <w:tcW w:w="9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1"/>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53,754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64,962</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(11,208)</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right="240" w:hanging="320"/>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 weeks for fiscal 2024 as compared with 13 weeks for fiscal 2023.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Quarterly Results - Retail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March 2, 2024 decreased $11,208 or 17% from the prior year period. Written sales (the value of sales orders taken but not delivered) declined 3.5% from the first quarter of 2023. Gross margin for the three months ended March 2, 2024 improved 110 basis points over the prior period primarily due to higher margins on in-line and clearance goods from improved pricing disciplines. SG&amp;A expenses as a percentage of sales for the three months ended March 2, 2024 increased 640 basis points primarily due to decreased leverage of fixed costs from lower sales volumes.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Backlog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March 2, 2024 was $31,307 compared to $30,902 at November 25, 2023 and $41,763 at February 25,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costs and expenses of corporate and other for the three months ended March 2, 2023 and February 25, 2023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Quarter Ended</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3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February 25,</w:t>
            </w: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32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March 2,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Dollars</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Percent</w:t>
            </w:r>
          </w:p>
        </w:tc>
      </w:tr>
      <w:tr>
        <w:trPr>
          <w:trHeight w:val="209"/>
        </w:trPr>
        <w:tc>
          <w:tcPr>
            <w:tcW w:w="3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(1,089)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3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1,518</w:t>
            </w:r>
          </w:p>
        </w:tc>
        <w:tc>
          <w:tcPr>
            <w:tcW w:w="22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(465)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expenses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9,289</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(641)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33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4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weeks for fiscal 2024 as compared with 13 weeks for fiscal 2023.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Quarterly Results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Corporate and Other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decreases in sales and gross profit from the prior year period were primarily due to a shift in the second quarter of 2023 where Noa Home reduced advertising spend to improve advertising efficiency which resulted in lower overall sales but with greater leverage on advertising spend coupled with Noa Home’s exit of the Australia market during the first quarter of 2024. The $641 decrease in SG&amp;A expenses was primarily due to decreased advertising and marketing spending by Noa Home partially offset by a slight increase in overall corporate overhead spending.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Items Affecting Net Income (Loss)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2, 2024 was $756 compared to $152 for the three months ended February 25, 2023. The net change from the prior year period was primarily due to higher interest income on our cash equivalents and investments in certificates of deposit.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loss, net, for the three months ended March 2, 2024 was $104 compared to $567 for the three months ended February 25, 2023. The net change from the prior year periods was primarily due to lower costs associated with Company-owned life 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an anticipated effective tax rate for the year based on our annual estimates of pretax income and use that effective tax rate to record our year-to-date income tax provision. Any change in annual projections of pretax income could have a significant impact on our effective tax rate for the respective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30.0% and 36.8% for the three months ended March 2, 2024 and February 25, 2023, respectively. The effective rates differed from the federal statutory rate of 21% primarily due to increases in the valuation allowance placed on deferred tax assets associated with Noa Home and the effects of state income taxes and various permanent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operations for the first quarter of fiscal 2024 was $7,736 compared to cash provided by operations of $563 for the first quarter of fiscal 2023, representing a decrease of $8,302 in cash flows from operations. This decrease was primarily the result of changes in working capital due to the timing impact of expenditures as a result of an additional week in the first quarter of 2024 coupled with lower net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overall cash position declined $11,798 during the first quarter of 2024 compared to a decrease of $6,733 for the first quarter of 2023. During the first quarter of fiscal 2024, we spent $2,076 on purchases of property and equipment primarily consisting of the upfit of the new Tampa, Florida and Houston, Texas stores that opened in the first quarter of 2024, final payments on the Austin, Texas store remodel and expenditures related to various information technology and manufacturing plant projects. We also paid $1,573 in dividends during the first quarter of 2024. We made no purchases under our stock repurchase program during the first quarter of 2024 compared to $1,421 repurchased in the prior year period. We expect capital expenditures for the full year to range from $12 million to $14 million. As of March 2, 2024, $21,823 remains available for future purchases under our stock repurchase plan. With cash and cash equivalents and short-term investments totaling $58,384 on hand at March 2, 2024, expected future operating cash flows and the availability under our credit line noted below, we believe we have sufficient liquidity to fund operations for the foreseeable future.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bank credit facility provides for a line of credit of up to $25,000. At March 2, 2024, we had $3,731 outstanding under standby letters of credit against our line, leaving availability under our credit line of $21,269. The line bears interest at the One-Month Term Secured Overnight Financing Rate (“One-Month Term SOFR”) plus 1.5% and is unsecured. Our bank charges a fee of 0.25% on the daily unused balance of the line, payable quarterly. Under the terms of the facility, we must maintain the following financial covenants, measured quarterly on a rolling twelve-month basis:</w:t>
      </w:r>
    </w:p>
    <w:p>
      <w:pPr>
        <w:spacing w:after="0" w:line="18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1.4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lease-adjusted leverage ratio not to exceed 3.0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tangible net worth of $140,000.</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results of operations in 2023, we were not in compliance with certain of these covenants at the end of our 2023 fiscal year. Consequently, our bank agreed to reduce the consolidated fixed charge coverage ratio to 1.0 times and increase the consolidated lease-adjusted leverage ratio to 3.75 times, as defined, for the year ended November 25, 2023 and the quarter ended March 2, 2024. We were in compliance with the amended covenants at November 25, 2023 and at March 2, 2024. The respective ratios will revert back to the previous values for the quarter ending June 1, 2024. We are in negotiations with our bank and plan to have an amended, restated or new agreement with a similar line of credit in place by the end of the second quarter of 2024.</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one of our licensee-owned stores, and we lease land and buildings used in our wholesale manufacturing operations. We also lease local delivery trucks used in our retail segment. The present value of our obligations for leases with terms in excess of one year at March 2, 2024 is $113,143 and is included in our accompanying condensed consolidated balance sheet at March 2, 2024. We were contingently liable under a licensee lease obligation guarantee in the amount of $1,750 at March 2, 2024. The remaining term under this lease guarantee extends for four and a half years. See Note 9 to our condensed consolidated financial statements for additional details regarding our lease guarantees.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Retail Real Estate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substantial investment in real estate acquired for use as retail locations and occupied by Company-owned retail stores. Such real estate is included in property and equipment, net, in the accompanying condensed consolidated balance sheets and consists of eight properties with an aggregate square footage of 203,465 and a net book value of $24,193 at March 2, 2024.</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25,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In addition, we have guaranteed certain lease obligations of licensee operators for some of their store locations. See Note 9 to our condensed consolidated financial statements for further discussion of lease guarantees, including descriptions of the terms of such commitments and methods used to mitigate risks associated with these arrangements.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PART I-FINANCIAL INFORMATION-CONTINUED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9 to our condensed consolidated financial statements for further information regarding certain contingencies as of March 2,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2023. We are also exposed to foreign currency market risk through our investment in Noa Home. Our investment in Noa Home is subject to changes in the value of the Canadian dollar versus the U.S. dollar. Additionally, Noa Home is exposed to other local currency fluctuation risk through its operations in Australia, Singapore and the United Kingdom. The impact of currency fluctuations on our financial position and results of operations of Noa Home has not been significant.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$24,193 at March 2, 2024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 of $1,750 which we have guaranteed on behalf of a licensee as of March 2, 2024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March 2, 2024, the unamortized balance of such right-of-use assets used in continuing operations totaled $99,082. Should we have to close or otherwise abandon one of these leased locations, we could incur additional impairment charges if rental market conditions do not support a fair value for the right of use asset in excess of its carrying value.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PART II - OTHER INFORMATION</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MARCH 2, 2024</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(Dollars 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repurchase Company stock under a plan which was originally announced in 1998. On March 9, 2022, the Board of Directors increased the remaining limit of the repurchase plan to $40,000. We did not repurchase any shares pursuant to the plan during the quarter ended March 2, 2024. At March 2, 2024, $21,823 remained available for share repurchases under the plan.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3a – Articles of Incorporation as amended to date are incorporated herein by reference to the Exhibit to Form 10-Q for the fiscal quarter ended February 28, 1994.</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3b – </w:t>
      </w:r>
      <w:hyperlink r:id="rId43">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January 16, 2024.</w:t>
        </w:r>
      </w:hyperlink>
    </w:p>
    <w:p>
      <w:pPr>
        <w:spacing w:after="0" w:line="22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4 – Registrant hereby agrees to furnish the SEC, upon request, other instruments defining the rights of holders of long-term debt of the Registrant.</w:t>
      </w:r>
    </w:p>
    <w:p>
      <w:pPr>
        <w:spacing w:after="0" w:line="161" w:lineRule="exact"/>
        <w:rPr>
          <w:rFonts w:ascii="Times New Roman" w:cs="Times New Roman" w:eastAsia="Times New Roman" w:hAnsi="Times New Roman"/>
          <w:sz w:val="18"/>
          <w:szCs w:val="18"/>
          <w:color w:val="auto"/>
        </w:rPr>
      </w:pPr>
    </w:p>
    <w:p>
      <w:pPr>
        <w:jc w:val="both"/>
        <w:ind w:left="340" w:right="282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Exhibit 31a – </w:t>
      </w:r>
      <w:r>
        <w:rPr>
          <w:rFonts w:ascii="Times New Roman" w:cs="Times New Roman" w:eastAsia="Times New Roman" w:hAnsi="Times New Roman"/>
          <w:sz w:val="17"/>
          <w:szCs w:val="17"/>
          <w:u w:val="single" w:color="auto"/>
          <w:color w:val="0000EE"/>
        </w:rPr>
        <w:t>Chief Executive Officer’s certification pursuant to Section 302 of the Sarbanes-Oxley Act of 2002</w:t>
      </w:r>
      <w:r>
        <w:rPr>
          <w:rFonts w:ascii="Times New Roman" w:cs="Times New Roman" w:eastAsia="Times New Roman" w:hAnsi="Times New Roman"/>
          <w:sz w:val="17"/>
          <w:szCs w:val="17"/>
          <w:color w:val="auto"/>
        </w:rPr>
        <w:t xml:space="preserve"> Exhibit 31b – </w:t>
      </w:r>
      <w:r>
        <w:rPr>
          <w:rFonts w:ascii="Times New Roman" w:cs="Times New Roman" w:eastAsia="Times New Roman" w:hAnsi="Times New Roman"/>
          <w:sz w:val="17"/>
          <w:szCs w:val="17"/>
          <w:u w:val="single" w:color="auto"/>
          <w:color w:val="0000EE"/>
        </w:rPr>
        <w:t>Chief Financial Officer’s certification pursuant to Section 302 of the Sarbanes-Oxley Act of 2002</w:t>
      </w: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32a – </w:t>
      </w:r>
      <w:r>
        <w:rPr>
          <w:rFonts w:ascii="Times New Roman" w:cs="Times New Roman" w:eastAsia="Times New Roman" w:hAnsi="Times New Roman"/>
          <w:sz w:val="18"/>
          <w:szCs w:val="18"/>
          <w:u w:val="single" w:color="auto"/>
          <w:color w:val="0000EE"/>
        </w:rPr>
        <w:t>Chief Executive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1"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32b – </w:t>
      </w:r>
      <w:r>
        <w:rPr>
          <w:rFonts w:ascii="Times New Roman" w:cs="Times New Roman" w:eastAsia="Times New Roman" w:hAnsi="Times New Roman"/>
          <w:sz w:val="18"/>
          <w:szCs w:val="18"/>
          <w:u w:val="single" w:color="auto"/>
          <w:color w:val="0000EE"/>
        </w:rPr>
        <w:t>Chief Financial Officer’s certification pursuant to 18 U.S.C. 1350, as adopted pursuant to Section 906 of the Sarbanes-Oxley Act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2002</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101.INS Inline XBRL Instance</w:t>
      </w:r>
    </w:p>
    <w:p>
      <w:pPr>
        <w:spacing w:after="0" w:line="225" w:lineRule="exact"/>
        <w:rPr>
          <w:rFonts w:ascii="Times New Roman" w:cs="Times New Roman" w:eastAsia="Times New Roman" w:hAnsi="Times New Roman"/>
          <w:sz w:val="18"/>
          <w:szCs w:val="18"/>
          <w:color w:val="auto"/>
        </w:rPr>
      </w:pPr>
    </w:p>
    <w:p>
      <w:pPr>
        <w:ind w:left="340" w:right="622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Exhibit 101.SCH Inline XBRL Taxonomy Extension Schema Exhibit 101.CAL Inline XBRL Taxonomy Extension Calculation Exhibit 101.DEF Inline XBRL Taxonomy Extension Definition Exhibit 101.LAB Inline XBRL Taxonomy Extension Labels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508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99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99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30 of 34</w:t>
      </w:r>
    </w:p>
    <w:p>
      <w:pPr>
        <w:sectPr>
          <w:pgSz w:w="11900" w:h="16838" w:orient="portrait"/>
          <w:cols w:equalWidth="0" w:num="1">
            <w:col w:w="10400"/>
          </w:cols>
          <w:pgMar w:left="320" w:top="580" w:right="11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99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Chief Executive Officer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 of 34</w:t>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99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 Senior Vice President and Chief Financial Officer</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 of 34</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March 2, 2024,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H. S</w:t>
      </w:r>
      <w:r>
        <w:rPr>
          <w:rFonts w:ascii="Times New Roman" w:cs="Times New Roman" w:eastAsia="Times New Roman" w:hAnsi="Times New Roman"/>
          <w:sz w:val="12"/>
          <w:szCs w:val="12"/>
          <w:color w:val="auto"/>
        </w:rPr>
        <w:t>pilman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99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 of 34</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Bassett Furniture Industries, Incorporated (the “Company”) on Form 10-Q for the period ending March 2, 2024,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53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April 3, 2024</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499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 of 34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3" Type="http://schemas.openxmlformats.org/officeDocument/2006/relationships/hyperlink" Target="http://www.sec.gov/ix?doc=/Archives/edgar/data/0000010329/000143774924001417/bset2024011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2024-04-03T08:47:27Z</dcterms:created>
  <dcterms:modified xsi:type="dcterms:W3CDTF">2024-04-03T08:47:27Z</dcterms:modified>
</cp:coreProperties>
</file>