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3"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2180" w:right="3799" w:hanging="1048"/>
        <w:spacing w:after="0" w:line="237" w:lineRule="auto"/>
        <w:tabs>
          <w:tab w:leader="none" w:pos="151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pacing w:after="0" w:line="18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QUARTERLY PERIOD ENDED AUGUST 29, 1998</w:t>
      </w:r>
    </w:p>
    <w:p>
      <w:pPr>
        <w:spacing w:after="0" w:line="183"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OR</w:t>
      </w:r>
    </w:p>
    <w:p>
      <w:pPr>
        <w:spacing w:after="0" w:line="368" w:lineRule="exact"/>
        <w:rPr>
          <w:sz w:val="24"/>
          <w:szCs w:val="24"/>
          <w:color w:val="auto"/>
        </w:rPr>
      </w:pPr>
    </w:p>
    <w:p>
      <w:pPr>
        <w:ind w:left="2180" w:right="3699" w:hanging="1048"/>
        <w:spacing w:after="0" w:line="237" w:lineRule="auto"/>
        <w:tabs>
          <w:tab w:leader="none" w:pos="132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 (d) OF THE SECURITIES EXCHANGE ACT OF 1934</w:t>
      </w:r>
    </w:p>
    <w:p>
      <w:pPr>
        <w:spacing w:after="0" w:line="188" w:lineRule="exact"/>
        <w:rPr>
          <w:sz w:val="24"/>
          <w:szCs w:val="24"/>
          <w:color w:val="auto"/>
        </w:rPr>
      </w:pPr>
    </w:p>
    <w:p>
      <w:pPr>
        <w:ind w:left="840"/>
        <w:spacing w:after="0"/>
        <w:rPr>
          <w:sz w:val="20"/>
          <w:szCs w:val="20"/>
          <w:color w:val="auto"/>
        </w:rPr>
      </w:pPr>
      <w:r>
        <w:rPr>
          <w:rFonts w:ascii="Courier New" w:cs="Courier New" w:eastAsia="Courier New" w:hAnsi="Courier New"/>
          <w:sz w:val="15"/>
          <w:szCs w:val="15"/>
          <w:color w:val="auto"/>
        </w:rPr>
        <w:t>For the transition period from ______________ to ______________</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 0-209</w:t>
      </w:r>
    </w:p>
    <w:p>
      <w:pPr>
        <w:spacing w:after="0" w:line="36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Virginia</w:t>
      </w:r>
    </w:p>
    <w:p>
      <w:pPr>
        <w:spacing w:after="0" w:line="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54-0135270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280" w:space="720"/>
            <w:col w:w="5219"/>
          </w:cols>
          <w:pgMar w:left="240" w:top="235" w:right="1440" w:bottom="1440" w:gutter="0" w:footer="0" w:header="0"/>
          <w:type w:val="continuous"/>
        </w:sectPr>
      </w:pPr>
    </w:p>
    <w:p>
      <w:pPr>
        <w:spacing w:after="0" w:line="172"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3525 Fairystone Park Highway</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Bassett, Virginia 24055</w:t>
      </w:r>
    </w:p>
    <w:p>
      <w:pPr>
        <w:spacing w:after="0" w:line="1"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8"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(Zip Code)</w:t>
      </w:r>
    </w:p>
    <w:p>
      <w:pPr>
        <w:sectPr>
          <w:pgSz w:w="11900" w:h="16838" w:orient="portrait"/>
          <w:cols w:equalWidth="0" w:num="1">
            <w:col w:w="10219"/>
          </w:cols>
          <w:pgMar w:left="240" w:top="235" w:right="1440" w:bottom="1440" w:gutter="0" w:footer="0" w:header="0"/>
          <w:type w:val="continuous"/>
        </w:sectPr>
      </w:pPr>
    </w:p>
    <w:p>
      <w:pPr>
        <w:spacing w:after="0" w:line="36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(540) 629-6000</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be filed by Section 13 or 15(d) of the Securities Exchange Act of 1934 during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preceding 12 months, and (2) has been subject to such filing requirements</w:t>
      </w:r>
    </w:p>
    <w:p>
      <w:pPr>
        <w:spacing w:after="0" w:line="1" w:lineRule="exact"/>
        <w:rPr>
          <w:sz w:val="24"/>
          <w:szCs w:val="24"/>
          <w:color w:val="auto"/>
        </w:rPr>
      </w:pPr>
    </w:p>
    <w:p>
      <w:pPr>
        <w:spacing w:after="0"/>
        <w:tabs>
          <w:tab w:leader="none" w:pos="2720" w:val="left"/>
          <w:tab w:leader="none" w:pos="3480" w:val="left"/>
        </w:tabs>
        <w:rPr>
          <w:sz w:val="20"/>
          <w:szCs w:val="20"/>
          <w:color w:val="auto"/>
        </w:rPr>
      </w:pPr>
      <w:r>
        <w:rPr>
          <w:rFonts w:ascii="Courier New" w:cs="Courier New" w:eastAsia="Courier New" w:hAnsi="Courier New"/>
          <w:sz w:val="16"/>
          <w:szCs w:val="16"/>
          <w:color w:val="auto"/>
        </w:rPr>
        <w:t>for the past 90 days. 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2560"/>
        <w:spacing w:after="0"/>
        <w:tabs>
          <w:tab w:leader="none" w:pos="3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4"/>
          <w:szCs w:val="24"/>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At October 5, 1998 12,961,252 shares of common stock of the Registrant were outstanding.</w:t>
      </w:r>
    </w:p>
    <w:p>
      <w:pPr>
        <w:spacing w:after="0" w:line="200" w:lineRule="exact"/>
        <w:rPr>
          <w:sz w:val="24"/>
          <w:szCs w:val="24"/>
          <w:color w:val="auto"/>
        </w:rPr>
      </w:pPr>
    </w:p>
    <w:p>
      <w:pPr>
        <w:spacing w:after="0" w:line="347"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1 of 17</w:t>
      </w:r>
    </w:p>
    <w:p>
      <w:pPr>
        <w:sectPr>
          <w:pgSz w:w="11900" w:h="16838" w:orient="portrait"/>
          <w:cols w:equalWidth="0" w:num="1">
            <w:col w:w="10219"/>
          </w:cols>
          <w:pgMar w:left="240" w:top="23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392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728"/>
        </w:trPr>
        <w:tc>
          <w:tcPr>
            <w:tcW w:w="5480" w:type="dxa"/>
            <w:vAlign w:val="bottom"/>
            <w:gridSpan w:val="2"/>
          </w:tcPr>
          <w:p>
            <w:pPr>
              <w:jc w:val="center"/>
              <w:ind w:left="2001"/>
              <w:spacing w:after="0"/>
              <w:rPr>
                <w:sz w:val="20"/>
                <w:szCs w:val="20"/>
                <w:color w:val="auto"/>
              </w:rPr>
            </w:pPr>
            <w:r>
              <w:rPr>
                <w:rFonts w:ascii="Courier New" w:cs="Courier New" w:eastAsia="Courier New" w:hAnsi="Courier New"/>
                <w:sz w:val="16"/>
                <w:szCs w:val="16"/>
                <w:color w:val="auto"/>
                <w:w w:val="98"/>
              </w:rPr>
              <w:t>PART I - FINANCIAL INFORMATION</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2"/>
        </w:trPr>
        <w:tc>
          <w:tcPr>
            <w:tcW w:w="5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BASSETT FURNITURE INDUSTRIES, INCORPORATED AND</w:t>
            </w:r>
          </w:p>
        </w:tc>
        <w:tc>
          <w:tcPr>
            <w:tcW w:w="198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w w:val="97"/>
              </w:rPr>
              <w:t>SUBSIDIARIES</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5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CONDENSED CONSOLIDATED STATEMENTS OF OPERATIONS</w:t>
            </w:r>
          </w:p>
        </w:tc>
        <w:tc>
          <w:tcPr>
            <w:tcW w:w="198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w w:val="97"/>
              </w:rPr>
              <w:t>AND RETAINED</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5480" w:type="dxa"/>
            <w:vAlign w:val="bottom"/>
            <w:gridSpan w:val="2"/>
          </w:tcPr>
          <w:p>
            <w:pPr>
              <w:jc w:val="center"/>
              <w:ind w:left="2001"/>
              <w:spacing w:after="0"/>
              <w:rPr>
                <w:sz w:val="20"/>
                <w:szCs w:val="20"/>
                <w:color w:val="auto"/>
              </w:rPr>
            </w:pPr>
            <w:r>
              <w:rPr>
                <w:rFonts w:ascii="Courier New" w:cs="Courier New" w:eastAsia="Courier New" w:hAnsi="Courier New"/>
                <w:sz w:val="16"/>
                <w:szCs w:val="16"/>
                <w:color w:val="auto"/>
                <w:w w:val="97"/>
              </w:rPr>
              <w:t>EARNINGS - UNAUDITED</w:t>
            </w: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5480" w:type="dxa"/>
            <w:vAlign w:val="bottom"/>
            <w:gridSpan w:val="2"/>
          </w:tcPr>
          <w:p>
            <w:pPr>
              <w:jc w:val="center"/>
              <w:ind w:left="2001"/>
              <w:spacing w:after="0"/>
              <w:rPr>
                <w:sz w:val="20"/>
                <w:szCs w:val="20"/>
                <w:color w:val="auto"/>
              </w:rPr>
            </w:pPr>
            <w:r>
              <w:rPr>
                <w:rFonts w:ascii="Courier New" w:cs="Courier New" w:eastAsia="Courier New" w:hAnsi="Courier New"/>
                <w:sz w:val="16"/>
                <w:szCs w:val="16"/>
                <w:color w:val="auto"/>
                <w:w w:val="98"/>
              </w:rPr>
              <w:t>(In thousands except per share data)</w:t>
            </w: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728"/>
        </w:trPr>
        <w:tc>
          <w:tcPr>
            <w:tcW w:w="3920" w:type="dxa"/>
            <w:vAlign w:val="bottom"/>
          </w:tcPr>
          <w:p>
            <w:pPr>
              <w:spacing w:after="0"/>
              <w:rPr>
                <w:sz w:val="24"/>
                <w:szCs w:val="24"/>
                <w:color w:val="auto"/>
              </w:rPr>
            </w:pPr>
          </w:p>
        </w:tc>
        <w:tc>
          <w:tcPr>
            <w:tcW w:w="35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Thirty-nine weeks ended</w:t>
            </w:r>
          </w:p>
        </w:tc>
        <w:tc>
          <w:tcPr>
            <w:tcW w:w="312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Thirteen weeks ended</w:t>
            </w:r>
          </w:p>
        </w:tc>
      </w:tr>
      <w:tr>
        <w:trPr>
          <w:trHeight w:val="182"/>
        </w:trPr>
        <w:tc>
          <w:tcPr>
            <w:tcW w:w="3920" w:type="dxa"/>
            <w:vAlign w:val="bottom"/>
          </w:tcPr>
          <w:p>
            <w:pPr>
              <w:spacing w:after="0"/>
              <w:rPr>
                <w:sz w:val="15"/>
                <w:szCs w:val="15"/>
                <w:color w:val="auto"/>
              </w:rPr>
            </w:pPr>
          </w:p>
        </w:tc>
        <w:tc>
          <w:tcPr>
            <w:tcW w:w="35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12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15"/>
                <w:szCs w:val="15"/>
                <w:color w:val="auto"/>
              </w:rPr>
            </w:pPr>
          </w:p>
        </w:tc>
        <w:tc>
          <w:tcPr>
            <w:tcW w:w="19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August 29, 1998</w:t>
            </w:r>
          </w:p>
        </w:tc>
        <w:tc>
          <w:tcPr>
            <w:tcW w:w="1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August 31, 1997</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August 29, 1998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August 31, 1997</w:t>
            </w:r>
          </w:p>
        </w:tc>
      </w:tr>
      <w:tr>
        <w:trPr>
          <w:trHeight w:val="182"/>
        </w:trPr>
        <w:tc>
          <w:tcPr>
            <w:tcW w:w="3920" w:type="dxa"/>
            <w:vAlign w:val="bottom"/>
          </w:tcPr>
          <w:p>
            <w:pPr>
              <w:spacing w:after="0"/>
              <w:rPr>
                <w:sz w:val="15"/>
                <w:szCs w:val="15"/>
                <w:color w:val="auto"/>
              </w:rPr>
            </w:pPr>
          </w:p>
        </w:tc>
        <w:tc>
          <w:tcPr>
            <w:tcW w:w="19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$294,761</w:t>
            </w:r>
          </w:p>
        </w:tc>
        <w:tc>
          <w:tcPr>
            <w:tcW w:w="38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$333,256</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$98,093</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$110,252</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240,962</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294,530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80,403</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101,600</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53,799</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38,726</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17,690</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8,652</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47,761</w:t>
            </w:r>
          </w:p>
        </w:tc>
        <w:tc>
          <w:tcPr>
            <w:tcW w:w="38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62,691</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15,608</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21,212</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Non-recurring charges</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16,289</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2,360</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Income (loss) from operations</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6,038</w:t>
            </w:r>
          </w:p>
        </w:tc>
        <w:tc>
          <w:tcPr>
            <w:tcW w:w="38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(40,254)</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2,082</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(14,920)</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7,837</w:t>
            </w:r>
          </w:p>
        </w:tc>
        <w:tc>
          <w:tcPr>
            <w:tcW w:w="38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9,927</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1,977</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4,486</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13,875</w:t>
            </w:r>
          </w:p>
        </w:tc>
        <w:tc>
          <w:tcPr>
            <w:tcW w:w="38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(30,327)</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4,059</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(10,434)</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(3,354)</w:t>
            </w:r>
          </w:p>
        </w:tc>
        <w:tc>
          <w:tcPr>
            <w:tcW w:w="38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14,663</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(932)</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5,362</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10,521</w:t>
            </w:r>
          </w:p>
        </w:tc>
        <w:tc>
          <w:tcPr>
            <w:tcW w:w="38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(15,664)</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3,127</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(5,072)</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Retained earnings-beginning of period</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188,761</w:t>
            </w:r>
          </w:p>
        </w:tc>
        <w:tc>
          <w:tcPr>
            <w:tcW w:w="38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222,417</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190,930</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202,985</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Cash dividends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(7,812)</w:t>
            </w:r>
          </w:p>
        </w:tc>
        <w:tc>
          <w:tcPr>
            <w:tcW w:w="38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(10,437)</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(2,587)</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(2,603)</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Purchase and retirement of</w:t>
            </w: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392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38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(1,006)</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Retained earnings-end of period</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$191,470</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$195,310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$191,470</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$195,310</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$0.81</w:t>
            </w:r>
          </w:p>
        </w:tc>
        <w:tc>
          <w:tcPr>
            <w:tcW w:w="38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$(1.20)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$0.24</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$(0.39)</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$0.80</w:t>
            </w:r>
          </w:p>
        </w:tc>
        <w:tc>
          <w:tcPr>
            <w:tcW w:w="380" w:type="dxa"/>
            <w:vAlign w:val="bottom"/>
          </w:tcPr>
          <w:p>
            <w:pPr>
              <w:spacing w:after="0"/>
              <w:rPr>
                <w:sz w:val="24"/>
                <w:szCs w:val="24"/>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$(1.20)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$0.24</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$(0.39)</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364"/>
        </w:trPr>
        <w:tc>
          <w:tcPr>
            <w:tcW w:w="392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$0.60</w:t>
            </w:r>
          </w:p>
        </w:tc>
        <w:tc>
          <w:tcPr>
            <w:tcW w:w="38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$0.80</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$0.20</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$0.20</w:t>
            </w:r>
          </w:p>
        </w:tc>
      </w:tr>
      <w:tr>
        <w:trPr>
          <w:trHeight w:val="182"/>
        </w:trPr>
        <w:tc>
          <w:tcPr>
            <w:tcW w:w="392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3400"/>
        <w:spacing w:after="0" w:line="237"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integral part of the condensed consolidated financial statements.</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 of 17</w:t>
      </w:r>
    </w:p>
    <w:p>
      <w:pPr>
        <w:sectPr>
          <w:pgSz w:w="11900" w:h="16838" w:orient="portrait"/>
          <w:cols w:equalWidth="0" w:num="1">
            <w:col w:w="10580"/>
          </w:cols>
          <w:pgMar w:left="240" w:top="295" w:right="107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PART I - FINANCIAL INFORMATION - CONTINUED</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CONDENSED CONSOLIDATED BALANCE SHEETS - UNAUDITED</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AUGUST 29, 1998 AND NOVEMBER 30,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2080"/>
              <w:spacing w:after="0"/>
              <w:rPr>
                <w:sz w:val="20"/>
                <w:szCs w:val="20"/>
                <w:color w:val="auto"/>
              </w:rPr>
            </w:pPr>
            <w:r>
              <w:rPr>
                <w:rFonts w:ascii="Courier New" w:cs="Courier New" w:eastAsia="Courier New" w:hAnsi="Courier New"/>
                <w:sz w:val="16"/>
                <w:szCs w:val="16"/>
                <w:color w:val="auto"/>
              </w:rPr>
              <w:t>(in thousands except per share data)</w:t>
            </w:r>
          </w:p>
        </w:tc>
        <w:tc>
          <w:tcPr>
            <w:tcW w:w="20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728"/>
        </w:trPr>
        <w:tc>
          <w:tcPr>
            <w:tcW w:w="5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August 29,1998</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November 30, 1997</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Cash &amp; cash equivalents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$34,613</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$29,552</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Marketable securities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49,985</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Trade accounts receivable, net</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57,985</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57,327</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Inventories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72,532</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66,930</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Less LIFO adjustment</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(25,779)</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(25,216)</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46,753</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41,714</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929</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1,405</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Refundable income taxes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7,422</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5,025</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14,392</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15,476</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162,094</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200,484</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Property &amp; equipment:</w:t>
            </w:r>
          </w:p>
        </w:tc>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Cost</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177,801</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168,026</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Less allowances for depreciation</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(127,617)</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(124,547)</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property &amp; equipment</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50,184</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43,479</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long-term assets:</w:t>
            </w:r>
          </w:p>
        </w:tc>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Investment securities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31,402</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29,922</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Investment in affiliated companies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52,770</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30,502</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1,110</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1,866</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Assets held for sale</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1,690</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3,506</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16,497</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10,566</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other long-term assets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103,469</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76,362</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$315,747</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$320,325</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$15,633</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$21,694</w:t>
            </w: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Other accrued liabilities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26,831</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26,213</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42,464</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47,907</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Employee benefits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10,937</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11,248</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2"/>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Common stock</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64,827</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65,256</w:t>
            </w:r>
          </w:p>
        </w:tc>
      </w:tr>
      <w:tr>
        <w:trPr>
          <w:trHeight w:val="182"/>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Additional paid in capital</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533</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2,438</w:t>
            </w:r>
          </w:p>
        </w:tc>
      </w:tr>
      <w:tr>
        <w:trPr>
          <w:trHeight w:val="182"/>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Retained earnings</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191,470</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188,761</w:t>
            </w:r>
          </w:p>
        </w:tc>
      </w:tr>
      <w:tr>
        <w:trPr>
          <w:trHeight w:val="182"/>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Unrealized holding gains, net of income tax effect</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6,751</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5,575</w:t>
            </w:r>
          </w:p>
        </w:tc>
      </w:tr>
      <w:tr>
        <w:trPr>
          <w:trHeight w:val="182"/>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Unamorized stock compensation</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(1,235)</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(860)</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262,346</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261,170</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$315,747</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$320,325</w:t>
            </w:r>
          </w:p>
        </w:tc>
      </w:tr>
      <w:tr>
        <w:trPr>
          <w:trHeight w:val="182"/>
        </w:trPr>
        <w:tc>
          <w:tcPr>
            <w:tcW w:w="5720" w:type="dxa"/>
            <w:vAlign w:val="bottom"/>
          </w:tcPr>
          <w:p>
            <w:pPr>
              <w:spacing w:after="0"/>
              <w:rPr>
                <w:sz w:val="15"/>
                <w:szCs w:val="15"/>
                <w:color w:val="auto"/>
              </w:rPr>
            </w:pPr>
          </w:p>
        </w:tc>
        <w:tc>
          <w:tcPr>
            <w:tcW w:w="2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40" w:type="dxa"/>
            <w:vAlign w:val="bottom"/>
          </w:tcPr>
          <w:p>
            <w:pPr>
              <w:spacing w:after="0"/>
              <w:rPr>
                <w:sz w:val="15"/>
                <w:szCs w:val="15"/>
                <w:color w:val="auto"/>
              </w:rPr>
            </w:pPr>
          </w:p>
        </w:tc>
        <w:tc>
          <w:tcPr>
            <w:tcW w:w="2080" w:type="dxa"/>
            <w:vAlign w:val="bottom"/>
          </w:tcPr>
          <w:p>
            <w:pPr>
              <w:spacing w:after="0"/>
              <w:rPr>
                <w:sz w:val="15"/>
                <w:szCs w:val="15"/>
                <w:color w:val="auto"/>
              </w:rPr>
            </w:pPr>
          </w:p>
        </w:tc>
      </w:tr>
    </w:tbl>
    <w:p>
      <w:pPr>
        <w:spacing w:after="0" w:line="368"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integral part of the condensed consolidated financial statements.</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 of 17</w:t>
      </w:r>
    </w:p>
    <w:p>
      <w:pPr>
        <w:sectPr>
          <w:pgSz w:w="11900" w:h="16838" w:orient="portrait"/>
          <w:cols w:equalWidth="0" w:num="1">
            <w:col w:w="10219"/>
          </w:cols>
          <w:pgMar w:left="240" w:top="29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738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909"/>
        </w:trPr>
        <w:tc>
          <w:tcPr>
            <w:tcW w:w="7380" w:type="dxa"/>
            <w:vAlign w:val="bottom"/>
          </w:tcPr>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7380" w:type="dxa"/>
            <w:vAlign w:val="bottom"/>
          </w:tcPr>
          <w:p>
            <w:pPr>
              <w:ind w:left="1040"/>
              <w:spacing w:after="0"/>
              <w:rPr>
                <w:sz w:val="20"/>
                <w:szCs w:val="20"/>
                <w:color w:val="auto"/>
              </w:rPr>
            </w:pPr>
            <w:r>
              <w:rPr>
                <w:rFonts w:ascii="Courier New" w:cs="Courier New" w:eastAsia="Courier New" w:hAnsi="Courier New"/>
                <w:sz w:val="16"/>
                <w:szCs w:val="16"/>
                <w:color w:val="auto"/>
              </w:rPr>
              <w:t>CONDENSED CONSOLIDATED SATEMENTS OF CASH FLOWS - UNAUDITED</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7380" w:type="dxa"/>
            <w:vAlign w:val="bottom"/>
          </w:tcPr>
          <w:p>
            <w:pPr>
              <w:ind w:left="760"/>
              <w:spacing w:after="0"/>
              <w:rPr>
                <w:sz w:val="20"/>
                <w:szCs w:val="20"/>
                <w:color w:val="auto"/>
              </w:rPr>
            </w:pPr>
            <w:r>
              <w:rPr>
                <w:rFonts w:ascii="Courier New" w:cs="Courier New" w:eastAsia="Courier New" w:hAnsi="Courier New"/>
                <w:sz w:val="16"/>
                <w:szCs w:val="16"/>
                <w:color w:val="auto"/>
              </w:rPr>
              <w:t>FOR THE 39 WEEK PERIOD ENDED AUGUST 29, 1998 AND AUGUST 31, 1997</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7380" w:type="dxa"/>
            <w:vAlign w:val="bottom"/>
          </w:tcPr>
          <w:p>
            <w:pPr>
              <w:ind w:left="2080"/>
              <w:spacing w:after="0"/>
              <w:rPr>
                <w:sz w:val="20"/>
                <w:szCs w:val="20"/>
                <w:color w:val="auto"/>
              </w:rPr>
            </w:pPr>
            <w:r>
              <w:rPr>
                <w:rFonts w:ascii="Courier New" w:cs="Courier New" w:eastAsia="Courier New" w:hAnsi="Courier New"/>
                <w:sz w:val="16"/>
                <w:szCs w:val="16"/>
                <w:color w:val="auto"/>
              </w:rPr>
              <w:t>(in thousands except per share data)</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909"/>
        </w:trPr>
        <w:tc>
          <w:tcPr>
            <w:tcW w:w="7380" w:type="dxa"/>
            <w:vAlign w:val="bottom"/>
          </w:tcPr>
          <w:p>
            <w:pPr>
              <w:spacing w:after="0"/>
              <w:rPr>
                <w:sz w:val="24"/>
                <w:szCs w:val="24"/>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$ 10,521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($15,664)</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to net cash provided</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by operating activities:</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Non-recurring charges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11,980</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Depreciation and amortization</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5,200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5,003</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Equity in undistributed income of affiliated companies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(3,785)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(4,119)</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Provision for losses on trade accounts receivable</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446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6,370</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Provision for deferred income taxes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1,088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(16,435)</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Net gain from sales of investment securities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(975)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(1,761)</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Net gain from sales of property &amp; equipment</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(1,285)</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Compensation earned under restricted stock plan</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380" w:type="dxa"/>
            <w:vAlign w:val="bottom"/>
          </w:tcPr>
          <w:p>
            <w:pPr>
              <w:ind w:left="660"/>
              <w:spacing w:after="0"/>
              <w:rPr>
                <w:sz w:val="20"/>
                <w:szCs w:val="20"/>
                <w:color w:val="auto"/>
              </w:rPr>
            </w:pPr>
            <w:r>
              <w:rPr>
                <w:rFonts w:ascii="Courier New" w:cs="Courier New" w:eastAsia="Courier New" w:hAnsi="Courier New"/>
                <w:sz w:val="16"/>
                <w:szCs w:val="16"/>
                <w:color w:val="auto"/>
              </w:rPr>
              <w:t>Changes in operating assets &amp; liabilities:</w:t>
            </w:r>
          </w:p>
        </w:tc>
        <w:tc>
          <w:tcPr>
            <w:tcW w:w="19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7380" w:type="dxa"/>
            <w:vAlign w:val="bottom"/>
          </w:tcPr>
          <w:p>
            <w:pPr>
              <w:ind w:left="1220"/>
              <w:spacing w:after="0"/>
              <w:rPr>
                <w:sz w:val="20"/>
                <w:szCs w:val="20"/>
                <w:color w:val="auto"/>
              </w:rPr>
            </w:pPr>
            <w:r>
              <w:rPr>
                <w:rFonts w:ascii="Courier New" w:cs="Courier New" w:eastAsia="Courier New" w:hAnsi="Courier New"/>
                <w:sz w:val="16"/>
                <w:szCs w:val="16"/>
                <w:color w:val="auto"/>
              </w:rPr>
              <w:t>Trade accounts receivable</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(1,104)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(867)</w:t>
            </w:r>
          </w:p>
        </w:tc>
      </w:tr>
      <w:tr>
        <w:trPr>
          <w:trHeight w:val="182"/>
        </w:trPr>
        <w:tc>
          <w:tcPr>
            <w:tcW w:w="7380" w:type="dxa"/>
            <w:vAlign w:val="bottom"/>
          </w:tcPr>
          <w:p>
            <w:pPr>
              <w:ind w:left="1220"/>
              <w:spacing w:after="0"/>
              <w:rPr>
                <w:sz w:val="20"/>
                <w:szCs w:val="20"/>
                <w:color w:val="auto"/>
              </w:rPr>
            </w:pPr>
            <w:r>
              <w:rPr>
                <w:rFonts w:ascii="Courier New" w:cs="Courier New" w:eastAsia="Courier New" w:hAnsi="Courier New"/>
                <w:sz w:val="16"/>
                <w:szCs w:val="16"/>
                <w:color w:val="auto"/>
              </w:rPr>
              <w:t>Inventory</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(5,039)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21,908</w:t>
            </w:r>
          </w:p>
        </w:tc>
      </w:tr>
      <w:tr>
        <w:trPr>
          <w:trHeight w:val="182"/>
        </w:trPr>
        <w:tc>
          <w:tcPr>
            <w:tcW w:w="7380" w:type="dxa"/>
            <w:vAlign w:val="bottom"/>
          </w:tcPr>
          <w:p>
            <w:pPr>
              <w:ind w:left="1220"/>
              <w:spacing w:after="0"/>
              <w:rPr>
                <w:sz w:val="20"/>
                <w:szCs w:val="20"/>
                <w:color w:val="auto"/>
              </w:rPr>
            </w:pPr>
            <w:r>
              <w:rPr>
                <w:rFonts w:ascii="Courier New" w:cs="Courier New" w:eastAsia="Courier New" w:hAnsi="Courier New"/>
                <w:sz w:val="16"/>
                <w:szCs w:val="16"/>
                <w:color w:val="auto"/>
              </w:rPr>
              <w:t>Prepaid expenses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476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r>
      <w:tr>
        <w:trPr>
          <w:trHeight w:val="182"/>
        </w:trPr>
        <w:tc>
          <w:tcPr>
            <w:tcW w:w="7380" w:type="dxa"/>
            <w:vAlign w:val="bottom"/>
          </w:tcPr>
          <w:p>
            <w:pPr>
              <w:ind w:left="1220"/>
              <w:spacing w:after="0"/>
              <w:rPr>
                <w:sz w:val="20"/>
                <w:szCs w:val="20"/>
                <w:color w:val="auto"/>
              </w:rPr>
            </w:pPr>
            <w:r>
              <w:rPr>
                <w:rFonts w:ascii="Courier New" w:cs="Courier New" w:eastAsia="Courier New" w:hAnsi="Courier New"/>
                <w:sz w:val="16"/>
                <w:szCs w:val="16"/>
                <w:color w:val="auto"/>
              </w:rPr>
              <w:t>Refundable income taxes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(2,397)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(175)</w:t>
            </w:r>
          </w:p>
        </w:tc>
      </w:tr>
      <w:tr>
        <w:trPr>
          <w:trHeight w:val="182"/>
        </w:trPr>
        <w:tc>
          <w:tcPr>
            <w:tcW w:w="7380" w:type="dxa"/>
            <w:vAlign w:val="bottom"/>
          </w:tcPr>
          <w:p>
            <w:pPr>
              <w:ind w:left="122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(5,443)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10,191</w:t>
            </w:r>
          </w:p>
        </w:tc>
      </w:tr>
      <w:tr>
        <w:trPr>
          <w:trHeight w:val="182"/>
        </w:trPr>
        <w:tc>
          <w:tcPr>
            <w:tcW w:w="7380" w:type="dxa"/>
            <w:vAlign w:val="bottom"/>
          </w:tcPr>
          <w:p>
            <w:pPr>
              <w:ind w:left="1220"/>
              <w:spacing w:after="0"/>
              <w:rPr>
                <w:sz w:val="20"/>
                <w:szCs w:val="20"/>
                <w:color w:val="auto"/>
              </w:rPr>
            </w:pPr>
            <w:r>
              <w:rPr>
                <w:rFonts w:ascii="Courier New" w:cs="Courier New" w:eastAsia="Courier New" w:hAnsi="Courier New"/>
                <w:sz w:val="16"/>
                <w:szCs w:val="16"/>
                <w:color w:val="auto"/>
              </w:rPr>
              <w:t>Long-term liabilities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380" w:type="dxa"/>
            <w:vAlign w:val="bottom"/>
          </w:tcPr>
          <w:p>
            <w:pPr>
              <w:ind w:left="940"/>
              <w:spacing w:after="0"/>
              <w:rPr>
                <w:sz w:val="20"/>
                <w:szCs w:val="20"/>
                <w:color w:val="auto"/>
              </w:rPr>
            </w:pPr>
            <w:r>
              <w:rPr>
                <w:rFonts w:ascii="Courier New" w:cs="Courier New" w:eastAsia="Courier New" w:hAnsi="Courier New"/>
                <w:sz w:val="16"/>
                <w:szCs w:val="16"/>
                <w:color w:val="auto"/>
              </w:rPr>
              <w:t>Net cash provided by (used in) operating activities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(1,415)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14,686</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Purchases of property and equipment</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(13,062)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(7,210)</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sales of property &amp; equipment</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3,233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1,877</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Purchases of investment securities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(1,796)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(979)</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Dividend received from affiliate</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31,517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21,245</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 of investments securities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3,219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2,873</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Other assets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(5,931)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(4,508)</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Investment in affiliated companies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(50,000)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Proceeds from sale of marketable securities, net</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49,985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380" w:type="dxa"/>
            <w:vAlign w:val="bottom"/>
          </w:tcPr>
          <w:p>
            <w:pPr>
              <w:ind w:left="1040"/>
              <w:spacing w:after="0"/>
              <w:rPr>
                <w:sz w:val="20"/>
                <w:szCs w:val="20"/>
                <w:color w:val="auto"/>
              </w:rPr>
            </w:pPr>
            <w:r>
              <w:rPr>
                <w:rFonts w:ascii="Courier New" w:cs="Courier New" w:eastAsia="Courier New" w:hAnsi="Courier New"/>
                <w:sz w:val="16"/>
                <w:szCs w:val="16"/>
                <w:color w:val="auto"/>
              </w:rPr>
              <w:t>Net cash provided by investing activities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17,165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13,298</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7380" w:type="dxa"/>
            <w:vAlign w:val="bottom"/>
          </w:tcPr>
          <w:p>
            <w:pPr>
              <w:ind w:left="180"/>
              <w:spacing w:after="0"/>
              <w:rPr>
                <w:sz w:val="20"/>
                <w:szCs w:val="20"/>
                <w:color w:val="auto"/>
              </w:rPr>
            </w:pPr>
            <w:r>
              <w:rPr>
                <w:rFonts w:ascii="Courier New" w:cs="Courier New" w:eastAsia="Courier New" w:hAnsi="Courier New"/>
                <w:sz w:val="16"/>
                <w:szCs w:val="16"/>
                <w:color w:val="auto"/>
              </w:rPr>
              <w:t>Issuance of common stock</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243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2"/>
        </w:trPr>
        <w:tc>
          <w:tcPr>
            <w:tcW w:w="7380" w:type="dxa"/>
            <w:vAlign w:val="bottom"/>
          </w:tcPr>
          <w:p>
            <w:pPr>
              <w:ind w:left="180"/>
              <w:spacing w:after="0"/>
              <w:rPr>
                <w:sz w:val="20"/>
                <w:szCs w:val="20"/>
                <w:color w:val="auto"/>
              </w:rPr>
            </w:pPr>
            <w:r>
              <w:rPr>
                <w:rFonts w:ascii="Courier New" w:cs="Courier New" w:eastAsia="Courier New" w:hAnsi="Courier New"/>
                <w:sz w:val="16"/>
                <w:szCs w:val="16"/>
                <w:color w:val="auto"/>
              </w:rPr>
              <w:t>Purchase of common stock</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(3,120)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(1,350)</w:t>
            </w:r>
          </w:p>
        </w:tc>
      </w:tr>
      <w:tr>
        <w:trPr>
          <w:trHeight w:val="182"/>
        </w:trPr>
        <w:tc>
          <w:tcPr>
            <w:tcW w:w="7380" w:type="dxa"/>
            <w:vAlign w:val="bottom"/>
          </w:tcPr>
          <w:p>
            <w:pPr>
              <w:ind w:left="180"/>
              <w:spacing w:after="0"/>
              <w:rPr>
                <w:sz w:val="20"/>
                <w:szCs w:val="20"/>
                <w:color w:val="auto"/>
              </w:rPr>
            </w:pPr>
            <w:r>
              <w:rPr>
                <w:rFonts w:ascii="Courier New" w:cs="Courier New" w:eastAsia="Courier New" w:hAnsi="Courier New"/>
                <w:sz w:val="16"/>
                <w:szCs w:val="16"/>
                <w:color w:val="auto"/>
              </w:rPr>
              <w:t>Cash dividends paid</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(7,812)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(10,437)</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380" w:type="dxa"/>
            <w:vAlign w:val="bottom"/>
          </w:tcPr>
          <w:p>
            <w:pPr>
              <w:ind w:left="1140"/>
              <w:spacing w:after="0"/>
              <w:rPr>
                <w:sz w:val="20"/>
                <w:szCs w:val="20"/>
                <w:color w:val="auto"/>
              </w:rPr>
            </w:pPr>
            <w:r>
              <w:rPr>
                <w:rFonts w:ascii="Courier New" w:cs="Courier New" w:eastAsia="Courier New" w:hAnsi="Courier New"/>
                <w:sz w:val="16"/>
                <w:szCs w:val="16"/>
                <w:color w:val="auto"/>
              </w:rPr>
              <w:t>Net cash used in financing activities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(10,689)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(11,732)</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5,061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16,252</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29,552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57,285</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$34,613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$73,537</w:t>
            </w:r>
          </w:p>
        </w:tc>
      </w:tr>
      <w:tr>
        <w:trPr>
          <w:trHeight w:val="182"/>
        </w:trPr>
        <w:tc>
          <w:tcPr>
            <w:tcW w:w="7380" w:type="dxa"/>
            <w:vAlign w:val="bottom"/>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0"/>
          <w:szCs w:val="20"/>
          <w:color w:val="auto"/>
        </w:rPr>
      </w:pPr>
    </w:p>
    <w:p>
      <w:pPr>
        <w:ind w:left="100" w:right="3600"/>
        <w:spacing w:after="0" w:line="237" w:lineRule="auto"/>
        <w:rPr>
          <w:sz w:val="20"/>
          <w:szCs w:val="20"/>
          <w:color w:val="auto"/>
        </w:rPr>
      </w:pPr>
      <w:r>
        <w:rPr>
          <w:rFonts w:ascii="Courier New" w:cs="Courier New" w:eastAsia="Courier New" w:hAnsi="Courier New"/>
          <w:sz w:val="16"/>
          <w:szCs w:val="16"/>
          <w:color w:val="auto"/>
        </w:rPr>
        <w:t>The accompanying notes to condensed consolidated financial statements are an integral part of the condensed consolidated financial statements.</w:t>
      </w:r>
    </w:p>
    <w:p>
      <w:pPr>
        <w:sectPr>
          <w:pgSz w:w="11900" w:h="16838" w:orient="portrait"/>
          <w:cols w:equalWidth="0" w:num="1">
            <w:col w:w="10880"/>
          </w:cols>
          <w:pgMar w:left="240" w:top="29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 of 17</w:t>
      </w:r>
    </w:p>
    <w:p>
      <w:pPr>
        <w:sectPr>
          <w:pgSz w:w="11900" w:h="16838" w:orient="portrait"/>
          <w:cols w:equalWidth="0" w:num="1">
            <w:col w:w="10880"/>
          </w:cols>
          <w:pgMar w:left="240" w:top="295" w:right="779"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659"/>
        <w:spacing w:after="0" w:line="262" w:lineRule="auto"/>
        <w:rPr>
          <w:sz w:val="20"/>
          <w:szCs w:val="20"/>
          <w:color w:val="auto"/>
        </w:rPr>
      </w:pPr>
      <w:r>
        <w:rPr>
          <w:rFonts w:ascii="Courier New" w:cs="Courier New" w:eastAsia="Courier New" w:hAnsi="Courier New"/>
          <w:sz w:val="15"/>
          <w:szCs w:val="15"/>
          <w:color w:val="auto"/>
        </w:rPr>
        <w:t>BASSETT FURNTURE INDUSTRIES, INCORPORATED AND SUBSIDIARIES NOTES TO CONDENSED CONSOLIDATED FINANCIAL STATEMENTS-UNAUDITED AUGUST 29, 1998 (in thousands except share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Basis of presentation:</w:t>
      </w:r>
    </w:p>
    <w:p>
      <w:pPr>
        <w:spacing w:after="0" w:line="186"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Inventories:</w:t>
      </w:r>
    </w:p>
    <w:p>
      <w:pPr>
        <w:spacing w:after="0" w:line="186" w:lineRule="exact"/>
        <w:rPr>
          <w:sz w:val="20"/>
          <w:szCs w:val="20"/>
          <w:color w:val="auto"/>
        </w:rPr>
      </w:pPr>
    </w:p>
    <w:p>
      <w:pPr>
        <w:ind w:right="3319"/>
        <w:spacing w:after="0" w:line="238" w:lineRule="auto"/>
        <w:rPr>
          <w:sz w:val="20"/>
          <w:szCs w:val="20"/>
          <w:color w:val="auto"/>
        </w:rPr>
      </w:pPr>
      <w:r>
        <w:rPr>
          <w:rFonts w:ascii="Courier New" w:cs="Courier New" w:eastAsia="Courier New" w:hAnsi="Courier New"/>
          <w:sz w:val="16"/>
          <w:szCs w:val="16"/>
          <w:color w:val="auto"/>
        </w:rPr>
        <w:t>Inventories are carried at last-in, first-out (LIFO) cost which is not in excess of market. Inventories at August 29, 1998 and November 30, 1997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21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August 29,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November 30,</w:t>
            </w:r>
          </w:p>
        </w:tc>
      </w:tr>
      <w:tr>
        <w:trPr>
          <w:trHeight w:val="182"/>
        </w:trPr>
        <w:tc>
          <w:tcPr>
            <w:tcW w:w="6340" w:type="dxa"/>
            <w:vAlign w:val="bottom"/>
          </w:tcPr>
          <w:p>
            <w:pPr>
              <w:spacing w:after="0"/>
              <w:rPr>
                <w:sz w:val="15"/>
                <w:szCs w:val="15"/>
                <w:color w:val="auto"/>
              </w:rPr>
            </w:pPr>
          </w:p>
        </w:tc>
        <w:tc>
          <w:tcPr>
            <w:tcW w:w="2160" w:type="dxa"/>
            <w:vAlign w:val="bottom"/>
          </w:tcPr>
          <w:p>
            <w:pPr>
              <w:ind w:left="1120"/>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6340" w:type="dxa"/>
            <w:vAlign w:val="bottom"/>
          </w:tcPr>
          <w:p>
            <w:pPr>
              <w:spacing w:after="0"/>
              <w:rPr>
                <w:sz w:val="15"/>
                <w:szCs w:val="15"/>
                <w:color w:val="auto"/>
              </w:rPr>
            </w:pPr>
          </w:p>
        </w:tc>
        <w:tc>
          <w:tcPr>
            <w:tcW w:w="216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$35,190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$29,485</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9,850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9,025</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Raw materials and supplies</w:t>
            </w: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27,492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28,420</w:t>
            </w:r>
          </w:p>
        </w:tc>
      </w:tr>
      <w:tr>
        <w:trPr>
          <w:trHeight w:val="182"/>
        </w:trPr>
        <w:tc>
          <w:tcPr>
            <w:tcW w:w="6340" w:type="dxa"/>
            <w:vAlign w:val="bottom"/>
          </w:tcPr>
          <w:p>
            <w:pPr>
              <w:spacing w:after="0"/>
              <w:rPr>
                <w:sz w:val="15"/>
                <w:szCs w:val="15"/>
                <w:color w:val="auto"/>
              </w:rPr>
            </w:pP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Total inventories valued at first-in, first-out (FIFO) cost</w:t>
            </w: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72,532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66,930</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LIFO adjustment</w:t>
            </w: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(25,779)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(25,216)</w:t>
            </w:r>
          </w:p>
        </w:tc>
      </w:tr>
      <w:tr>
        <w:trPr>
          <w:trHeight w:val="182"/>
        </w:trPr>
        <w:tc>
          <w:tcPr>
            <w:tcW w:w="6340" w:type="dxa"/>
            <w:vAlign w:val="bottom"/>
          </w:tcPr>
          <w:p>
            <w:pPr>
              <w:spacing w:after="0"/>
              <w:rPr>
                <w:sz w:val="15"/>
                <w:szCs w:val="15"/>
                <w:color w:val="auto"/>
              </w:rPr>
            </w:pPr>
          </w:p>
        </w:tc>
        <w:tc>
          <w:tcPr>
            <w:tcW w:w="216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Total inventories</w:t>
            </w: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$46,753</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$41,714</w:t>
            </w:r>
          </w:p>
        </w:tc>
      </w:tr>
      <w:tr>
        <w:trPr>
          <w:trHeight w:val="182"/>
        </w:trPr>
        <w:tc>
          <w:tcPr>
            <w:tcW w:w="6340" w:type="dxa"/>
            <w:vAlign w:val="bottom"/>
          </w:tcPr>
          <w:p>
            <w:pPr>
              <w:spacing w:after="0"/>
              <w:rPr>
                <w:sz w:val="15"/>
                <w:szCs w:val="15"/>
                <w:color w:val="auto"/>
              </w:rPr>
            </w:pPr>
          </w:p>
        </w:tc>
        <w:tc>
          <w:tcPr>
            <w:tcW w:w="21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Investment in affiliated companies:</w:t>
      </w:r>
    </w:p>
    <w:p>
      <w:pPr>
        <w:spacing w:after="0" w:line="5"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Summarized combined income statement information for the Company's equity method investments for the thirty-nine week period ended August 29,1998 and the nine month period ended August 31, 1997 is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2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ind w:left="420"/>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2700" w:type="dxa"/>
            <w:vAlign w:val="bottom"/>
          </w:tcPr>
          <w:p>
            <w:pPr>
              <w:spacing w:after="0"/>
              <w:rPr>
                <w:sz w:val="15"/>
                <w:szCs w:val="15"/>
                <w:color w:val="auto"/>
              </w:rPr>
            </w:pPr>
          </w:p>
        </w:tc>
        <w:tc>
          <w:tcPr>
            <w:tcW w:w="27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4"/>
        </w:trPr>
        <w:tc>
          <w:tcPr>
            <w:tcW w:w="27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7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$29,927</w:t>
            </w:r>
          </w:p>
        </w:tc>
        <w:tc>
          <w:tcPr>
            <w:tcW w:w="980" w:type="dxa"/>
            <w:vAlign w:val="bottom"/>
          </w:tcPr>
          <w:p>
            <w:pPr>
              <w:ind w:left="320"/>
              <w:spacing w:after="0"/>
              <w:rPr>
                <w:sz w:val="20"/>
                <w:szCs w:val="20"/>
                <w:color w:val="auto"/>
              </w:rPr>
            </w:pPr>
            <w:r>
              <w:rPr>
                <w:rFonts w:ascii="Courier New" w:cs="Courier New" w:eastAsia="Courier New" w:hAnsi="Courier New"/>
                <w:sz w:val="16"/>
                <w:szCs w:val="16"/>
                <w:color w:val="auto"/>
                <w:w w:val="95"/>
              </w:rPr>
              <w:t>$29,253</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7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16,650</w:t>
            </w:r>
          </w:p>
        </w:tc>
        <w:tc>
          <w:tcPr>
            <w:tcW w:w="980" w:type="dxa"/>
            <w:vAlign w:val="bottom"/>
          </w:tcPr>
          <w:p>
            <w:pPr>
              <w:ind w:left="420"/>
              <w:spacing w:after="0"/>
              <w:rPr>
                <w:sz w:val="20"/>
                <w:szCs w:val="20"/>
                <w:color w:val="auto"/>
              </w:rPr>
            </w:pPr>
            <w:r>
              <w:rPr>
                <w:rFonts w:ascii="Courier New" w:cs="Courier New" w:eastAsia="Courier New" w:hAnsi="Courier New"/>
                <w:sz w:val="16"/>
                <w:szCs w:val="16"/>
                <w:color w:val="auto"/>
                <w:w w:val="93"/>
              </w:rPr>
              <w:t>15,915</w:t>
            </w:r>
          </w:p>
        </w:tc>
      </w:tr>
      <w:tr>
        <w:trPr>
          <w:trHeight w:val="182"/>
        </w:trPr>
        <w:tc>
          <w:tcPr>
            <w:tcW w:w="27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7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9,973</w:t>
            </w:r>
          </w:p>
        </w:tc>
        <w:tc>
          <w:tcPr>
            <w:tcW w:w="980" w:type="dxa"/>
            <w:vAlign w:val="bottom"/>
          </w:tcPr>
          <w:p>
            <w:pPr>
              <w:ind w:left="420"/>
              <w:spacing w:after="0"/>
              <w:rPr>
                <w:sz w:val="20"/>
                <w:szCs w:val="20"/>
                <w:color w:val="auto"/>
              </w:rPr>
            </w:pPr>
            <w:r>
              <w:rPr>
                <w:rFonts w:ascii="Courier New" w:cs="Courier New" w:eastAsia="Courier New" w:hAnsi="Courier New"/>
                <w:sz w:val="16"/>
                <w:szCs w:val="16"/>
                <w:color w:val="auto"/>
                <w:w w:val="93"/>
              </w:rPr>
              <w:t>10,544</w:t>
            </w:r>
          </w:p>
        </w:tc>
      </w:tr>
      <w:tr>
        <w:trPr>
          <w:trHeight w:val="728"/>
        </w:trPr>
        <w:tc>
          <w:tcPr>
            <w:tcW w:w="2700" w:type="dxa"/>
            <w:vAlign w:val="bottom"/>
          </w:tcPr>
          <w:p>
            <w:pPr>
              <w:spacing w:after="0"/>
              <w:rPr>
                <w:sz w:val="24"/>
                <w:szCs w:val="24"/>
                <w:color w:val="auto"/>
              </w:rPr>
            </w:pPr>
          </w:p>
        </w:tc>
        <w:tc>
          <w:tcPr>
            <w:tcW w:w="2740" w:type="dxa"/>
            <w:vAlign w:val="bottom"/>
          </w:tcPr>
          <w:p>
            <w:pPr>
              <w:jc w:val="right"/>
              <w:ind w:right="1401"/>
              <w:spacing w:after="0"/>
              <w:rPr>
                <w:sz w:val="20"/>
                <w:szCs w:val="20"/>
                <w:color w:val="auto"/>
              </w:rPr>
            </w:pPr>
            <w:r>
              <w:rPr>
                <w:rFonts w:ascii="Courier New" w:cs="Courier New" w:eastAsia="Courier New" w:hAnsi="Courier New"/>
                <w:sz w:val="16"/>
                <w:szCs w:val="16"/>
                <w:color w:val="auto"/>
              </w:rPr>
              <w:t>5 of 17</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600"/>
        <w:spacing w:after="0" w:line="262" w:lineRule="auto"/>
        <w:rPr>
          <w:sz w:val="20"/>
          <w:szCs w:val="20"/>
          <w:color w:val="auto"/>
        </w:rPr>
      </w:pPr>
      <w:r>
        <w:rPr>
          <w:rFonts w:ascii="Courier New" w:cs="Courier New" w:eastAsia="Courier New" w:hAnsi="Courier New"/>
          <w:sz w:val="15"/>
          <w:szCs w:val="15"/>
          <w:color w:val="auto"/>
        </w:rPr>
        <w:t>BASSETT FURNTURE INDUSTRIES, INCORPORATED AND SUBSIDIARIES NOTES TO CONDENSED CONSOLIDATED FINANCIAL STATEMENTS-UNAUDITED AUGUST 29, 1998 (in thousands except share and per share data)</w:t>
      </w:r>
    </w:p>
    <w:p>
      <w:pPr>
        <w:spacing w:after="0" w:line="171" w:lineRule="exact"/>
        <w:rPr>
          <w:sz w:val="20"/>
          <w:szCs w:val="20"/>
          <w:color w:val="auto"/>
        </w:rPr>
      </w:pPr>
    </w:p>
    <w:p>
      <w:pPr>
        <w:ind w:right="3700"/>
        <w:spacing w:after="0" w:line="257" w:lineRule="auto"/>
        <w:rPr>
          <w:sz w:val="20"/>
          <w:szCs w:val="20"/>
          <w:color w:val="auto"/>
        </w:rPr>
      </w:pPr>
      <w:r>
        <w:rPr>
          <w:rFonts w:ascii="Courier New" w:cs="Courier New" w:eastAsia="Courier New" w:hAnsi="Courier New"/>
          <w:sz w:val="15"/>
          <w:szCs w:val="15"/>
          <w:color w:val="auto"/>
        </w:rPr>
        <w:t>Note D. Restructuring, Impaired Assets and Nonrecurring Charges: During 1997, the Company commenced the restructuring of certain of its operations and recorded restructuring and impaired asset charges of $20,646. Of these charges, $14,397 was utilized during 1997, leaving $6,249 in reserves to be utilized in future periods as the remaining activities related to the restructuring charges are completed. The restructuring plans included the closure of 14 manufacturing facilities and the severance of approximately 1,000 employees. As of November 30, 1997, five of the 14 facilities were closed and approximately 600 employees had been severed. During the first quarter of fiscal 1998, the remaining nine facilities were closed and approximately 400 employees were severed. In the second quarter of 1998, one additional Mattress Division plant at Chehalis, Washington, was closed. The related exit costs were not material, thus additional one-time charges were not recorded.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Activity within the restructuring reserves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880" w:type="dxa"/>
            <w:vAlign w:val="bottom"/>
          </w:tcPr>
          <w:p>
            <w:pPr>
              <w:spacing w:after="0"/>
              <w:rPr>
                <w:sz w:val="15"/>
                <w:szCs w:val="15"/>
                <w:color w:val="auto"/>
              </w:rPr>
            </w:pP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November</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Reserves</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February</w:t>
            </w:r>
          </w:p>
        </w:tc>
        <w:tc>
          <w:tcPr>
            <w:tcW w:w="14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Reserves</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May 30,</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Reserves</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August 29,</w:t>
            </w:r>
          </w:p>
        </w:tc>
      </w:tr>
      <w:tr>
        <w:trPr>
          <w:trHeight w:val="182"/>
        </w:trPr>
        <w:tc>
          <w:tcPr>
            <w:tcW w:w="1880" w:type="dxa"/>
            <w:vAlign w:val="bottom"/>
          </w:tcPr>
          <w:p>
            <w:pPr>
              <w:spacing w:after="0"/>
              <w:rPr>
                <w:sz w:val="15"/>
                <w:szCs w:val="15"/>
                <w:color w:val="auto"/>
              </w:rPr>
            </w:pP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30, 1997</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utilized</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28, 1998</w:t>
            </w:r>
          </w:p>
        </w:tc>
        <w:tc>
          <w:tcPr>
            <w:tcW w:w="14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utilized</w:t>
            </w: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utilized</w:t>
            </w:r>
          </w:p>
        </w:tc>
        <w:tc>
          <w:tcPr>
            <w:tcW w:w="380" w:type="dxa"/>
            <w:vAlign w:val="bottom"/>
          </w:tcPr>
          <w:p>
            <w:pPr>
              <w:spacing w:after="0"/>
              <w:rPr>
                <w:sz w:val="15"/>
                <w:szCs w:val="15"/>
                <w:color w:val="auto"/>
              </w:rPr>
            </w:pPr>
          </w:p>
        </w:tc>
        <w:tc>
          <w:tcPr>
            <w:tcW w:w="9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88"/>
              </w:rPr>
              <w:t>1998</w:t>
            </w:r>
          </w:p>
        </w:tc>
      </w:tr>
      <w:tr>
        <w:trPr>
          <w:trHeight w:val="182"/>
        </w:trPr>
        <w:tc>
          <w:tcPr>
            <w:tcW w:w="1880" w:type="dxa"/>
            <w:vAlign w:val="bottom"/>
          </w:tcPr>
          <w:p>
            <w:pPr>
              <w:spacing w:after="0"/>
              <w:rPr>
                <w:sz w:val="15"/>
                <w:szCs w:val="15"/>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reserve</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in 1st Qtr</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reserve</w:t>
            </w:r>
          </w:p>
        </w:tc>
        <w:tc>
          <w:tcPr>
            <w:tcW w:w="14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in 2nd Qtr</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reserve</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in 3rd</w:t>
            </w:r>
          </w:p>
        </w:tc>
        <w:tc>
          <w:tcPr>
            <w:tcW w:w="13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reserve</w:t>
            </w:r>
          </w:p>
        </w:tc>
      </w:tr>
      <w:tr>
        <w:trPr>
          <w:trHeight w:val="182"/>
        </w:trPr>
        <w:tc>
          <w:tcPr>
            <w:tcW w:w="1880" w:type="dxa"/>
            <w:vAlign w:val="bottom"/>
          </w:tcPr>
          <w:p>
            <w:pPr>
              <w:spacing w:after="0"/>
              <w:rPr>
                <w:sz w:val="15"/>
                <w:szCs w:val="15"/>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balance</w:t>
            </w: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balance</w:t>
            </w:r>
          </w:p>
        </w:tc>
        <w:tc>
          <w:tcPr>
            <w:tcW w:w="142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1998</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balance</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Qtr 1998</w:t>
            </w:r>
          </w:p>
        </w:tc>
        <w:tc>
          <w:tcPr>
            <w:tcW w:w="13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balance</w:t>
            </w: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1880" w:type="dxa"/>
            <w:vAlign w:val="bottom"/>
          </w:tcPr>
          <w:p>
            <w:pPr>
              <w:spacing w:after="0"/>
              <w:rPr>
                <w:sz w:val="20"/>
                <w:szCs w:val="20"/>
                <w:color w:val="auto"/>
              </w:rPr>
            </w:pPr>
            <w:r>
              <w:rPr>
                <w:rFonts w:ascii="Courier New" w:cs="Courier New" w:eastAsia="Courier New" w:hAnsi="Courier New"/>
                <w:sz w:val="16"/>
                <w:szCs w:val="16"/>
                <w:color w:val="auto"/>
              </w:rPr>
              <w:t>Severance &amp;</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related</w:t>
            </w: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employee</w:t>
            </w: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benefit costs</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$4,910</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$1,620</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$3,290</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$832</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$2,458</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1"/>
              </w:rPr>
              <w:t>1,846</w:t>
            </w:r>
          </w:p>
        </w:tc>
      </w:tr>
      <w:tr>
        <w:trPr>
          <w:trHeight w:val="364"/>
        </w:trPr>
        <w:tc>
          <w:tcPr>
            <w:tcW w:w="1880" w:type="dxa"/>
            <w:vAlign w:val="bottom"/>
          </w:tcPr>
          <w:p>
            <w:pPr>
              <w:spacing w:after="0"/>
              <w:rPr>
                <w:sz w:val="20"/>
                <w:szCs w:val="20"/>
                <w:color w:val="auto"/>
              </w:rPr>
            </w:pPr>
            <w:r>
              <w:rPr>
                <w:rFonts w:ascii="Courier New" w:cs="Courier New" w:eastAsia="Courier New" w:hAnsi="Courier New"/>
                <w:sz w:val="16"/>
                <w:szCs w:val="16"/>
                <w:color w:val="auto"/>
              </w:rPr>
              <w:t>Lease exit costs</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614</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582</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548</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w:t>
            </w:r>
          </w:p>
        </w:tc>
        <w:tc>
          <w:tcPr>
            <w:tcW w:w="380" w:type="dxa"/>
            <w:vAlign w:val="bottom"/>
          </w:tcPr>
          <w:p>
            <w:pPr>
              <w:spacing w:after="0"/>
              <w:rPr>
                <w:sz w:val="24"/>
                <w:szCs w:val="24"/>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513</w:t>
            </w:r>
          </w:p>
        </w:tc>
      </w:tr>
      <w:tr>
        <w:trPr>
          <w:trHeight w:val="364"/>
        </w:trPr>
        <w:tc>
          <w:tcPr>
            <w:tcW w:w="18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725</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725</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679</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24"/>
                <w:szCs w:val="24"/>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588</w:t>
            </w:r>
          </w:p>
        </w:tc>
      </w:tr>
      <w:tr>
        <w:trPr>
          <w:trHeight w:val="182"/>
        </w:trPr>
        <w:tc>
          <w:tcPr>
            <w:tcW w:w="1880" w:type="dxa"/>
            <w:vAlign w:val="bottom"/>
          </w:tcPr>
          <w:p>
            <w:pPr>
              <w:spacing w:after="0"/>
              <w:rPr>
                <w:sz w:val="15"/>
                <w:szCs w:val="15"/>
                <w:color w:val="auto"/>
              </w:rPr>
            </w:pP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4"/>
        </w:trPr>
        <w:tc>
          <w:tcPr>
            <w:tcW w:w="18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$6,249</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$1,652</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$4,597</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$912</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$3,685</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$ 438</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1"/>
              </w:rPr>
              <w:t>2,947</w:t>
            </w:r>
          </w:p>
        </w:tc>
      </w:tr>
      <w:tr>
        <w:trPr>
          <w:trHeight w:val="182"/>
        </w:trPr>
        <w:tc>
          <w:tcPr>
            <w:tcW w:w="1880" w:type="dxa"/>
            <w:vAlign w:val="bottom"/>
          </w:tcPr>
          <w:p>
            <w:pPr>
              <w:spacing w:after="0"/>
              <w:rPr>
                <w:sz w:val="15"/>
                <w:szCs w:val="15"/>
                <w:color w:val="auto"/>
              </w:rPr>
            </w:pPr>
          </w:p>
        </w:tc>
        <w:tc>
          <w:tcPr>
            <w:tcW w:w="14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bl>
    <w:p>
      <w:pPr>
        <w:spacing w:after="0" w:line="368" w:lineRule="exact"/>
        <w:rPr>
          <w:sz w:val="20"/>
          <w:szCs w:val="20"/>
          <w:color w:val="auto"/>
        </w:rPr>
      </w:pPr>
    </w:p>
    <w:p>
      <w:pPr>
        <w:jc w:val="both"/>
        <w:ind w:right="3880"/>
        <w:spacing w:after="0" w:line="256" w:lineRule="auto"/>
        <w:rPr>
          <w:sz w:val="20"/>
          <w:szCs w:val="20"/>
          <w:color w:val="auto"/>
        </w:rPr>
      </w:pPr>
      <w:r>
        <w:rPr>
          <w:rFonts w:ascii="Courier New" w:cs="Courier New" w:eastAsia="Courier New" w:hAnsi="Courier New"/>
          <w:sz w:val="15"/>
          <w:szCs w:val="15"/>
          <w:color w:val="auto"/>
        </w:rPr>
        <w:t>The Company projected at November 30, 1997, that it would incur an additional $10,540 of charges during 1998 as a result of (1) operating inefficiencies at plants involved in consolidations and (2) costs incurred at idle facilities.</w:t>
      </w:r>
    </w:p>
    <w:p>
      <w:pPr>
        <w:spacing w:after="0" w:line="2" w:lineRule="exact"/>
        <w:rPr>
          <w:sz w:val="20"/>
          <w:szCs w:val="20"/>
          <w:color w:val="auto"/>
        </w:rPr>
      </w:pPr>
    </w:p>
    <w:p>
      <w:pPr>
        <w:ind w:right="3880"/>
        <w:spacing w:after="0" w:line="238" w:lineRule="auto"/>
        <w:rPr>
          <w:sz w:val="20"/>
          <w:szCs w:val="20"/>
          <w:color w:val="auto"/>
        </w:rPr>
      </w:pPr>
      <w:r>
        <w:rPr>
          <w:rFonts w:ascii="Courier New" w:cs="Courier New" w:eastAsia="Courier New" w:hAnsi="Courier New"/>
          <w:sz w:val="16"/>
          <w:szCs w:val="16"/>
          <w:color w:val="auto"/>
        </w:rPr>
        <w:t>The total of these expenses incurred during each of the 13 week periods ended August 29, 1998, May 30, 1998 and February 28, 1998 was $976, $1,537 and $1,469, respectively.</w:t>
      </w: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Note E. Commitments and Contingencies:</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A suit was filed in June, 1997, in the Superior Court of the State of</w:t>
      </w:r>
    </w:p>
    <w:p>
      <w:pPr>
        <w:spacing w:after="0" w:line="5" w:lineRule="exact"/>
        <w:rPr>
          <w:sz w:val="20"/>
          <w:szCs w:val="20"/>
          <w:color w:val="auto"/>
        </w:rPr>
      </w:pPr>
    </w:p>
    <w:p>
      <w:pPr>
        <w:jc w:val="center"/>
        <w:ind w:right="3680"/>
        <w:spacing w:after="0" w:line="239" w:lineRule="auto"/>
        <w:rPr>
          <w:sz w:val="20"/>
          <w:szCs w:val="20"/>
          <w:color w:val="auto"/>
        </w:rPr>
      </w:pPr>
      <w:r>
        <w:rPr>
          <w:rFonts w:ascii="Courier New" w:cs="Courier New" w:eastAsia="Courier New" w:hAnsi="Courier New"/>
          <w:sz w:val="16"/>
          <w:szCs w:val="16"/>
          <w:color w:val="auto"/>
        </w:rPr>
        <w:t>California for the County of Los Angeles (the "Superior Court") against the Company, two major retailers and certain current and former employees of the Company. The suit sought certification of a class consisting of all consumers who purchased certain mattresses and box springs from the major retailers which were manufactured by a subsidiary of the Company, E. B. Malone Corporation, with different specifications than those originally manufactured for sale by these retailers. The suit alleged</w:t>
      </w:r>
    </w:p>
    <w:p>
      <w:pPr>
        <w:spacing w:after="0" w:line="36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6 of 17</w:t>
      </w:r>
    </w:p>
    <w:p>
      <w:pPr>
        <w:sectPr>
          <w:pgSz w:w="11900" w:h="16838" w:orient="portrait"/>
          <w:cols w:equalWidth="0" w:num="1">
            <w:col w:w="11160"/>
          </w:cols>
          <w:pgMar w:left="240" w:top="295" w:right="49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5" w:lineRule="exact"/>
        <w:rPr>
          <w:sz w:val="20"/>
          <w:szCs w:val="20"/>
          <w:color w:val="auto"/>
        </w:rPr>
      </w:pPr>
    </w:p>
    <w:p>
      <w:pPr>
        <w:ind w:left="840" w:right="3499" w:firstLine="95"/>
        <w:spacing w:after="0" w:line="267" w:lineRule="auto"/>
        <w:rPr>
          <w:sz w:val="20"/>
          <w:szCs w:val="20"/>
          <w:color w:val="auto"/>
        </w:rPr>
      </w:pPr>
      <w:r>
        <w:rPr>
          <w:rFonts w:ascii="Courier New" w:cs="Courier New" w:eastAsia="Courier New" w:hAnsi="Courier New"/>
          <w:sz w:val="15"/>
          <w:szCs w:val="15"/>
          <w:color w:val="auto"/>
        </w:rPr>
        <w:t>BASSETT FURNITURE INDUSTRIES, INCORPORATED AND SUBSIDIARIES AUGUST 29, 1998 (in thousands except share and per share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Commitments and Contingencies (continued):</w:t>
      </w:r>
    </w:p>
    <w:p>
      <w:pPr>
        <w:spacing w:after="0" w:line="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various causes of action, including negligent misrepresentation, breach of warranty, violations of deceptive practices laws and fraud. Plaintiffs sought compensatory damages of $100 million and punitive damages. In September, 1997, the Superior Court sustained the Company's demurrers to several of plaintiffs' causes of action, but granted the plaintiffs leave to amend. Plaintiffs' Second Amended Complaint added certain independent retailers and consumers as additional plaintiffs. In December, 1997, the Superior Court once again sustained the Company's demurrers to several of plaintiffs' causes of action, but also once again granted plaintiffs leave to amend. Plaintiffs filed a Third Amended Complaint. In February, 1998, the Superior Court sustained the Company's demurrers to many of the individual claims, this time without granting plaintiffs leave to amend. The Superior Court also sustained the Company's demurrer to the class action allegations in the Third Amended Complaint, without granting leave to amend, and transferred the entire action out of the class action department. Plaintiffs have filed a notice of appeal from the class action ruling. Plaintiffs also filed a petition for a writ of mandamus or other extraordinary relief seeking immediate review of the other demurrer rulings, which petition was denied.</w:t>
      </w:r>
    </w:p>
    <w:p>
      <w:pPr>
        <w:spacing w:after="0" w:line="193"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suit was subsequently transferred from the Superior Court for the County of Los Angeles to the Superior Court for Orange County. After the case was transferred to Orange County, Demurrers were filed on behalf of all current and former employees of the Company who had been named as defendants. Shortly before the hearing on the demurrers, the plaintiffs stipulated to a dismissal with prejudice of all individual defendants. Additionally, all remaining claims against the Company were stayed by the Court pending Plaintiffs' appeal of the dismissal of their class action allegations. Although it is impossible to predict the ultimate outcome of this litigation, the Company intends to vigorously defend this suit because it believes that the damages sought are unjustified and because this case is inappropriate for class action treatment. Because the Company believes that the two major retailers were unaware of the changes in specifications, the Company has agreed to indemnify the two major retailers with respect to the above.</w:t>
      </w:r>
    </w:p>
    <w:p>
      <w:pPr>
        <w:spacing w:after="0" w:line="19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Company is also involved in various other claims and actions, including environmental matters at certain of its plant facilities, which arise in the normal course of business.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92"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The Board of Directors for Bassett Furniture Industries, Inc. has approved a stock repurchase program for up to 1.3 million shares of its Common Stock for an aggregate purchase price not to exceed $40 million. Bassett currently has approximately 13 million shares outstanding. The repurchases may be effected from time to time in accordance with applicable securities laws, through open market transactions, in block purchases, in privately negotiated transactions, or otherwise, and on such terms and conditions, all as may be approved by any Authorized Officer.</w:t>
      </w:r>
    </w:p>
    <w:p>
      <w:pPr>
        <w:spacing w:after="0" w:line="187"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Board of Directors adopted a Shareholder Rights Plan, which replaces a similar plan that expired on May 16, 1998. The Plan was not adopted in response to any specific effort to acquire control of the Company. If a person or group acquires beneficial ownership of 20% or more of the Common Stock outstanding, each Right distributed under the Plan will entitle its holder (other than such person or group) to purchase, at the Right's then-current exercise price, a number of shares of the Company's Common Stock having a market value of twice such price. Detailed descriptions of the Rights are being sent to the Company's shareholders and have been filed with the Securities and Exchange Commission.</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 of 17</w:t>
      </w:r>
    </w:p>
    <w:p>
      <w:pPr>
        <w:sectPr>
          <w:pgSz w:w="11900" w:h="16838" w:orient="portrait"/>
          <w:cols w:equalWidth="0" w:num="1">
            <w:col w:w="10219"/>
          </w:cols>
          <w:pgMar w:left="240" w:top="295"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6900" w:type="dxa"/>
            <w:vAlign w:val="bottom"/>
          </w:tcPr>
          <w:p>
            <w:pPr>
              <w:ind w:left="280"/>
              <w:spacing w:after="0"/>
              <w:rPr>
                <w:sz w:val="20"/>
                <w:szCs w:val="20"/>
                <w:color w:val="auto"/>
              </w:rPr>
            </w:pPr>
            <w:r>
              <w:rPr>
                <w:rFonts w:ascii="Courier New" w:cs="Courier New" w:eastAsia="Courier New" w:hAnsi="Courier New"/>
                <w:sz w:val="16"/>
                <w:szCs w:val="16"/>
                <w:color w:val="auto"/>
              </w:rPr>
              <w:t>8</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909"/>
        </w:trPr>
        <w:tc>
          <w:tcPr>
            <w:tcW w:w="6900" w:type="dxa"/>
            <w:vAlign w:val="bottom"/>
          </w:tcPr>
          <w:p>
            <w:pPr>
              <w:ind w:left="1980"/>
              <w:spacing w:after="0"/>
              <w:rPr>
                <w:sz w:val="20"/>
                <w:szCs w:val="20"/>
                <w:color w:val="auto"/>
              </w:rPr>
            </w:pPr>
            <w:r>
              <w:rPr>
                <w:rFonts w:ascii="Courier New" w:cs="Courier New" w:eastAsia="Courier New" w:hAnsi="Courier New"/>
                <w:sz w:val="16"/>
                <w:szCs w:val="16"/>
                <w:color w:val="auto"/>
              </w:rPr>
              <w:t>PART I-FINANCIAL INFORMATION-CONTINUED</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900" w:type="dxa"/>
            <w:vAlign w:val="bottom"/>
          </w:tcPr>
          <w:p>
            <w:pPr>
              <w:ind w:left="940"/>
              <w:spacing w:after="0"/>
              <w:rPr>
                <w:sz w:val="20"/>
                <w:szCs w:val="20"/>
                <w:color w:val="auto"/>
              </w:rPr>
            </w:pPr>
            <w:r>
              <w:rPr>
                <w:rFonts w:ascii="Courier New" w:cs="Courier New" w:eastAsia="Courier New" w:hAnsi="Courier New"/>
                <w:sz w:val="16"/>
                <w:szCs w:val="16"/>
                <w:color w:val="auto"/>
              </w:rPr>
              <w:t>BASSETT FURNITURE INDUSTRIES, INCORPORATED AND SUBSIDIARIES</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900" w:type="dxa"/>
            <w:vAlign w:val="bottom"/>
          </w:tcPr>
          <w:p>
            <w:pPr>
              <w:ind w:left="840"/>
              <w:spacing w:after="0"/>
              <w:rPr>
                <w:sz w:val="20"/>
                <w:szCs w:val="20"/>
                <w:color w:val="auto"/>
              </w:rPr>
            </w:pPr>
            <w:r>
              <w:rPr>
                <w:rFonts w:ascii="Courier New" w:cs="Courier New" w:eastAsia="Courier New" w:hAnsi="Courier New"/>
                <w:sz w:val="16"/>
                <w:szCs w:val="16"/>
                <w:color w:val="auto"/>
              </w:rPr>
              <w:t>AUGUST 29, 1998 (in thousands except share and per share data)</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6900" w:type="dxa"/>
            <w:vAlign w:val="bottom"/>
          </w:tcPr>
          <w:p>
            <w:pPr>
              <w:spacing w:after="0"/>
              <w:rPr>
                <w:sz w:val="20"/>
                <w:szCs w:val="20"/>
                <w:color w:val="auto"/>
              </w:rPr>
            </w:pPr>
            <w:r>
              <w:rPr>
                <w:rFonts w:ascii="Courier New" w:cs="Courier New" w:eastAsia="Courier New" w:hAnsi="Courier New"/>
                <w:sz w:val="16"/>
                <w:szCs w:val="16"/>
                <w:color w:val="auto"/>
              </w:rPr>
              <w:t>Note F. Earnings per share:</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8600" w:type="dxa"/>
            <w:vAlign w:val="bottom"/>
            <w:gridSpan w:val="2"/>
          </w:tcPr>
          <w:p>
            <w:pPr>
              <w:spacing w:after="0"/>
              <w:rPr>
                <w:sz w:val="20"/>
                <w:szCs w:val="20"/>
                <w:color w:val="auto"/>
              </w:rPr>
            </w:pPr>
            <w:r>
              <w:rPr>
                <w:rFonts w:ascii="Courier New" w:cs="Courier New" w:eastAsia="Courier New" w:hAnsi="Courier New"/>
                <w:sz w:val="16"/>
                <w:szCs w:val="16"/>
                <w:color w:val="auto"/>
              </w:rPr>
              <w:t>The Company adopted SFAS No. 128, "Earnings per Share," effective December 1,</w:t>
            </w: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8600" w:type="dxa"/>
            <w:vAlign w:val="bottom"/>
            <w:gridSpan w:val="2"/>
          </w:tcPr>
          <w:p>
            <w:pPr>
              <w:spacing w:after="0"/>
              <w:rPr>
                <w:sz w:val="20"/>
                <w:szCs w:val="20"/>
                <w:color w:val="auto"/>
              </w:rPr>
            </w:pPr>
            <w:r>
              <w:rPr>
                <w:rFonts w:ascii="Courier New" w:cs="Courier New" w:eastAsia="Courier New" w:hAnsi="Courier New"/>
                <w:sz w:val="16"/>
                <w:szCs w:val="16"/>
                <w:color w:val="auto"/>
              </w:rPr>
              <w:t>1997. As a result, the Company's reported earnings per share for 1997 have been</w:t>
            </w: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8600" w:type="dxa"/>
            <w:vAlign w:val="bottom"/>
            <w:gridSpan w:val="2"/>
          </w:tcPr>
          <w:p>
            <w:pPr>
              <w:spacing w:after="0"/>
              <w:rPr>
                <w:sz w:val="20"/>
                <w:szCs w:val="20"/>
                <w:color w:val="auto"/>
              </w:rPr>
            </w:pPr>
            <w:r>
              <w:rPr>
                <w:rFonts w:ascii="Courier New" w:cs="Courier New" w:eastAsia="Courier New" w:hAnsi="Courier New"/>
                <w:sz w:val="16"/>
                <w:szCs w:val="16"/>
                <w:color w:val="auto"/>
              </w:rPr>
              <w:t>restated. The effect of this accounting change on previously reported earnings</w:t>
            </w: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per share (EPS) data was not material.</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8"/>
        </w:trPr>
        <w:tc>
          <w:tcPr>
            <w:tcW w:w="6900" w:type="dxa"/>
            <w:vAlign w:val="bottom"/>
          </w:tcPr>
          <w:p>
            <w:pPr>
              <w:ind w:left="6040"/>
              <w:spacing w:after="0"/>
              <w:rPr>
                <w:sz w:val="20"/>
                <w:szCs w:val="20"/>
                <w:color w:val="auto"/>
              </w:rPr>
            </w:pPr>
            <w:r>
              <w:rPr>
                <w:rFonts w:ascii="Courier New" w:cs="Courier New" w:eastAsia="Courier New" w:hAnsi="Courier New"/>
                <w:sz w:val="16"/>
                <w:szCs w:val="16"/>
                <w:color w:val="auto"/>
              </w:rPr>
              <w:t>Income</w:t>
            </w:r>
          </w:p>
        </w:tc>
        <w:tc>
          <w:tcPr>
            <w:tcW w:w="1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Shares</w:t>
            </w:r>
          </w:p>
        </w:tc>
        <w:tc>
          <w:tcPr>
            <w:tcW w:w="1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Per share</w:t>
            </w:r>
          </w:p>
        </w:tc>
        <w:tc>
          <w:tcPr>
            <w:tcW w:w="1040" w:type="dxa"/>
            <w:vAlign w:val="bottom"/>
          </w:tcPr>
          <w:p>
            <w:pPr>
              <w:spacing w:after="0"/>
              <w:rPr>
                <w:sz w:val="24"/>
                <w:szCs w:val="24"/>
                <w:color w:val="auto"/>
              </w:rPr>
            </w:pPr>
          </w:p>
        </w:tc>
      </w:tr>
      <w:tr>
        <w:trPr>
          <w:trHeight w:val="182"/>
        </w:trPr>
        <w:tc>
          <w:tcPr>
            <w:tcW w:w="6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amount</w:t>
            </w:r>
          </w:p>
        </w:tc>
      </w:tr>
      <w:tr>
        <w:trPr>
          <w:trHeight w:val="182"/>
        </w:trPr>
        <w:tc>
          <w:tcPr>
            <w:tcW w:w="11340" w:type="dxa"/>
            <w:vAlign w:val="bottom"/>
            <w:gridSpan w:val="4"/>
          </w:tcPr>
          <w:p>
            <w:pPr>
              <w:ind w:left="604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6900" w:type="dxa"/>
            <w:vAlign w:val="bottom"/>
          </w:tcPr>
          <w:p>
            <w:pPr>
              <w:spacing w:after="0"/>
              <w:rPr>
                <w:sz w:val="20"/>
                <w:szCs w:val="20"/>
                <w:color w:val="auto"/>
              </w:rPr>
            </w:pPr>
            <w:r>
              <w:rPr>
                <w:rFonts w:ascii="Courier New" w:cs="Courier New" w:eastAsia="Courier New" w:hAnsi="Courier New"/>
                <w:sz w:val="16"/>
                <w:szCs w:val="16"/>
                <w:color w:val="auto"/>
              </w:rPr>
              <w:t>For the thirty-nine weeks ended August 29, 1998</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6900" w:type="dxa"/>
            <w:vAlign w:val="bottom"/>
          </w:tcPr>
          <w:p>
            <w:pPr>
              <w:spacing w:after="0"/>
              <w:rPr>
                <w:sz w:val="20"/>
                <w:szCs w:val="20"/>
                <w:color w:val="auto"/>
              </w:rPr>
            </w:pPr>
            <w:r>
              <w:rPr>
                <w:rFonts w:ascii="Courier New" w:cs="Courier New" w:eastAsia="Courier New" w:hAnsi="Courier New"/>
                <w:sz w:val="16"/>
                <w:szCs w:val="16"/>
                <w:color w:val="auto"/>
              </w:rPr>
              <w:t>Net income available to common stockholders</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$10,521</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13,014,703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$0.81</w:t>
            </w: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6900" w:type="dxa"/>
            <w:vAlign w:val="bottom"/>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99,424</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900" w:type="dxa"/>
            <w:vAlign w:val="bottom"/>
          </w:tcPr>
          <w:p>
            <w:pPr>
              <w:ind w:left="380"/>
              <w:spacing w:after="0"/>
              <w:rPr>
                <w:sz w:val="20"/>
                <w:szCs w:val="20"/>
                <w:color w:val="auto"/>
              </w:rPr>
            </w:pPr>
            <w:r>
              <w:rPr>
                <w:rFonts w:ascii="Courier New" w:cs="Courier New" w:eastAsia="Courier New" w:hAnsi="Courier New"/>
                <w:sz w:val="16"/>
                <w:szCs w:val="16"/>
                <w:color w:val="auto"/>
              </w:rPr>
              <w:t>Restricted stock issued to employees</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4,162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1340" w:type="dxa"/>
            <w:vAlign w:val="bottom"/>
            <w:gridSpan w:val="4"/>
          </w:tcPr>
          <w:p>
            <w:pPr>
              <w:ind w:left="604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$10,521</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13,118,289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$0.80</w:t>
            </w:r>
          </w:p>
        </w:tc>
      </w:tr>
      <w:tr>
        <w:trPr>
          <w:trHeight w:val="182"/>
        </w:trPr>
        <w:tc>
          <w:tcPr>
            <w:tcW w:w="6900" w:type="dxa"/>
            <w:vAlign w:val="bottom"/>
          </w:tcPr>
          <w:p>
            <w:pPr>
              <w:spacing w:after="0"/>
              <w:rPr>
                <w:sz w:val="15"/>
                <w:szCs w:val="15"/>
                <w:color w:val="auto"/>
              </w:rPr>
            </w:pP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6900" w:type="dxa"/>
            <w:vAlign w:val="bottom"/>
          </w:tcPr>
          <w:p>
            <w:pPr>
              <w:spacing w:after="0"/>
              <w:rPr>
                <w:sz w:val="20"/>
                <w:szCs w:val="20"/>
                <w:color w:val="auto"/>
              </w:rPr>
            </w:pPr>
            <w:r>
              <w:rPr>
                <w:rFonts w:ascii="Courier New" w:cs="Courier New" w:eastAsia="Courier New" w:hAnsi="Courier New"/>
                <w:sz w:val="16"/>
                <w:szCs w:val="16"/>
                <w:color w:val="auto"/>
              </w:rPr>
              <w:t>For the thirteen weeks ended August 29, 1998</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6900" w:type="dxa"/>
            <w:vAlign w:val="bottom"/>
          </w:tcPr>
          <w:p>
            <w:pPr>
              <w:spacing w:after="0"/>
              <w:rPr>
                <w:sz w:val="20"/>
                <w:szCs w:val="20"/>
                <w:color w:val="auto"/>
              </w:rPr>
            </w:pPr>
            <w:r>
              <w:rPr>
                <w:rFonts w:ascii="Courier New" w:cs="Courier New" w:eastAsia="Courier New" w:hAnsi="Courier New"/>
                <w:sz w:val="16"/>
                <w:szCs w:val="16"/>
                <w:color w:val="auto"/>
              </w:rPr>
              <w:t>Net income available to common stockholders</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$3,127</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12,997,947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$0.24</w:t>
            </w: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6900" w:type="dxa"/>
            <w:vAlign w:val="bottom"/>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82,961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900" w:type="dxa"/>
            <w:vAlign w:val="bottom"/>
          </w:tcPr>
          <w:p>
            <w:pPr>
              <w:ind w:left="380"/>
              <w:spacing w:after="0"/>
              <w:rPr>
                <w:sz w:val="20"/>
                <w:szCs w:val="20"/>
                <w:color w:val="auto"/>
              </w:rPr>
            </w:pPr>
            <w:r>
              <w:rPr>
                <w:rFonts w:ascii="Courier New" w:cs="Courier New" w:eastAsia="Courier New" w:hAnsi="Courier New"/>
                <w:sz w:val="16"/>
                <w:szCs w:val="16"/>
                <w:color w:val="auto"/>
              </w:rPr>
              <w:t>Restricted stock issued to employees</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1,887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11340" w:type="dxa"/>
            <w:vAlign w:val="bottom"/>
            <w:gridSpan w:val="4"/>
          </w:tcPr>
          <w:p>
            <w:pPr>
              <w:ind w:left="604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$3,127</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13,082,795</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$0.24</w:t>
            </w:r>
          </w:p>
        </w:tc>
      </w:tr>
      <w:tr>
        <w:trPr>
          <w:trHeight w:val="182"/>
        </w:trPr>
        <w:tc>
          <w:tcPr>
            <w:tcW w:w="6900" w:type="dxa"/>
            <w:vAlign w:val="bottom"/>
          </w:tcPr>
          <w:p>
            <w:pPr>
              <w:spacing w:after="0"/>
              <w:rPr>
                <w:sz w:val="15"/>
                <w:szCs w:val="15"/>
                <w:color w:val="auto"/>
              </w:rPr>
            </w:pPr>
          </w:p>
        </w:tc>
        <w:tc>
          <w:tcPr>
            <w:tcW w:w="1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nine months ended August 31,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income (loss) available to common stockholders</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$(15,664)</w:t>
            </w:r>
          </w:p>
        </w:tc>
        <w:tc>
          <w:tcPr>
            <w:tcW w:w="1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13,047,785</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2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4"/>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15,793</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15"/>
                <w:szCs w:val="15"/>
                <w:color w:val="auto"/>
              </w:rPr>
            </w:pPr>
          </w:p>
        </w:tc>
        <w:tc>
          <w:tcPr>
            <w:tcW w:w="5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$(15,664)</w:t>
            </w:r>
          </w:p>
        </w:tc>
        <w:tc>
          <w:tcPr>
            <w:tcW w:w="1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13,063,578</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w:t>
            </w:r>
          </w:p>
        </w:tc>
      </w:tr>
      <w:tr>
        <w:trPr>
          <w:trHeight w:val="182"/>
        </w:trPr>
        <w:tc>
          <w:tcPr>
            <w:tcW w:w="5380" w:type="dxa"/>
            <w:vAlign w:val="bottom"/>
          </w:tcPr>
          <w:p>
            <w:pPr>
              <w:spacing w:after="0"/>
              <w:rPr>
                <w:sz w:val="15"/>
                <w:szCs w:val="15"/>
                <w:color w:val="auto"/>
              </w:rPr>
            </w:pP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5380" w:type="dxa"/>
            <w:vAlign w:val="bottom"/>
          </w:tcPr>
          <w:p>
            <w:pPr>
              <w:spacing w:after="0"/>
              <w:rPr>
                <w:sz w:val="20"/>
                <w:szCs w:val="20"/>
                <w:color w:val="auto"/>
              </w:rPr>
            </w:pPr>
            <w:r>
              <w:rPr>
                <w:rFonts w:ascii="Courier New" w:cs="Courier New" w:eastAsia="Courier New" w:hAnsi="Courier New"/>
                <w:sz w:val="16"/>
                <w:szCs w:val="16"/>
                <w:color w:val="auto"/>
              </w:rPr>
              <w:t>For the three months ended August 31, 1997</w:t>
            </w:r>
          </w:p>
        </w:tc>
        <w:tc>
          <w:tcPr>
            <w:tcW w:w="2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income (loss) available to common stockholders</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$(5,072)</w:t>
            </w:r>
          </w:p>
        </w:tc>
        <w:tc>
          <w:tcPr>
            <w:tcW w:w="19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13,017,883</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2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4"/>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Options issued to directors and employees</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3,489</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15"/>
                <w:szCs w:val="15"/>
                <w:color w:val="auto"/>
              </w:rPr>
            </w:pPr>
          </w:p>
        </w:tc>
        <w:tc>
          <w:tcPr>
            <w:tcW w:w="5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$(5,072)</w:t>
            </w:r>
          </w:p>
        </w:tc>
        <w:tc>
          <w:tcPr>
            <w:tcW w:w="19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13,021,372</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w:t>
            </w:r>
          </w:p>
        </w:tc>
      </w:tr>
      <w:tr>
        <w:trPr>
          <w:trHeight w:val="182"/>
        </w:trPr>
        <w:tc>
          <w:tcPr>
            <w:tcW w:w="5380" w:type="dxa"/>
            <w:vAlign w:val="bottom"/>
          </w:tcPr>
          <w:p>
            <w:pPr>
              <w:spacing w:after="0"/>
              <w:rPr>
                <w:sz w:val="15"/>
                <w:szCs w:val="15"/>
                <w:color w:val="auto"/>
              </w:rPr>
            </w:pPr>
          </w:p>
        </w:tc>
        <w:tc>
          <w:tcPr>
            <w:tcW w:w="2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to purchase 804,898 shares of common stock at prices ranging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$32.25 to $37.40 per share were outstanding during the third quarter of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were not included in the computation of diluted EPS because the options'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prices were greater than the average market price of the common</w:t>
      </w:r>
    </w:p>
    <w:p>
      <w:pPr>
        <w:spacing w:after="0" w:line="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shares.</w:t>
        <w:tab/>
        <w:t>In 1997, 149,067 shares at a price of $37.40 were similarly excluded.</w:t>
      </w:r>
    </w:p>
    <w:p>
      <w:pPr>
        <w:sectPr>
          <w:pgSz w:w="11900" w:h="16838" w:orient="portrait"/>
          <w:cols w:equalWidth="0" w:num="1">
            <w:col w:w="11520"/>
          </w:cols>
          <w:pgMar w:left="240" w:top="295" w:right="139" w:bottom="708" w:gutter="0" w:footer="0" w:header="0"/>
        </w:sectPr>
      </w:pPr>
    </w:p>
    <w:p>
      <w:pPr>
        <w:spacing w:after="0" w:line="36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8 of 17</w:t>
      </w:r>
    </w:p>
    <w:p>
      <w:pPr>
        <w:sectPr>
          <w:pgSz w:w="11900" w:h="16838" w:orient="portrait"/>
          <w:cols w:equalWidth="0" w:num="1">
            <w:col w:w="11520"/>
          </w:cols>
          <w:pgMar w:left="240" w:top="295" w:right="139" w:bottom="708"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3080" w:type="dxa"/>
            <w:vAlign w:val="bottom"/>
          </w:tcPr>
          <w:p>
            <w:pPr>
              <w:ind w:left="280"/>
              <w:spacing w:after="0"/>
              <w:rPr>
                <w:sz w:val="20"/>
                <w:szCs w:val="20"/>
                <w:color w:val="auto"/>
              </w:rPr>
            </w:pPr>
            <w:r>
              <w:rPr>
                <w:rFonts w:ascii="Courier New" w:cs="Courier New" w:eastAsia="Courier New" w:hAnsi="Courier New"/>
                <w:sz w:val="16"/>
                <w:szCs w:val="16"/>
                <w:color w:val="auto"/>
              </w:rPr>
              <w:t>9</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46"/>
        </w:trPr>
        <w:tc>
          <w:tcPr>
            <w:tcW w:w="6280" w:type="dxa"/>
            <w:vAlign w:val="bottom"/>
            <w:gridSpan w:val="4"/>
          </w:tcPr>
          <w:p>
            <w:pPr>
              <w:ind w:left="1980"/>
              <w:spacing w:after="0"/>
              <w:rPr>
                <w:sz w:val="20"/>
                <w:szCs w:val="20"/>
                <w:color w:val="auto"/>
              </w:rPr>
            </w:pPr>
            <w:r>
              <w:rPr>
                <w:rFonts w:ascii="Courier New" w:cs="Courier New" w:eastAsia="Courier New" w:hAnsi="Courier New"/>
                <w:sz w:val="16"/>
                <w:szCs w:val="16"/>
                <w:color w:val="auto"/>
              </w:rPr>
              <w:t>PART I-FINANCIAL INFORMATION-CONTINUED</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7660" w:type="dxa"/>
            <w:vAlign w:val="bottom"/>
            <w:gridSpan w:val="5"/>
          </w:tcPr>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280" w:type="dxa"/>
            <w:vAlign w:val="bottom"/>
            <w:gridSpan w:val="4"/>
          </w:tcPr>
          <w:p>
            <w:pPr>
              <w:ind w:left="1880"/>
              <w:spacing w:after="0"/>
              <w:rPr>
                <w:sz w:val="20"/>
                <w:szCs w:val="20"/>
                <w:color w:val="auto"/>
              </w:rPr>
            </w:pPr>
            <w:r>
              <w:rPr>
                <w:rFonts w:ascii="Courier New" w:cs="Courier New" w:eastAsia="Courier New" w:hAnsi="Courier New"/>
                <w:sz w:val="16"/>
                <w:szCs w:val="16"/>
                <w:color w:val="auto"/>
              </w:rPr>
              <w:t>AUGUST 29,1998 (in thousands of dollars)</w:t>
            </w: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4"/>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Note F. Earnings per share (continued):</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Basic earnings per common share was computed</w:t>
            </w:r>
          </w:p>
        </w:tc>
        <w:tc>
          <w:tcPr>
            <w:tcW w:w="3400" w:type="dxa"/>
            <w:vAlign w:val="bottom"/>
            <w:gridSpan w:val="3"/>
          </w:tcPr>
          <w:p>
            <w:pPr>
              <w:spacing w:after="0"/>
              <w:rPr>
                <w:sz w:val="20"/>
                <w:szCs w:val="20"/>
                <w:color w:val="auto"/>
              </w:rPr>
            </w:pPr>
            <w:r>
              <w:rPr>
                <w:rFonts w:ascii="Courier New" w:cs="Courier New" w:eastAsia="Courier New" w:hAnsi="Courier New"/>
                <w:sz w:val="16"/>
                <w:szCs w:val="16"/>
                <w:color w:val="auto"/>
              </w:rPr>
              <w:t>by dividing net income by the</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7660" w:type="dxa"/>
            <w:vAlign w:val="bottom"/>
            <w:gridSpan w:val="5"/>
          </w:tcPr>
          <w:p>
            <w:pPr>
              <w:spacing w:after="0"/>
              <w:rPr>
                <w:sz w:val="20"/>
                <w:szCs w:val="20"/>
                <w:color w:val="auto"/>
              </w:rPr>
            </w:pPr>
            <w:r>
              <w:rPr>
                <w:rFonts w:ascii="Courier New" w:cs="Courier New" w:eastAsia="Courier New" w:hAnsi="Courier New"/>
                <w:sz w:val="16"/>
                <w:szCs w:val="16"/>
                <w:color w:val="auto"/>
                <w:w w:val="99"/>
              </w:rPr>
              <w:t>weighted average number of shares of common stock outstanding during the period.</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7660" w:type="dxa"/>
            <w:vAlign w:val="bottom"/>
            <w:gridSpan w:val="5"/>
          </w:tcPr>
          <w:p>
            <w:pPr>
              <w:spacing w:after="0"/>
              <w:rPr>
                <w:sz w:val="20"/>
                <w:szCs w:val="20"/>
                <w:color w:val="auto"/>
              </w:rPr>
            </w:pPr>
            <w:r>
              <w:rPr>
                <w:rFonts w:ascii="Courier New" w:cs="Courier New" w:eastAsia="Courier New" w:hAnsi="Courier New"/>
                <w:sz w:val="16"/>
                <w:szCs w:val="16"/>
                <w:color w:val="auto"/>
              </w:rPr>
              <w:t>Diluted earnings per common share reflect the potential dilution that could</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7660" w:type="dxa"/>
            <w:vAlign w:val="bottom"/>
            <w:gridSpan w:val="5"/>
          </w:tcPr>
          <w:p>
            <w:pPr>
              <w:spacing w:after="0"/>
              <w:rPr>
                <w:sz w:val="20"/>
                <w:szCs w:val="20"/>
                <w:color w:val="auto"/>
              </w:rPr>
            </w:pPr>
            <w:r>
              <w:rPr>
                <w:rFonts w:ascii="Courier New" w:cs="Courier New" w:eastAsia="Courier New" w:hAnsi="Courier New"/>
                <w:sz w:val="16"/>
                <w:szCs w:val="16"/>
                <w:color w:val="auto"/>
              </w:rPr>
              <w:t>occur if securities or other contracts to issue common stock were exercised or</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converted into common stock.</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4"/>
        </w:trPr>
        <w:tc>
          <w:tcPr>
            <w:tcW w:w="7660" w:type="dxa"/>
            <w:vAlign w:val="bottom"/>
            <w:gridSpan w:val="5"/>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Results of Operations</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The major components of net income expressed</w:t>
            </w:r>
          </w:p>
        </w:tc>
        <w:tc>
          <w:tcPr>
            <w:tcW w:w="3400" w:type="dxa"/>
            <w:vAlign w:val="bottom"/>
            <w:gridSpan w:val="3"/>
          </w:tcPr>
          <w:p>
            <w:pPr>
              <w:spacing w:after="0"/>
              <w:rPr>
                <w:sz w:val="20"/>
                <w:szCs w:val="20"/>
                <w:color w:val="auto"/>
              </w:rPr>
            </w:pPr>
            <w:r>
              <w:rPr>
                <w:rFonts w:ascii="Courier New" w:cs="Courier New" w:eastAsia="Courier New" w:hAnsi="Courier New"/>
                <w:sz w:val="16"/>
                <w:szCs w:val="16"/>
                <w:color w:val="auto"/>
              </w:rPr>
              <w:t>as a percentage of net sales are as</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follows. The proforma data and the following</w:t>
            </w:r>
          </w:p>
        </w:tc>
        <w:tc>
          <w:tcPr>
            <w:tcW w:w="340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w w:val="97"/>
              </w:rPr>
              <w:t>discussions of net sales and costs</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7660" w:type="dxa"/>
            <w:vAlign w:val="bottom"/>
            <w:gridSpan w:val="5"/>
          </w:tcPr>
          <w:p>
            <w:pPr>
              <w:spacing w:after="0"/>
              <w:rPr>
                <w:sz w:val="20"/>
                <w:szCs w:val="20"/>
                <w:color w:val="auto"/>
              </w:rPr>
            </w:pPr>
            <w:r>
              <w:rPr>
                <w:rFonts w:ascii="Courier New" w:cs="Courier New" w:eastAsia="Courier New" w:hAnsi="Courier New"/>
                <w:sz w:val="16"/>
                <w:szCs w:val="16"/>
                <w:color w:val="auto"/>
              </w:rPr>
              <w:t>and expenses excludes the effect of sales from closed operations and the effect</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of nonrecurring charges.</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4"/>
        </w:trPr>
        <w:tc>
          <w:tcPr>
            <w:tcW w:w="4860" w:type="dxa"/>
            <w:vAlign w:val="bottom"/>
            <w:gridSpan w:val="3"/>
          </w:tcPr>
          <w:p>
            <w:pPr>
              <w:spacing w:after="0"/>
              <w:rPr>
                <w:sz w:val="20"/>
                <w:szCs w:val="20"/>
                <w:color w:val="auto"/>
              </w:rPr>
            </w:pPr>
            <w:r>
              <w:rPr>
                <w:rFonts w:ascii="Courier New" w:cs="Courier New" w:eastAsia="Courier New" w:hAnsi="Courier New"/>
                <w:sz w:val="16"/>
                <w:szCs w:val="16"/>
                <w:color w:val="auto"/>
                <w:w w:val="98"/>
              </w:rPr>
              <w:t>For the 39 weeks ended August 29, 1998 and the nine</w:t>
            </w:r>
          </w:p>
        </w:tc>
        <w:tc>
          <w:tcPr>
            <w:tcW w:w="2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months ended August 31, 1997</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and 1996</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46"/>
        </w:trPr>
        <w:tc>
          <w:tcPr>
            <w:tcW w:w="3080" w:type="dxa"/>
            <w:vAlign w:val="bottom"/>
          </w:tcPr>
          <w:p>
            <w:pPr>
              <w:spacing w:after="0"/>
              <w:rPr>
                <w:sz w:val="24"/>
                <w:szCs w:val="24"/>
                <w:color w:val="auto"/>
              </w:rPr>
            </w:pPr>
          </w:p>
        </w:tc>
        <w:tc>
          <w:tcPr>
            <w:tcW w:w="17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1998 Actual</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1998 Proforma</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 Actual</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 Proforma</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1996 Actual</w:t>
            </w:r>
          </w:p>
        </w:tc>
      </w:tr>
      <w:tr>
        <w:trPr>
          <w:trHeight w:val="182"/>
        </w:trPr>
        <w:tc>
          <w:tcPr>
            <w:tcW w:w="3080" w:type="dxa"/>
            <w:vAlign w:val="bottom"/>
          </w:tcPr>
          <w:p>
            <w:pPr>
              <w:spacing w:after="0"/>
              <w:rPr>
                <w:sz w:val="15"/>
                <w:szCs w:val="15"/>
                <w:color w:val="auto"/>
              </w:rPr>
            </w:pPr>
          </w:p>
        </w:tc>
        <w:tc>
          <w:tcPr>
            <w:tcW w:w="17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81.7%</w:t>
            </w:r>
          </w:p>
        </w:tc>
        <w:tc>
          <w:tcPr>
            <w:tcW w:w="600" w:type="dxa"/>
            <w:vAlign w:val="bottom"/>
          </w:tcPr>
          <w:p>
            <w:pPr>
              <w:spacing w:after="0"/>
              <w:rPr>
                <w:sz w:val="24"/>
                <w:szCs w:val="24"/>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80.5%</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88.4%</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83.3%</w:t>
            </w:r>
          </w:p>
        </w:tc>
        <w:tc>
          <w:tcPr>
            <w:tcW w:w="11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84.0%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19.5</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11.6</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16.7</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SG&amp;A expenses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16.1</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18.8</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13.9</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(12.1)</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3.0</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(9.1)</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60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w:t>
            </w:r>
          </w:p>
        </w:tc>
      </w:tr>
    </w:tbl>
    <w:p>
      <w:pPr>
        <w:spacing w:after="0" w:line="200" w:lineRule="exact"/>
        <w:rPr>
          <w:sz w:val="20"/>
          <w:szCs w:val="20"/>
          <w:color w:val="auto"/>
        </w:rPr>
      </w:pPr>
    </w:p>
    <w:p>
      <w:pPr>
        <w:spacing w:after="0" w:line="350"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6"/>
          <w:szCs w:val="16"/>
          <w:color w:val="auto"/>
        </w:rPr>
        <w:t>For the 13 weeks ended August 29, 1998 and the three months ended August 31, 1997 and 1996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17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1998 Actual</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1998 Proforma</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1997 Actual</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 Proforma</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1996 Actual</w:t>
            </w:r>
          </w:p>
        </w:tc>
      </w:tr>
      <w:tr>
        <w:trPr>
          <w:trHeight w:val="182"/>
        </w:trPr>
        <w:tc>
          <w:tcPr>
            <w:tcW w:w="3080" w:type="dxa"/>
            <w:vAlign w:val="bottom"/>
          </w:tcPr>
          <w:p>
            <w:pPr>
              <w:spacing w:after="0"/>
              <w:rPr>
                <w:sz w:val="15"/>
                <w:szCs w:val="15"/>
                <w:color w:val="auto"/>
              </w:rPr>
            </w:pPr>
          </w:p>
        </w:tc>
        <w:tc>
          <w:tcPr>
            <w:tcW w:w="17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7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82.0%</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80.9%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88.4%</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82.5%</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83.7%</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18.0</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19.1</w:t>
            </w:r>
          </w:p>
        </w:tc>
        <w:tc>
          <w:tcPr>
            <w:tcW w:w="13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11.6</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17.5</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16.3</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SG&amp;A expenses</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15.9</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15.9</w:t>
            </w:r>
          </w:p>
        </w:tc>
        <w:tc>
          <w:tcPr>
            <w:tcW w:w="13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18.8</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14.7</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13.6</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2.1</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(12.1)</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2.8</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2.7</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2.0</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w:t>
            </w:r>
          </w:p>
        </w:tc>
        <w:tc>
          <w:tcPr>
            <w:tcW w:w="13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3.0</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4.1</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4.1</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6.9</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5.7</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1.0</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1.4</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3.2</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5.6</w:t>
            </w: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4.4</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for the third quarter compared with prior years was as follows: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80" w:type="dxa"/>
            <w:vAlign w:val="bottom"/>
          </w:tcPr>
          <w:p>
            <w:pPr>
              <w:ind w:left="520"/>
              <w:spacing w:after="0"/>
              <w:rPr>
                <w:sz w:val="20"/>
                <w:szCs w:val="20"/>
                <w:color w:val="auto"/>
              </w:rPr>
            </w:pPr>
            <w:r>
              <w:rPr>
                <w:rFonts w:ascii="Courier New" w:cs="Courier New" w:eastAsia="Courier New" w:hAnsi="Courier New"/>
                <w:sz w:val="16"/>
                <w:szCs w:val="16"/>
                <w:color w:val="auto"/>
              </w:rPr>
              <w:t>Year-to-date</w:t>
            </w:r>
          </w:p>
        </w:tc>
        <w:tc>
          <w:tcPr>
            <w:tcW w:w="118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8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1998</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3120" w:type="dxa"/>
            <w:vAlign w:val="bottom"/>
          </w:tcPr>
          <w:p>
            <w:pPr>
              <w:spacing w:after="0"/>
              <w:rPr>
                <w:sz w:val="15"/>
                <w:szCs w:val="15"/>
                <w:color w:val="auto"/>
              </w:rPr>
            </w:pP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$294,761</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$333,256</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w w:val="96"/>
              </w:rPr>
              <w:t>$332,232</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 change from prior year</w:t>
            </w: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(11.6)%</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(8.2)%</w:t>
            </w:r>
          </w:p>
        </w:tc>
      </w:tr>
      <w:tr>
        <w:trPr>
          <w:trHeight w:val="364"/>
        </w:trPr>
        <w:tc>
          <w:tcPr>
            <w:tcW w:w="3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80" w:type="dxa"/>
            <w:vAlign w:val="bottom"/>
          </w:tcPr>
          <w:p>
            <w:pPr>
              <w:ind w:left="520"/>
              <w:spacing w:after="0"/>
              <w:rPr>
                <w:sz w:val="20"/>
                <w:szCs w:val="20"/>
                <w:color w:val="auto"/>
              </w:rPr>
            </w:pPr>
            <w:r>
              <w:rPr>
                <w:rFonts w:ascii="Courier New" w:cs="Courier New" w:eastAsia="Courier New" w:hAnsi="Courier New"/>
                <w:sz w:val="16"/>
                <w:szCs w:val="16"/>
                <w:color w:val="auto"/>
              </w:rPr>
              <w:t>Third Quarter</w:t>
            </w:r>
          </w:p>
        </w:tc>
        <w:tc>
          <w:tcPr>
            <w:tcW w:w="1180" w:type="dxa"/>
            <w:vAlign w:val="bottom"/>
          </w:tcPr>
          <w:p>
            <w:pPr>
              <w:spacing w:after="0"/>
              <w:rPr>
                <w:sz w:val="24"/>
                <w:szCs w:val="24"/>
                <w:color w:val="auto"/>
              </w:rPr>
            </w:pPr>
          </w:p>
        </w:tc>
      </w:tr>
      <w:tr>
        <w:trPr>
          <w:trHeight w:val="182"/>
        </w:trPr>
        <w:tc>
          <w:tcPr>
            <w:tcW w:w="3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8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1998</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3120" w:type="dxa"/>
            <w:vAlign w:val="bottom"/>
          </w:tcPr>
          <w:p>
            <w:pPr>
              <w:spacing w:after="0"/>
              <w:rPr>
                <w:sz w:val="15"/>
                <w:szCs w:val="15"/>
                <w:color w:val="auto"/>
              </w:rPr>
            </w:pP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$98,093</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$110,252</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w w:val="96"/>
              </w:rPr>
              <w:t>$109,008</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 change from prior year</w:t>
            </w:r>
          </w:p>
        </w:tc>
        <w:tc>
          <w:tcPr>
            <w:tcW w:w="2120" w:type="dxa"/>
            <w:vAlign w:val="bottom"/>
          </w:tcPr>
          <w:p>
            <w:pPr>
              <w:ind w:left="840"/>
              <w:spacing w:after="0"/>
              <w:rPr>
                <w:sz w:val="20"/>
                <w:szCs w:val="20"/>
                <w:color w:val="auto"/>
              </w:rPr>
            </w:pPr>
            <w:r>
              <w:rPr>
                <w:rFonts w:ascii="Courier New" w:cs="Courier New" w:eastAsia="Courier New" w:hAnsi="Courier New"/>
                <w:sz w:val="16"/>
                <w:szCs w:val="16"/>
                <w:color w:val="auto"/>
              </w:rPr>
              <w:t>(11.0)%</w:t>
            </w:r>
          </w:p>
        </w:tc>
        <w:tc>
          <w:tcPr>
            <w:tcW w:w="2180" w:type="dxa"/>
            <w:vAlign w:val="bottom"/>
          </w:tcPr>
          <w:p>
            <w:pPr>
              <w:ind w:left="1000"/>
              <w:spacing w:after="0"/>
              <w:rPr>
                <w:sz w:val="20"/>
                <w:szCs w:val="20"/>
                <w:color w:val="auto"/>
              </w:rPr>
            </w:pPr>
            <w:r>
              <w:rPr>
                <w:rFonts w:ascii="Courier New" w:cs="Courier New" w:eastAsia="Courier New" w:hAnsi="Courier New"/>
                <w:sz w:val="16"/>
                <w:szCs w:val="16"/>
                <w:color w:val="auto"/>
              </w:rPr>
              <w:t>1.1%</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(8.5)%</w:t>
            </w:r>
          </w:p>
        </w:tc>
      </w:tr>
    </w:tbl>
    <w:p>
      <w:pPr>
        <w:spacing w:after="0" w:line="200" w:lineRule="exact"/>
        <w:rPr>
          <w:sz w:val="20"/>
          <w:szCs w:val="20"/>
          <w:color w:val="auto"/>
        </w:rPr>
      </w:pPr>
    </w:p>
    <w:p>
      <w:pPr>
        <w:sectPr>
          <w:pgSz w:w="11900" w:h="16838" w:orient="portrait"/>
          <w:cols w:equalWidth="0" w:num="1">
            <w:col w:w="10300"/>
          </w:cols>
          <w:pgMar w:left="240" w:top="295" w:right="1359" w:bottom="8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9 of 17</w:t>
      </w:r>
    </w:p>
    <w:p>
      <w:pPr>
        <w:sectPr>
          <w:pgSz w:w="11900" w:h="16838" w:orient="portrait"/>
          <w:cols w:equalWidth="0" w:num="1">
            <w:col w:w="10300"/>
          </w:cols>
          <w:pgMar w:left="240" w:top="295" w:right="1359" w:bottom="89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5" w:lineRule="exact"/>
        <w:rPr>
          <w:sz w:val="20"/>
          <w:szCs w:val="20"/>
          <w:color w:val="auto"/>
        </w:rPr>
      </w:pPr>
    </w:p>
    <w:p>
      <w:pPr>
        <w:ind w:left="1880" w:right="3599" w:hanging="850"/>
        <w:spacing w:after="0" w:line="267" w:lineRule="auto"/>
        <w:rPr>
          <w:sz w:val="20"/>
          <w:szCs w:val="20"/>
          <w:color w:val="auto"/>
        </w:rPr>
      </w:pPr>
      <w:r>
        <w:rPr>
          <w:rFonts w:ascii="Courier New" w:cs="Courier New" w:eastAsia="Courier New" w:hAnsi="Courier New"/>
          <w:sz w:val="15"/>
          <w:szCs w:val="15"/>
          <w:color w:val="auto"/>
        </w:rPr>
        <w:t>BASSETT FURNITURE INDUSTRIES, INCORPORATED AND SUBSIDIARIES AUGUST 29,1998 (in thousands of dollars)</w:t>
      </w:r>
    </w:p>
    <w:p>
      <w:pPr>
        <w:spacing w:after="0" w:line="200" w:lineRule="exact"/>
        <w:rPr>
          <w:sz w:val="20"/>
          <w:szCs w:val="20"/>
          <w:color w:val="auto"/>
        </w:rPr>
      </w:pPr>
    </w:p>
    <w:p>
      <w:pPr>
        <w:spacing w:after="0" w:line="331"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Wood Division sales continued to be strong through the third quarter, increasing 18% over the third quarter of 1997 and 18% over the comparable nine months of 1997. Upholstery Division sales were down 18% below the third quarter 1997 volume and 15% below the nine month volume in 1997. Mattress division sales were down 26% below third quarter 1997 volumes and 24% behind the nine-month 1997 totals. The Weiman Division showed a 5% increase in sales volume for the quarter compared to the prior year, and an 8% increase over the comparable nine months of 1997. The sales decline in the Upholstery Division is attributable to the consolidation of motion furniture manufacturing into the Dumas, Arkansas plant, which resulted in the elimination of numerous SKU's and related sales. Eliminating the motion furniture consolidation, Upholstery sales were flat compared to the prior year. These results are generally attributable to the Company's strategic efforts to upgrade its upholstery product, improve margins and better align its customer base with the Company's distribution strategy. Mattress Division sales are down due to the loss as customers of Levitz Furniture in late 1997 and JC Penney in July 1998, but have increased when those sales are excluded from prior year sales. The Bassett Furniture Direct ("BFD") stores continue to open according to schedule and are now accounting for a significant portion of the Company's sales. Sales in BFD stores that had been open for more than one year, showed improved sales over the prior year volumes during the quarter. Certain recently introduced suites produced by the Wood Division, combined with improvements in overall quality, account for the significant sales increase.</w:t>
      </w:r>
    </w:p>
    <w:p>
      <w:pPr>
        <w:spacing w:after="0" w:line="1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Overall, the net decrease in sales resulted primarily from the discontinuance of the National/Mt. Airy and Impact product lines, which accounted for $11,866 of sales in the third quarter of 1997 compared to $496 in 1998 and $42,568 year-to-date in 1997 compared to $2,108 in 1998.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10 of 17</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AUGUST 29,1998 (in thousands of dollars)</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and expenses</w:t>
      </w:r>
    </w:p>
    <w:p>
      <w:pPr>
        <w:spacing w:after="0" w:line="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Company has shown marked improvement in operating efficiencies as gross profit margin has increased to 18.3% of net sales from 11.6% in 1997. This improvement is a direct result of the efficiencies gained through the Company's restructuring activities of 1997 and early 1998. In addition the Company has several new plant managers and a new general manager of wood and upholstery manufacturing operations. Management is aggressively attacking costs and inefficiencies. Gross profit margins have improved in virtually every facility compared to a year ago. All of the facilities that were involved in consolidations have shown improvements in production volumes and operating margins.</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Management was disappointed with the plants' overall performance for the third quarter. While the plants had achieved a gross profit margin excluding non-recurring charges of 20.1% in the second quarter, the third quarter's gross profit margin fell to 19.5%. The J.D. Bassett, Mt. Airy, and Dumas plants have been involved with plant consolidations and, while having made significant progress, and are still being adversely affected by the changes in product mix and processes.</w:t>
      </w:r>
    </w:p>
    <w:p>
      <w:pPr>
        <w:spacing w:after="0" w:line="192"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The 1997 cost of sales percentages were to up as the Company took nonrecurring, unusual, and restructuring charges totaling $43,876. Of these charges, $14,310 effected cost of sales, $13,277 effected SG&amp;A expenses and $16,289 were recorded as restructuring charges. These charges were taken as the Company decided to eliminate two product lines and close five plants in an effort to focus on its core business and also to improve plant efficiencies by eliminating excess manufacturing capacity. The Company incurred $6,000 in accounts receivable losses as a major retail customer filed for protection under Chapter 11 of the U.S. Bankruptcy Code. In addition, over $6,000 of losses were incurred in inventory de-valuations due to the above described actions.</w:t>
      </w:r>
    </w:p>
    <w:p>
      <w:pPr>
        <w:spacing w:after="0" w:line="17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SG&amp;A expenses excluding the effect of one-time charges in 1997, have increased in 1998 as the Company continues to add key management positions to grow the business, increases expenditures to promote the Bassett brand name and continues expenditures to grow the BFD stores and introduced the @t Home With Bassett Gallery concept. Expenses related to BFD stores and Gallery stores continue to escalate as the total number of these stores grows.</w:t>
      </w:r>
    </w:p>
    <w:p>
      <w:pPr>
        <w:spacing w:after="0" w:line="190" w:lineRule="exact"/>
        <w:rPr>
          <w:sz w:val="20"/>
          <w:szCs w:val="20"/>
          <w:color w:val="auto"/>
        </w:rPr>
      </w:pPr>
    </w:p>
    <w:p>
      <w:pPr>
        <w:jc w:val="both"/>
        <w:ind w:right="2839"/>
        <w:spacing w:after="0" w:line="238" w:lineRule="auto"/>
        <w:rPr>
          <w:sz w:val="20"/>
          <w:szCs w:val="20"/>
          <w:color w:val="auto"/>
        </w:rPr>
      </w:pPr>
      <w:r>
        <w:rPr>
          <w:rFonts w:ascii="Courier New" w:cs="Courier New" w:eastAsia="Courier New" w:hAnsi="Courier New"/>
          <w:sz w:val="16"/>
          <w:szCs w:val="16"/>
          <w:color w:val="auto"/>
        </w:rPr>
        <w:t>SG&amp;A expenses as a percentage of sales for 1997 were up slightly over 1996 due to costs associated with product promotion, BFD and Gallery store programs and the Company's focus on customer service.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5"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Other income is down in 1998 by $2,090 compared to1997. The Company sold investment securities during 1997, generating a year-to-date profit of $1,761. In addition, the 1997 total include profits of $1,285 from the sale of closed facilities. Excluding these items, the 1998 income is up significantly. Management has re-evaluated its investment policies in 1998 and altered its investment portfolio in order to obtain a higher yield.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The effective income tax rate for 1998 is 23.1 % compared to (48.3) % in 1997. The 1997 rate is a negative rate due to the loss incurred as a result of the restructuring and</w:t>
      </w: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11 of 17</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AUGUST 29,1998 (in thousands of dollars)</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one-time charges. The 1998 rate is being forced upward as the Company continues to improve it's operating income. In addition, many of the items in the current investment portfolio, under the new investment strategy, have higher tax rates than investments under the previous strategy.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Cash used in operating activities in 1998 was $1,958 compared to $14,686 provided by operating activities in 1997. Cash flow from operations in 1997 was up significantly because the Company was liquidating inventories and accounts receivable related to closed divisions. In 1998, inventories have risen as the Company is preparing itself for the fourth quarter, which is traditionally its strongest sales period.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current ratio as of August 29, 1998 and August 30, 1997, respectively,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3.82 to 1 and 4.79 to 1. Working capital for 1998 was $119,780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$153,810 in 1997. There are no material commitments for capital expenditures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29, 1998. Capital expenditures made in the future for normal expansion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anticipated to be made from funds generated by operating activities.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not typically used the debt or equity markets as sources of funds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Expenditures for property and equipment are up significantly as the Company is striving to update the equipment in the manufacturing facilities to improve productivity and product quality. In addition, expenditures for pollution equipment have increased in 1998 as the Company seeks to exceed compliance levels mandated by law.</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is involved in various claims and litigation, including a lawsuit concerning a subsidiary, E. B. Malone Corporation, as well as environmental matters at certain plant facilities, which arise in the normal course of business. The details of these matters are described in Note E in the Notes to Condensed Consolidated Financial Statements.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88"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Company's Board of Directors approved a stock repurchase program and adopted a Shareholders Rights Plan. The details to these matters are described in Note E in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12 of 17</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AUGUST 29,1998 (in thousands of dollars)</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Over the past few years, the Company has been steadily reengineering its business processes and information systems to prepare for the conversion to year 2000. This effort has incorporated an analysis of Year 2000 issues, and management believes that appropriate and timely action has been taken to minimize the impact of this event. The Year 2000 issue results from the inability of many computer systems and applications to recognize the year 2000 as the year following 1999. This could cause systems to process critical information incorrectly. The Company plans to implement new systems and technologies in 1998 and 1999 that will provide solutions to these issues. The most significant step in accomplishing this goal was completed in the first quarter of 1998 when a comprehensive enterprise system (which had been installed in over 4,400 companies and is Year 2000 compliant) was purchased; implementation began immediately and should be completed in the third quarter of 1999. Earlier in 1998, the Company engaged a consultant, knowledgeable of the enterprise system being installed, to advise and assist in the installation and implementation of the system. Completion of implementation of this enterprise system will insure the Company's readiness in software programs. The Company has made a thorough survey to identify all microcontrollers that are embedded within equipment to determine compliance in this area. All microcontrollers that were identified as non-compliant were or will be replaced. The Company is now preparing to make a second assessment of these microcontrollers to insure that all have been properly identified and replaced.</w:t>
      </w:r>
    </w:p>
    <w:p>
      <w:pPr>
        <w:spacing w:after="0" w:line="362"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The Company continues to work with its customers, suppliers and third party service providers to identify external weaknesses and provide solutions which will prevent the disruption of business activities at that time; it does not believe that it will be significantly affected by direct suppliers of raw materials or supplies that will be non-compliant. However, the Company cannot guarantee that Year 2000 related systems or hardware issues of its business partners will be corrected in a timely manner or that the failure of its business partners to correct these issues would not have a material adverse effect on its future results of operations or financial condition.</w:t>
      </w:r>
    </w:p>
    <w:p>
      <w:pPr>
        <w:spacing w:after="0" w:line="175" w:lineRule="exact"/>
        <w:rPr>
          <w:sz w:val="20"/>
          <w:szCs w:val="20"/>
          <w:color w:val="auto"/>
        </w:rPr>
      </w:pPr>
    </w:p>
    <w:p>
      <w:pPr>
        <w:ind w:right="2659" w:firstLine="95"/>
        <w:spacing w:after="0" w:line="239" w:lineRule="auto"/>
        <w:rPr>
          <w:sz w:val="20"/>
          <w:szCs w:val="20"/>
          <w:color w:val="auto"/>
        </w:rPr>
      </w:pPr>
      <w:r>
        <w:rPr>
          <w:rFonts w:ascii="Courier New" w:cs="Courier New" w:eastAsia="Courier New" w:hAnsi="Courier New"/>
          <w:sz w:val="16"/>
          <w:szCs w:val="16"/>
          <w:color w:val="auto"/>
        </w:rPr>
        <w:t>Management believes that the most likely "worst case scenario" will involve the failure of service providers to be compliant, thereby potentially causing business interruptions in the Company's normal channels of supply and distribution. The Company does not believe that it will be significantly affected by non-compliance by countries outside of the United States.</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Company is developing a contingency plan in the event that a business interruption caused by Year 2000 problems should occur. Contingency plans are in place for all information technology systems. The Company is preparing to upgrade its existing mainframe computer system in order to ensure compliance. Management is researching key raw materials markets to ensure that the Company is adequately supplied in the event that a key supplier is not compliant.</w:t>
      </w:r>
    </w:p>
    <w:p>
      <w:pPr>
        <w:spacing w:after="0" w:line="190"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does not expect the cost of implementation to have a material adverse effect on its future results of operations, liquidity or capital resources. The total cost of the Year 2000 project is estimated at $3,500. This total includes the new enterprise system that was purchased during 1998, which was not purchased to achieve Year 2000 compliance in our information systems. Instead it was purchased to provide management with the information and tools that it needs to better manage the Company. The Year 2000 problem has slightly accelerated the timetable for implementation, however. Of the total project cost, $3,100 represents the purchase of new software and hardware, which will be capitalized. The remaining will be expensed as incurred during 1998 and 1999. As of the end of the third quarter, the Company has spent approximately $2,900 on the project.</w:t>
      </w:r>
    </w:p>
    <w:p>
      <w:pPr>
        <w:spacing w:after="0" w:line="36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13 of 17</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364"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PART I-FINANCIAL INFORMATION-CONTINUED</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BASSETT FURNITURE INDUSTRIES, INCORPORATED AND SUBSIDIARIES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AUGUST 29,1998 (in thousands of dollars)</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(continued)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Safe-harbor forward-looking statements</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discussion contains certain forward-looking statements within the meaning of the Private Securities Litigation Reform Act of 1995 with respect to the financial condition, results of operations and business of Bassett Furniture Industries, Incorporated. These forward-looking statements involve certain risks and uncertainties. No assurance can be given that any such matters will be realized. Factors that may cause actual results to differ materially from those contemplated by such forward-looking statements include, among others, the following possibilities: (I) competitive conditions in the industry in which the Company operates; and (II) general economic conditions that are less favorable than expected.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14 of 17</w:t>
      </w:r>
    </w:p>
    <w:p>
      <w:pPr>
        <w:sectPr>
          <w:pgSz w:w="11900" w:h="16838" w:orient="portrait"/>
          <w:cols w:equalWidth="0" w:num="1">
            <w:col w:w="10219"/>
          </w:cols>
          <w:pgMar w:left="240" w:top="295" w:right="1440" w:bottom="1440" w:gutter="0" w:footer="0" w:header="0"/>
        </w:sectPr>
      </w:pPr>
    </w:p>
    <w:bookmarkStart w:id="14" w:name="page15"/>
    <w:bookmarkEnd w:id="14"/>
    <w:p>
      <w:pPr>
        <w:ind w:left="283"/>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46"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PART II - OTHER INFORMATION</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BASSETT FURNITURE INDUSTRIES, INCORPORATED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AUGUST 29, 1998</w:t>
      </w:r>
    </w:p>
    <w:p>
      <w:pPr>
        <w:spacing w:after="0" w:line="364"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3" w:lineRule="exact"/>
        <w:rPr>
          <w:sz w:val="20"/>
          <w:szCs w:val="20"/>
          <w:color w:val="auto"/>
        </w:rPr>
      </w:pPr>
    </w:p>
    <w:p>
      <w:pPr>
        <w:ind w:left="663" w:hanging="663"/>
        <w:spacing w:after="0"/>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ind w:left="1143" w:hanging="481"/>
        <w:spacing w:after="0"/>
        <w:tabs>
          <w:tab w:leader="none" w:pos="114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2" w:lineRule="exact"/>
        <w:rPr>
          <w:rFonts w:ascii="Courier New" w:cs="Courier New" w:eastAsia="Courier New" w:hAnsi="Courier New"/>
          <w:sz w:val="16"/>
          <w:szCs w:val="16"/>
          <w:color w:val="auto"/>
        </w:rPr>
      </w:pPr>
    </w:p>
    <w:p>
      <w:pPr>
        <w:ind w:left="283" w:hanging="283"/>
        <w:spacing w:after="0"/>
        <w:tabs>
          <w:tab w:leader="none" w:pos="2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 reports were filed on Form 8-K during the quarter.</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5. Other information</w:t>
      </w:r>
    </w:p>
    <w:p>
      <w:pPr>
        <w:spacing w:after="0" w:line="186" w:lineRule="exact"/>
        <w:rPr>
          <w:sz w:val="20"/>
          <w:szCs w:val="20"/>
          <w:color w:val="auto"/>
        </w:rPr>
      </w:pPr>
    </w:p>
    <w:p>
      <w:pPr>
        <w:ind w:left="3" w:right="2839" w:firstLine="1135"/>
        <w:spacing w:after="0"/>
        <w:rPr>
          <w:sz w:val="20"/>
          <w:szCs w:val="20"/>
          <w:color w:val="auto"/>
        </w:rPr>
      </w:pPr>
      <w:r>
        <w:rPr>
          <w:rFonts w:ascii="Courier New" w:cs="Courier New" w:eastAsia="Courier New" w:hAnsi="Courier New"/>
          <w:sz w:val="16"/>
          <w:szCs w:val="16"/>
          <w:color w:val="auto"/>
        </w:rPr>
        <w:t>The Board of Directors for Bassett Furniture Industries, Inc. has approved a stock repurchase program for up to 1.3 million shares of its Common Stock for an aggregate purchase price not to exceed $40 million. Bassett currently has approximately 13 million shares outstanding. The repurchases may be effected from time to time in accordance with applicable securities laws, through open market transactions, in block purchases, in privately negotiated transactions, or otherwise, and on such terms and conditions, all as may be approved by any Authorized Officer.</w:t>
      </w:r>
    </w:p>
    <w:p>
      <w:pPr>
        <w:spacing w:after="0" w:line="187" w:lineRule="exact"/>
        <w:rPr>
          <w:sz w:val="20"/>
          <w:szCs w:val="20"/>
          <w:color w:val="auto"/>
        </w:rPr>
      </w:pPr>
    </w:p>
    <w:p>
      <w:pPr>
        <w:ind w:left="3" w:right="2659" w:firstLine="1135"/>
        <w:spacing w:after="0"/>
        <w:rPr>
          <w:sz w:val="20"/>
          <w:szCs w:val="20"/>
          <w:color w:val="auto"/>
        </w:rPr>
      </w:pPr>
      <w:r>
        <w:rPr>
          <w:rFonts w:ascii="Courier New" w:cs="Courier New" w:eastAsia="Courier New" w:hAnsi="Courier New"/>
          <w:sz w:val="16"/>
          <w:szCs w:val="16"/>
          <w:color w:val="auto"/>
        </w:rPr>
        <w:t>"This share repurchase program reflects our confidence in Bassett's strategic plan and future opportunities for growth and reinforces management's commitment to further enhance shareholder value," said Paul Fulton, Chairman and Chief Executive Officer of the Company. He added, "Management and the Board of Directors want to be in a position so that anytime it is felt that the market evaluation our Company does not reflect the strengths and prospects of our Company, we want to be in a position to repurchase our Common Stock on an opportunistic basis."</w:t>
      </w:r>
    </w:p>
    <w:p>
      <w:pPr>
        <w:spacing w:after="0" w:line="187" w:lineRule="exact"/>
        <w:rPr>
          <w:sz w:val="20"/>
          <w:szCs w:val="20"/>
          <w:color w:val="auto"/>
        </w:rPr>
      </w:pPr>
    </w:p>
    <w:p>
      <w:pPr>
        <w:ind w:left="3" w:right="2759" w:firstLine="1135"/>
        <w:spacing w:after="0" w:line="237" w:lineRule="auto"/>
        <w:rPr>
          <w:sz w:val="20"/>
          <w:szCs w:val="20"/>
          <w:color w:val="auto"/>
        </w:rPr>
      </w:pPr>
      <w:r>
        <w:rPr>
          <w:rFonts w:ascii="Courier New" w:cs="Courier New" w:eastAsia="Courier New" w:hAnsi="Courier New"/>
          <w:sz w:val="16"/>
          <w:szCs w:val="16"/>
          <w:color w:val="auto"/>
        </w:rPr>
        <w:t>Under the stock repurchase program, the Company repurchased 112,800 shares during the third quarter of 1998.</w:t>
      </w:r>
    </w:p>
    <w:p>
      <w:pPr>
        <w:spacing w:after="0" w:line="188" w:lineRule="exact"/>
        <w:rPr>
          <w:sz w:val="20"/>
          <w:szCs w:val="20"/>
          <w:color w:val="auto"/>
        </w:rPr>
      </w:pPr>
    </w:p>
    <w:p>
      <w:pPr>
        <w:ind w:left="3" w:right="2759" w:firstLine="1135"/>
        <w:spacing w:after="0" w:line="238" w:lineRule="auto"/>
        <w:rPr>
          <w:sz w:val="20"/>
          <w:szCs w:val="20"/>
          <w:color w:val="auto"/>
        </w:rPr>
      </w:pPr>
      <w:r>
        <w:rPr>
          <w:rFonts w:ascii="Courier New" w:cs="Courier New" w:eastAsia="Courier New" w:hAnsi="Courier New"/>
          <w:sz w:val="16"/>
          <w:szCs w:val="16"/>
          <w:color w:val="auto"/>
        </w:rPr>
        <w:t>The Board of Directors also approved payment of a cash dividend of $.20 per share to holders of record on August 17, 1998, payable on September 1, 1998.</w:t>
      </w:r>
    </w:p>
    <w:p>
      <w:pPr>
        <w:spacing w:after="0" w:line="188" w:lineRule="exact"/>
        <w:rPr>
          <w:sz w:val="20"/>
          <w:szCs w:val="20"/>
          <w:color w:val="auto"/>
        </w:rPr>
      </w:pPr>
    </w:p>
    <w:p>
      <w:pPr>
        <w:ind w:left="3" w:right="2659" w:firstLine="1135"/>
        <w:spacing w:after="0"/>
        <w:rPr>
          <w:sz w:val="20"/>
          <w:szCs w:val="20"/>
          <w:color w:val="auto"/>
        </w:rPr>
      </w:pPr>
      <w:r>
        <w:rPr>
          <w:rFonts w:ascii="Courier New" w:cs="Courier New" w:eastAsia="Courier New" w:hAnsi="Courier New"/>
          <w:sz w:val="16"/>
          <w:szCs w:val="16"/>
          <w:color w:val="auto"/>
        </w:rPr>
        <w:t>The Board of Directors adopted a Shareholder Rights Plan, which replaces a similar plan that expired on May 16, 1998. The Plan is not being adopted in response to any specific effort to acquire control of the Company. If a person or group acquires beneficial ownership of 20% or more of the Common Stock outstanding, each Right distributed under the Plan will entitle its holder (other than such person or group) to purchase, at the Right's then-current exercise price, a number of shares of the Company's Common Stock having a market value of twice such price. Detailed descriptions of the Rights will be sent to the Company's shareholders and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15 of 17</w:t>
      </w:r>
    </w:p>
    <w:p>
      <w:pPr>
        <w:sectPr>
          <w:pgSz w:w="11900" w:h="16838" w:orient="portrait"/>
          <w:cols w:equalWidth="0" w:num="1">
            <w:col w:w="10222"/>
          </w:cols>
          <w:pgMar w:left="237" w:top="295" w:right="1440" w:bottom="1440" w:gutter="0" w:footer="0" w:header="0"/>
        </w:sectPr>
      </w:pPr>
    </w:p>
    <w:bookmarkStart w:id="15" w:name="page16"/>
    <w:bookmarkEnd w:id="15"/>
    <w:p>
      <w:pPr>
        <w:ind w:left="283"/>
        <w:spacing w:after="0"/>
        <w:rPr>
          <w:sz w:val="20"/>
          <w:szCs w:val="20"/>
          <w:color w:val="auto"/>
        </w:rPr>
      </w:pPr>
      <w:r>
        <w:rPr>
          <w:rFonts w:ascii="Courier New" w:cs="Courier New" w:eastAsia="Courier New" w:hAnsi="Courier New"/>
          <w:sz w:val="16"/>
          <w:szCs w:val="16"/>
          <w:color w:val="auto"/>
        </w:rPr>
        <w:t>16</w:t>
      </w:r>
    </w:p>
    <w:p>
      <w:pPr>
        <w:spacing w:after="0" w:line="36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SIGNATURES</w:t>
      </w:r>
    </w:p>
    <w:p>
      <w:pPr>
        <w:spacing w:after="0" w:line="368" w:lineRule="exact"/>
        <w:rPr>
          <w:sz w:val="20"/>
          <w:szCs w:val="20"/>
          <w:color w:val="auto"/>
        </w:rPr>
      </w:pPr>
    </w:p>
    <w:p>
      <w:pPr>
        <w:jc w:val="both"/>
        <w:ind w:left="3"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DOUGLAS W. MILLER</w:t>
      </w:r>
    </w:p>
    <w:p>
      <w:pPr>
        <w:spacing w:after="0" w:line="1" w:lineRule="exact"/>
        <w:rPr>
          <w:sz w:val="20"/>
          <w:szCs w:val="20"/>
          <w:color w:val="auto"/>
        </w:rPr>
      </w:pPr>
    </w:p>
    <w:p>
      <w:pPr>
        <w:ind w:left="183" w:hanging="183"/>
        <w:spacing w:after="0"/>
        <w:tabs>
          <w:tab w:leader="none" w:pos="1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Douglas W. Miller, Vice President, Chief Financial Officer</w:t>
      </w:r>
    </w:p>
    <w:p>
      <w:pPr>
        <w:spacing w:after="0" w:line="364" w:lineRule="exact"/>
        <w:rPr>
          <w:sz w:val="20"/>
          <w:szCs w:val="20"/>
          <w:color w:val="auto"/>
        </w:rPr>
      </w:pPr>
    </w:p>
    <w:p>
      <w:pPr>
        <w:ind w:left="3"/>
        <w:spacing w:after="0"/>
        <w:tabs>
          <w:tab w:leader="none" w:pos="743"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October 13,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16 of 17</w:t>
      </w:r>
    </w:p>
    <w:p>
      <w:pPr>
        <w:sectPr>
          <w:pgSz w:w="11900" w:h="16838" w:orient="portrait"/>
          <w:cols w:equalWidth="0" w:num="1">
            <w:col w:w="10222"/>
          </w:cols>
          <w:pgMar w:left="237"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5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2680" w:space="720"/>
            <w:col w:w="3820" w:space="720"/>
            <w:col w:w="2279"/>
          </w:cols>
          <w:pgMar w:left="240" w:top="29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 9</w:t>
      </w:r>
    </w:p>
    <w:p>
      <w:pPr>
        <w:spacing w:after="0" w:line="207" w:lineRule="exact"/>
        <w:rPr>
          <w:sz w:val="20"/>
          <w:szCs w:val="20"/>
          <w:color w:val="auto"/>
        </w:rPr>
      </w:pPr>
    </w:p>
    <w:p>
      <w:pPr>
        <w:sectPr>
          <w:pgSz w:w="11900" w:h="16838" w:orient="portrait"/>
          <w:cols w:equalWidth="0" w:num="3">
            <w:col w:w="2580" w:space="720"/>
            <w:col w:w="4020" w:space="720"/>
            <w:col w:w="217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 of 17</w:t>
      </w:r>
    </w:p>
    <w:p>
      <w:pPr>
        <w:sectPr>
          <w:pgSz w:w="11900" w:h="16838" w:orient="portrait"/>
          <w:cols w:equalWidth="0" w:num="1">
            <w:col w:w="10219"/>
          </w:cols>
          <w:pgMar w:left="240" w:top="295"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9-MOS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NOV-28-1998</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DEC-01-1997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NOV-28-1998</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34,613</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59,747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1,762</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46,753</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162,094</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177,801</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127,617</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315,747</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42,464</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64,827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197,519</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315,747</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294,761</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302,598</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240,962</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288,723</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446</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4,087</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13,875</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3,354</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10,521</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10,521</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.81</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.80</w:t>
      </w:r>
    </w:p>
    <w:sectPr>
      <w:pgSz w:w="11900" w:h="16838" w:orient="portrait"/>
      <w:cols w:equalWidth="0" w:num="1">
        <w:col w:w="10119"/>
      </w:cols>
      <w:pgMar w:left="3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2019-12-20T04:51:32Z</dcterms:created>
  <dcterms:modified xsi:type="dcterms:W3CDTF">2019-12-20T04:51:32Z</dcterms:modified>
</cp:coreProperties>
</file>