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1940" w:right="4279" w:hanging="973"/>
        <w:spacing w:after="0" w:line="238" w:lineRule="auto"/>
        <w:tabs>
          <w:tab w:leader="none" w:pos="131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FOR THE QUARTERLY PERIOD ENDED AUGUST 31, 1995</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345" w:lineRule="exact"/>
        <w:rPr>
          <w:sz w:val="24"/>
          <w:szCs w:val="24"/>
          <w:color w:val="auto"/>
        </w:rPr>
      </w:pPr>
    </w:p>
    <w:p>
      <w:pPr>
        <w:ind w:left="1940" w:right="4099" w:hanging="1062"/>
        <w:spacing w:after="0" w:line="238" w:lineRule="auto"/>
        <w:tabs>
          <w:tab w:leader="none" w:pos="11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For the transition period from ________________ to _________________</w:t>
      </w:r>
    </w:p>
    <w:p>
      <w:pPr>
        <w:spacing w:after="0" w:line="180"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Commission File No. 0-209</w:t>
      </w:r>
    </w:p>
    <w:p>
      <w:pPr>
        <w:spacing w:after="0" w:line="342"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Virginia</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(State or other jurisdiction</w:t>
      </w:r>
    </w:p>
    <w:p>
      <w:pPr>
        <w:spacing w:after="0" w:line="1"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54-0135270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2">
            <w:col w:w="4240" w:space="720"/>
            <w:col w:w="5259"/>
          </w:cols>
          <w:pgMar w:left="240" w:top="230" w:right="1440" w:bottom="1440" w:gutter="0" w:footer="0" w:header="0"/>
          <w:type w:val="continuous"/>
        </w:sectPr>
      </w:pPr>
    </w:p>
    <w:p>
      <w:pPr>
        <w:spacing w:after="0" w:line="313" w:lineRule="exact"/>
        <w:rPr>
          <w:sz w:val="24"/>
          <w:szCs w:val="24"/>
          <w:color w:val="auto"/>
        </w:rPr>
      </w:pPr>
    </w:p>
    <w:p>
      <w:pPr>
        <w:ind w:left="2480"/>
        <w:spacing w:after="0"/>
        <w:tabs>
          <w:tab w:leader="none" w:pos="424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ectPr>
          <w:pgSz w:w="11900" w:h="16838" w:orient="portrait"/>
          <w:cols w:equalWidth="0" w:num="1">
            <w:col w:w="10219"/>
          </w:cols>
          <w:pgMar w:left="240" w:top="230" w:right="1440" w:bottom="1440" w:gutter="0" w:footer="0" w:header="0"/>
          <w:type w:val="continuous"/>
        </w:sectPr>
      </w:pP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(Zip Code)</w:t>
      </w: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(540) 629-6000</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to be filed by Section</w:t>
            </w: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13 or 15(d) of the</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w w:val="98"/>
              </w:rPr>
              <w:t>Securities Exchange Act of 1934 during</w:t>
            </w:r>
          </w:p>
        </w:tc>
      </w:tr>
      <w:tr>
        <w:trPr>
          <w:trHeight w:val="171"/>
        </w:trPr>
        <w:tc>
          <w:tcPr>
            <w:tcW w:w="2840" w:type="dxa"/>
            <w:vAlign w:val="bottom"/>
            <w:gridSpan w:val="3"/>
          </w:tcPr>
          <w:p>
            <w:pPr>
              <w:spacing w:after="0"/>
              <w:rPr>
                <w:sz w:val="20"/>
                <w:szCs w:val="20"/>
                <w:color w:val="auto"/>
              </w:rPr>
            </w:pPr>
            <w:r>
              <w:rPr>
                <w:rFonts w:ascii="Courier New" w:cs="Courier New" w:eastAsia="Courier New" w:hAnsi="Courier New"/>
                <w:sz w:val="15"/>
                <w:szCs w:val="15"/>
                <w:color w:val="auto"/>
                <w:w w:val="97"/>
              </w:rPr>
              <w:t>the preceding 12 months, and (2)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has been</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subject to such filing requirements</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for the past 90 days.</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Yes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X</w:t>
            </w:r>
          </w:p>
        </w:tc>
        <w:tc>
          <w:tcPr>
            <w:tcW w:w="840" w:type="dxa"/>
            <w:vAlign w:val="bottom"/>
          </w:tcPr>
          <w:p>
            <w:pPr>
              <w:spacing w:after="0"/>
              <w:rPr>
                <w:sz w:val="14"/>
                <w:szCs w:val="14"/>
                <w:color w:val="auto"/>
              </w:rPr>
            </w:pPr>
          </w:p>
        </w:tc>
        <w:tc>
          <w:tcPr>
            <w:tcW w:w="3420" w:type="dxa"/>
            <w:vAlign w:val="bottom"/>
          </w:tcPr>
          <w:p>
            <w:pPr>
              <w:ind w:left="300"/>
              <w:spacing w:after="0"/>
              <w:rPr>
                <w:sz w:val="20"/>
                <w:szCs w:val="20"/>
                <w:color w:val="auto"/>
              </w:rPr>
            </w:pPr>
            <w:r>
              <w:rPr>
                <w:rFonts w:ascii="Courier New" w:cs="Courier New" w:eastAsia="Courier New" w:hAnsi="Courier New"/>
                <w:sz w:val="15"/>
                <w:szCs w:val="15"/>
                <w:color w:val="auto"/>
              </w:rPr>
              <w:t>No</w:t>
            </w:r>
          </w:p>
        </w:tc>
      </w:tr>
      <w:tr>
        <w:trPr>
          <w:trHeight w:val="171"/>
        </w:trPr>
        <w:tc>
          <w:tcPr>
            <w:tcW w:w="19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20" w:type="dxa"/>
            <w:vAlign w:val="bottom"/>
          </w:tcPr>
          <w:p>
            <w:pPr>
              <w:jc w:val="right"/>
              <w:ind w:right="1986"/>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gridSpan w:val="2"/>
          </w:tcPr>
          <w:p>
            <w:pPr>
              <w:spacing w:after="0"/>
              <w:rPr>
                <w:sz w:val="20"/>
                <w:szCs w:val="20"/>
                <w:color w:val="auto"/>
              </w:rPr>
            </w:pPr>
            <w:r>
              <w:rPr>
                <w:rFonts w:ascii="Courier New" w:cs="Courier New" w:eastAsia="Courier New" w:hAnsi="Courier New"/>
                <w:sz w:val="15"/>
                <w:szCs w:val="15"/>
                <w:color w:val="auto"/>
              </w:rPr>
              <w:t>At August 31, 1995, 14,047,653</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shares of</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common stock of the Registrant were</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000"/>
        <w:spacing w:after="0"/>
        <w:tabs>
          <w:tab w:leader="none" w:pos="3960" w:val="left"/>
        </w:tabs>
        <w:rPr>
          <w:sz w:val="20"/>
          <w:szCs w:val="20"/>
          <w:color w:val="auto"/>
        </w:rPr>
      </w:pPr>
      <w:r>
        <w:rPr>
          <w:rFonts w:ascii="Courier New" w:cs="Courier New" w:eastAsia="Courier New" w:hAnsi="Courier New"/>
          <w:sz w:val="15"/>
          <w:szCs w:val="15"/>
          <w:color w:val="auto"/>
        </w:rPr>
        <w:t>Page 1 of</w:t>
        <w:tab/>
        <w:t>9</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PART I - FINANCIAL INFORMATION</w:t>
      </w:r>
    </w:p>
    <w:p>
      <w:pPr>
        <w:spacing w:after="0" w:line="1"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CONDENSED CONSOLIDATED STATEMENT OF INCOME AND RETAINED EARNINGS - UNAUDITED</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5140" w:type="dxa"/>
            <w:vAlign w:val="bottom"/>
          </w:tcPr>
          <w:p>
            <w:pPr>
              <w:spacing w:after="0"/>
              <w:rPr>
                <w:sz w:val="24"/>
                <w:szCs w:val="24"/>
                <w:color w:val="auto"/>
              </w:rPr>
            </w:pPr>
          </w:p>
        </w:tc>
        <w:tc>
          <w:tcPr>
            <w:tcW w:w="3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NINE MONTHS ENDED AUGUST 31,</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1"/>
        </w:trPr>
        <w:tc>
          <w:tcPr>
            <w:tcW w:w="5140" w:type="dxa"/>
            <w:vAlign w:val="bottom"/>
          </w:tcPr>
          <w:p>
            <w:pPr>
              <w:spacing w:after="0"/>
              <w:rPr>
                <w:sz w:val="14"/>
                <w:szCs w:val="14"/>
                <w:color w:val="auto"/>
              </w:rPr>
            </w:pPr>
          </w:p>
        </w:tc>
        <w:tc>
          <w:tcPr>
            <w:tcW w:w="3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51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$361,752,321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$381,271,061</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$119,183,765</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$124,967,415</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Cost of sales</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301,097,044</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314,128,874</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98,472,087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103,459,715</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48,839,196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49,360,201</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16,332,759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16,733,016</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349,936,240</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363,489,075</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114,804,846</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120,192,731</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Income from operations</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11,816,081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17,781,986</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4,378,919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4,774,684</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10,295,806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6,606,876</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3,796,872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1,963,367</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Income before income taxes and cumulative</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22,111,887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24,388,862</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8,175,791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6,738,051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(6,457,500)</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(7,390,000)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(2,394,500)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(2,149,000)</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Income before cumulative effect of</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 change in accounting principle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15,654,387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16,998,862</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5,781,291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4,589,051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(510,200)</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15,654,387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16,488,662</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5,781,291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4,589,051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221,949,817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216,211,676</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226,188,020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220,014,909</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237,604,204</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232,700,338</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231,969,311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224,603,960</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Cash dividends</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(8,444,424)</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(8,593,977)</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(2,809,531)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(2,837,897)</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Retirement of purchased common stock</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(777,743)</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(5,135,861)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(777,743)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(2,795,563)</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$228,382,037</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$218,970,500</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$228,382,037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$218,970,500</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683"/>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EARNINGS PER SHARE:</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Income before cumulative effect</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of a change in accounting principle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$ 1.18</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.32</w:t>
            </w:r>
          </w:p>
        </w:tc>
      </w:tr>
      <w:tr>
        <w:trPr>
          <w:trHeight w:val="34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Cumulative effect of a change</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in accounting principle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NET INCOME PER SHARE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$ 1.11</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$ 1.14</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.32</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DIVIDENDS PER SHARE</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.60</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.60</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w:t>
            </w:r>
          </w:p>
        </w:tc>
      </w:tr>
      <w:tr>
        <w:trPr>
          <w:trHeight w:val="171"/>
        </w:trPr>
        <w:tc>
          <w:tcPr>
            <w:tcW w:w="5140" w:type="dxa"/>
            <w:vAlign w:val="bottom"/>
          </w:tcPr>
          <w:p>
            <w:pPr>
              <w:spacing w:after="0"/>
              <w:rPr>
                <w:sz w:val="14"/>
                <w:szCs w:val="14"/>
                <w:color w:val="auto"/>
              </w:rPr>
            </w:pP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800"/>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tabs>
          <w:tab w:leader="none" w:pos="3960" w:val="left"/>
        </w:tabs>
        <w:rPr>
          <w:sz w:val="20"/>
          <w:szCs w:val="20"/>
          <w:color w:val="auto"/>
        </w:rPr>
      </w:pPr>
      <w:r>
        <w:rPr>
          <w:rFonts w:ascii="Courier New" w:cs="Courier New" w:eastAsia="Courier New" w:hAnsi="Courier New"/>
          <w:sz w:val="15"/>
          <w:szCs w:val="15"/>
          <w:color w:val="auto"/>
        </w:rPr>
        <w:t>Page 2 of</w:t>
        <w:tab/>
        <w:t>9</w:t>
      </w:r>
    </w:p>
    <w:p>
      <w:pPr>
        <w:sectPr>
          <w:pgSz w:w="11900" w:h="16838" w:orient="portrait"/>
          <w:cols w:equalWidth="0" w:num="1">
            <w:col w:w="11260"/>
          </w:cols>
          <w:pgMar w:left="240" w:top="287" w:right="39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20" w:type="dxa"/>
            <w:vAlign w:val="bottom"/>
            <w:gridSpan w:val="2"/>
          </w:tcPr>
          <w:p>
            <w:pPr>
              <w:jc w:val="right"/>
              <w:ind w:right="3466"/>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2300" w:type="dxa"/>
            <w:vAlign w:val="bottom"/>
          </w:tcPr>
          <w:p>
            <w:pPr>
              <w:spacing w:after="0"/>
              <w:rPr>
                <w:sz w:val="14"/>
                <w:szCs w:val="14"/>
                <w:color w:val="auto"/>
              </w:rPr>
            </w:pPr>
          </w:p>
        </w:tc>
      </w:tr>
      <w:tr>
        <w:trPr>
          <w:trHeight w:val="683"/>
        </w:trPr>
        <w:tc>
          <w:tcPr>
            <w:tcW w:w="3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3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AUGUST 31, 1995</w:t>
            </w:r>
          </w:p>
        </w:tc>
        <w:tc>
          <w:tcPr>
            <w:tcW w:w="23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NOVEMBER 30, 1994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$ 57,507,504</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$ 42,314,957</w:t>
            </w:r>
          </w:p>
        </w:tc>
      </w:tr>
      <w:tr>
        <w:trPr>
          <w:trHeight w:val="171"/>
        </w:trPr>
        <w:tc>
          <w:tcPr>
            <w:tcW w:w="9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230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for doubtful accounts and discounts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66,180,271</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71,936,750</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Inventories:</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Finished goods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47,100,731</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45,243,596</w:t>
            </w: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Work in process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15,484,490</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15,588,696</w:t>
            </w: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Raw materials and supplies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44,047,255</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44,588,519</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106,632,476</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105,420,811</w:t>
            </w: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Less LIFO adjustment</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26,646,000</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25,346,000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79,986,476</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80,074,811</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2,354,976</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2,206,736</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Prepaid income taxes</w:t>
            </w:r>
          </w:p>
        </w:tc>
        <w:tc>
          <w:tcPr>
            <w:tcW w:w="53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274,675</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1,891,000</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1,823,000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207,920,227</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198,630,929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Cost</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212,659,126</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207,227,241</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Less allowances for depreciation</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158,642,057</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152,673,335</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54,017,069</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54,553,906</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Investment in securities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41,614,463</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43,638,983</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Investment in affiliated companies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38,150,587</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35,080,525</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10,439,413</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8,593,887</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90,204,463</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87,313,395</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$352,141,759</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$340,498,230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$ 30,306,148</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$ 29,786,395</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Accrued compensation</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4,864,902</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5,215,159</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2,222,893</w:t>
            </w:r>
          </w:p>
        </w:tc>
        <w:tc>
          <w:tcPr>
            <w:tcW w:w="2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37,393,943</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35,001,554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Deferred liabilities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10,073,078</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9,529,784</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1,723,500</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774,000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11,796,578</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10,303,784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70,238,265</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70,434,075</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228,382,037</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221,949,817</w:t>
            </w: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Unrealized holding gains, net of tax</w:t>
            </w: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4,330,936</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2,809,000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302,951,238</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295,192,892</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$352,141,759</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$340,498,230</w:t>
            </w:r>
          </w:p>
        </w:tc>
      </w:tr>
      <w:tr>
        <w:trPr>
          <w:trHeight w:val="171"/>
        </w:trPr>
        <w:tc>
          <w:tcPr>
            <w:tcW w:w="3900" w:type="dxa"/>
            <w:vAlign w:val="bottom"/>
          </w:tcPr>
          <w:p>
            <w:pPr>
              <w:spacing w:after="0"/>
              <w:rPr>
                <w:sz w:val="14"/>
                <w:szCs w:val="14"/>
                <w:color w:val="auto"/>
              </w:rPr>
            </w:pPr>
          </w:p>
        </w:tc>
        <w:tc>
          <w:tcPr>
            <w:tcW w:w="53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3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41"/>
        </w:trPr>
        <w:tc>
          <w:tcPr>
            <w:tcW w:w="9220" w:type="dxa"/>
            <w:vAlign w:val="bottom"/>
            <w:gridSpan w:val="2"/>
          </w:tcPr>
          <w:p>
            <w:pPr>
              <w:spacing w:after="0"/>
              <w:rPr>
                <w:sz w:val="20"/>
                <w:szCs w:val="20"/>
                <w:color w:val="auto"/>
              </w:rPr>
            </w:pPr>
            <w:r>
              <w:rPr>
                <w:rFonts w:ascii="Courier New" w:cs="Courier New" w:eastAsia="Courier New" w:hAnsi="Courier New"/>
                <w:sz w:val="15"/>
                <w:szCs w:val="15"/>
                <w:color w:val="auto"/>
              </w:rPr>
              <w:t>The accompanying notes are an integral part of the condensed consolidated</w:t>
            </w:r>
          </w:p>
        </w:tc>
        <w:tc>
          <w:tcPr>
            <w:tcW w:w="2300" w:type="dxa"/>
            <w:vAlign w:val="bottom"/>
          </w:tcPr>
          <w:p>
            <w:pPr>
              <w:spacing w:after="0"/>
              <w:rPr>
                <w:sz w:val="24"/>
                <w:szCs w:val="24"/>
                <w:color w:val="auto"/>
              </w:rPr>
            </w:pP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3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683"/>
        </w:trPr>
        <w:tc>
          <w:tcPr>
            <w:tcW w:w="3900" w:type="dxa"/>
            <w:vAlign w:val="bottom"/>
          </w:tcPr>
          <w:p>
            <w:pPr>
              <w:ind w:left="3000"/>
              <w:spacing w:after="0"/>
              <w:rPr>
                <w:sz w:val="20"/>
                <w:szCs w:val="20"/>
                <w:color w:val="auto"/>
              </w:rPr>
            </w:pPr>
            <w:r>
              <w:rPr>
                <w:rFonts w:ascii="Courier New" w:cs="Courier New" w:eastAsia="Courier New" w:hAnsi="Courier New"/>
                <w:sz w:val="15"/>
                <w:szCs w:val="15"/>
                <w:color w:val="auto"/>
              </w:rPr>
              <w:t>Page 3 of</w:t>
            </w:r>
          </w:p>
        </w:tc>
        <w:tc>
          <w:tcPr>
            <w:tcW w:w="5320" w:type="dxa"/>
            <w:vAlign w:val="bottom"/>
          </w:tcPr>
          <w:p>
            <w:pPr>
              <w:jc w:val="right"/>
              <w:ind w:right="5066"/>
              <w:spacing w:after="0"/>
              <w:rPr>
                <w:sz w:val="20"/>
                <w:szCs w:val="20"/>
                <w:color w:val="auto"/>
              </w:rPr>
            </w:pPr>
            <w:r>
              <w:rPr>
                <w:rFonts w:ascii="Courier New" w:cs="Courier New" w:eastAsia="Courier New" w:hAnsi="Courier New"/>
                <w:sz w:val="15"/>
                <w:szCs w:val="15"/>
                <w:color w:val="auto"/>
              </w:rPr>
              <w:t>9</w:t>
            </w:r>
          </w:p>
        </w:tc>
        <w:tc>
          <w:tcPr>
            <w:tcW w:w="2300" w:type="dxa"/>
            <w:vAlign w:val="bottom"/>
          </w:tcPr>
          <w:p>
            <w:pPr>
              <w:spacing w:after="0"/>
              <w:rPr>
                <w:sz w:val="24"/>
                <w:szCs w:val="24"/>
                <w:color w:val="auto"/>
              </w:rPr>
            </w:pPr>
          </w:p>
        </w:tc>
      </w:tr>
    </w:tbl>
    <w:p>
      <w:pPr>
        <w:sectPr>
          <w:pgSz w:w="11900" w:h="16838" w:orient="portrait"/>
          <w:cols w:equalWidth="0" w:num="1">
            <w:col w:w="11520"/>
          </w:cols>
          <w:pgMar w:left="240" w:top="287" w:right="139"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24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6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CONDENSED CONSOLIDATED STATEMENT OF CASH FLOWS - UNAUDITED</w:t>
            </w:r>
          </w:p>
        </w:tc>
        <w:tc>
          <w:tcPr>
            <w:tcW w:w="24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853"/>
        </w:trPr>
        <w:tc>
          <w:tcPr>
            <w:tcW w:w="6600" w:type="dxa"/>
            <w:vAlign w:val="bottom"/>
          </w:tcPr>
          <w:p>
            <w:pPr>
              <w:spacing w:after="0"/>
              <w:rPr>
                <w:sz w:val="24"/>
                <w:szCs w:val="24"/>
                <w:color w:val="auto"/>
              </w:rPr>
            </w:pPr>
          </w:p>
        </w:tc>
        <w:tc>
          <w:tcPr>
            <w:tcW w:w="44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NINE MONTHS ENDED AUGUST 31,</w:t>
            </w:r>
          </w:p>
        </w:tc>
      </w:tr>
      <w:tr>
        <w:trPr>
          <w:trHeight w:val="171"/>
        </w:trPr>
        <w:tc>
          <w:tcPr>
            <w:tcW w:w="6600" w:type="dxa"/>
            <w:vAlign w:val="bottom"/>
          </w:tcPr>
          <w:p>
            <w:pPr>
              <w:spacing w:after="0"/>
              <w:rPr>
                <w:sz w:val="14"/>
                <w:szCs w:val="14"/>
                <w:color w:val="auto"/>
              </w:rPr>
            </w:pPr>
          </w:p>
        </w:tc>
        <w:tc>
          <w:tcPr>
            <w:tcW w:w="44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0" w:type="dxa"/>
            <w:vAlign w:val="bottom"/>
          </w:tcPr>
          <w:p>
            <w:pPr>
              <w:spacing w:after="0"/>
              <w:rPr>
                <w:sz w:val="14"/>
                <w:szCs w:val="14"/>
                <w:color w:val="auto"/>
              </w:rPr>
            </w:pPr>
          </w:p>
        </w:tc>
        <w:tc>
          <w:tcPr>
            <w:tcW w:w="24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1995</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600" w:type="dxa"/>
            <w:vAlign w:val="bottom"/>
          </w:tcPr>
          <w:p>
            <w:pPr>
              <w:spacing w:after="0"/>
              <w:rPr>
                <w:sz w:val="14"/>
                <w:szCs w:val="14"/>
                <w:color w:val="auto"/>
              </w:rPr>
            </w:pPr>
          </w:p>
        </w:tc>
        <w:tc>
          <w:tcPr>
            <w:tcW w:w="24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512"/>
        </w:trPr>
        <w:tc>
          <w:tcPr>
            <w:tcW w:w="66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$25,808,844</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$12,268,484</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Changes in investment securities</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7,155,646</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(2,709,344)</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(6,523,427)</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(6,920,480)</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59,000</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224,616</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Dividends from affiliated company</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817,129</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817,129</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Increase in cash surrender value of life insurance</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(2,838,284)</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(2,277,400)</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131,616</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306,908</w:t>
            </w:r>
          </w:p>
        </w:tc>
      </w:tr>
      <w:tr>
        <w:trPr>
          <w:trHeight w:val="171"/>
        </w:trPr>
        <w:tc>
          <w:tcPr>
            <w:tcW w:w="6600" w:type="dxa"/>
            <w:vAlign w:val="bottom"/>
          </w:tcPr>
          <w:p>
            <w:pPr>
              <w:spacing w:after="0"/>
              <w:rPr>
                <w:sz w:val="14"/>
                <w:szCs w:val="14"/>
                <w:color w:val="auto"/>
              </w:rPr>
            </w:pP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0" w:type="dxa"/>
            <w:vAlign w:val="bottom"/>
          </w:tcPr>
          <w:p>
            <w:pPr>
              <w:spacing w:after="0"/>
              <w:rPr>
                <w:sz w:val="14"/>
                <w:szCs w:val="14"/>
                <w:color w:val="auto"/>
              </w:rPr>
            </w:pP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(1,198,320)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(10,558,571)</w:t>
            </w:r>
          </w:p>
        </w:tc>
      </w:tr>
      <w:tr>
        <w:trPr>
          <w:trHeight w:val="171"/>
        </w:trPr>
        <w:tc>
          <w:tcPr>
            <w:tcW w:w="66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4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48,733</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Purchase of common stock</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(1,022,286)</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(6,857,240)</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Cash dividends</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(8,444,424)</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(8,593,976)</w:t>
            </w:r>
          </w:p>
        </w:tc>
      </w:tr>
      <w:tr>
        <w:trPr>
          <w:trHeight w:val="171"/>
        </w:trPr>
        <w:tc>
          <w:tcPr>
            <w:tcW w:w="6600" w:type="dxa"/>
            <w:vAlign w:val="bottom"/>
          </w:tcPr>
          <w:p>
            <w:pPr>
              <w:spacing w:after="0"/>
              <w:rPr>
                <w:sz w:val="14"/>
                <w:szCs w:val="14"/>
                <w:color w:val="auto"/>
              </w:rPr>
            </w:pPr>
          </w:p>
        </w:tc>
        <w:tc>
          <w:tcPr>
            <w:tcW w:w="244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0" w:type="dxa"/>
            <w:vAlign w:val="bottom"/>
          </w:tcPr>
          <w:p>
            <w:pPr>
              <w:spacing w:after="0"/>
              <w:rPr>
                <w:sz w:val="14"/>
                <w:szCs w:val="14"/>
                <w:color w:val="auto"/>
              </w:rPr>
            </w:pP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(9,417,977)</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(15,451,216)</w:t>
            </w:r>
          </w:p>
        </w:tc>
      </w:tr>
      <w:tr>
        <w:trPr>
          <w:trHeight w:val="171"/>
        </w:trPr>
        <w:tc>
          <w:tcPr>
            <w:tcW w:w="6600" w:type="dxa"/>
            <w:vAlign w:val="bottom"/>
          </w:tcPr>
          <w:p>
            <w:pPr>
              <w:spacing w:after="0"/>
              <w:rPr>
                <w:sz w:val="14"/>
                <w:szCs w:val="14"/>
                <w:color w:val="auto"/>
              </w:rPr>
            </w:pPr>
          </w:p>
        </w:tc>
        <w:tc>
          <w:tcPr>
            <w:tcW w:w="244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15,192,547</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(13,741,303)</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42,314,957</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52,957,556</w:t>
            </w:r>
          </w:p>
        </w:tc>
      </w:tr>
      <w:tr>
        <w:trPr>
          <w:trHeight w:val="171"/>
        </w:trPr>
        <w:tc>
          <w:tcPr>
            <w:tcW w:w="6600" w:type="dxa"/>
            <w:vAlign w:val="bottom"/>
          </w:tcPr>
          <w:p>
            <w:pPr>
              <w:spacing w:after="0"/>
              <w:rPr>
                <w:sz w:val="14"/>
                <w:szCs w:val="14"/>
                <w:color w:val="auto"/>
              </w:rPr>
            </w:pP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$57,507,504</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$39,216,253</w:t>
            </w:r>
          </w:p>
        </w:tc>
      </w:tr>
      <w:tr>
        <w:trPr>
          <w:trHeight w:val="171"/>
        </w:trPr>
        <w:tc>
          <w:tcPr>
            <w:tcW w:w="6600" w:type="dxa"/>
            <w:vAlign w:val="bottom"/>
          </w:tcPr>
          <w:p>
            <w:pPr>
              <w:spacing w:after="0"/>
              <w:rPr>
                <w:sz w:val="14"/>
                <w:szCs w:val="14"/>
                <w:color w:val="auto"/>
              </w:rPr>
            </w:pPr>
          </w:p>
        </w:tc>
        <w:tc>
          <w:tcPr>
            <w:tcW w:w="24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74" w:lineRule="exact"/>
        <w:rPr>
          <w:sz w:val="20"/>
          <w:szCs w:val="20"/>
          <w:color w:val="auto"/>
        </w:rPr>
      </w:pPr>
    </w:p>
    <w:p>
      <w:pPr>
        <w:ind w:left="449" w:right="4080" w:hanging="449"/>
        <w:spacing w:after="0" w:line="271" w:lineRule="auto"/>
        <w:tabs>
          <w:tab w:leader="none" w:pos="44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amounts are based on 14,082,213 and 14,349,932 weighted average number of shares outstanding at August 31, 1995 and 1994, respectively.</w:t>
      </w:r>
    </w:p>
    <w:p>
      <w:pPr>
        <w:spacing w:after="0" w:line="153" w:lineRule="exact"/>
        <w:rPr>
          <w:rFonts w:ascii="Courier New" w:cs="Courier New" w:eastAsia="Courier New" w:hAnsi="Courier New"/>
          <w:sz w:val="14"/>
          <w:szCs w:val="14"/>
          <w:color w:val="auto"/>
        </w:rPr>
      </w:pPr>
    </w:p>
    <w:p>
      <w:pPr>
        <w:ind w:left="449" w:right="4000"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 1993, the Company adopted the provisions of FASB Statement No. 109 and reported the cumulative effect of the change in the method of accounting for income taxes in the financial statements for 1994 in the amount of $510,200. The principal cause of this adjustment was due to the basis difference of an acquisition made in a prior year which was accounted for as a purchase transaction.</w:t>
      </w:r>
    </w:p>
    <w:p>
      <w:pPr>
        <w:spacing w:after="0" w:line="175" w:lineRule="exact"/>
        <w:rPr>
          <w:rFonts w:ascii="Courier New" w:cs="Courier New" w:eastAsia="Courier New" w:hAnsi="Courier New"/>
          <w:sz w:val="15"/>
          <w:szCs w:val="15"/>
          <w:color w:val="auto"/>
        </w:rPr>
      </w:pPr>
    </w:p>
    <w:p>
      <w:pPr>
        <w:ind w:left="449" w:right="4080"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 1993, the Company adopted the provisions of FASB Statement No. 115 "Accounting for Certain Investments in Debt and Equity Securities" and initially reported the effects thereof in the 1994 financial statements. Under Statement No. 115 the Company classifies its investment in securities as available-for-sale, which is reported at fair value. Unrealized holding gains and losses (net of tax effect) are reported as a separate component of stockholders' equity. The fair value and cost of the investment in securities was $41.6 million and $34.6 million at August 31, 1995,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9"/>
        <w:spacing w:after="0"/>
        <w:tabs>
          <w:tab w:leader="none" w:pos="3969" w:val="left"/>
        </w:tabs>
        <w:rPr>
          <w:sz w:val="20"/>
          <w:szCs w:val="20"/>
          <w:color w:val="auto"/>
        </w:rPr>
      </w:pPr>
      <w:r>
        <w:rPr>
          <w:rFonts w:ascii="Courier New" w:cs="Courier New" w:eastAsia="Courier New" w:hAnsi="Courier New"/>
          <w:sz w:val="15"/>
          <w:szCs w:val="15"/>
          <w:color w:val="auto"/>
        </w:rPr>
        <w:t>Page 4 of</w:t>
        <w:tab/>
        <w:t>9</w:t>
      </w:r>
    </w:p>
    <w:p>
      <w:pPr>
        <w:sectPr>
          <w:pgSz w:w="11900" w:h="16838" w:orient="portrait"/>
          <w:cols w:equalWidth="0" w:num="1">
            <w:col w:w="11009"/>
          </w:cols>
          <w:pgMar w:left="231" w:top="287" w:right="65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right="3579"/>
        <w:spacing w:after="0" w:line="260"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6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Major components of net income, expressed as a percentage of net sales, are reflected below:</w:t>
      </w:r>
    </w:p>
    <w:p>
      <w:pPr>
        <w:spacing w:after="0" w:line="200" w:lineRule="exact"/>
        <w:rPr>
          <w:sz w:val="20"/>
          <w:szCs w:val="20"/>
          <w:color w:val="auto"/>
        </w:rPr>
      </w:pPr>
    </w:p>
    <w:p>
      <w:pPr>
        <w:spacing w:after="0" w:line="314"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33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Nine Months Ended August 31,</w:t>
            </w: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1"/>
        </w:trPr>
        <w:tc>
          <w:tcPr>
            <w:tcW w:w="2840" w:type="dxa"/>
            <w:vAlign w:val="bottom"/>
          </w:tcPr>
          <w:p>
            <w:pPr>
              <w:spacing w:after="0"/>
              <w:rPr>
                <w:sz w:val="14"/>
                <w:szCs w:val="14"/>
                <w:color w:val="auto"/>
              </w:rPr>
            </w:pPr>
          </w:p>
        </w:tc>
        <w:tc>
          <w:tcPr>
            <w:tcW w:w="33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1995</w:t>
            </w:r>
          </w:p>
        </w:tc>
        <w:tc>
          <w:tcPr>
            <w:tcW w:w="16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1994</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840" w:type="dxa"/>
            <w:vAlign w:val="bottom"/>
          </w:tcPr>
          <w:p>
            <w:pPr>
              <w:spacing w:after="0"/>
              <w:rPr>
                <w:sz w:val="14"/>
                <w:szCs w:val="14"/>
                <w:color w:val="auto"/>
              </w:rPr>
            </w:pP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83.23%</w:t>
            </w:r>
          </w:p>
        </w:tc>
        <w:tc>
          <w:tcPr>
            <w:tcW w:w="16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82.39%</w:t>
            </w: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82.62%</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82.79%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Selling, general and admin.</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13.50</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12.95</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13.70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3.27</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4.66</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3.68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2.84</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1.74</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3.18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6.11</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6.40</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6.86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1.78</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1.94</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2.01</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4.33</w:t>
            </w:r>
          </w:p>
        </w:tc>
        <w:tc>
          <w:tcPr>
            <w:tcW w:w="16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4.33</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4.85</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3.67</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Net sales for the third quarter were up slightly over second quarter ($119.2 million vs. $119.0 million). Moreover, the year to year decline in net sales in the third quarter was approximately one third the decline experienced in the second quarter. Net sales for the 1995 third quarter were $119.2 million, a decrease of $5.8 million from $125 million in 1994. This compares to the $15.6 million decline experienced in the second quarter of 1995 compared to 1994.</w:t>
      </w:r>
    </w:p>
    <w:p>
      <w:pPr>
        <w:spacing w:after="0" w:line="16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order backlog improved in the third quarter from the low levels reached in the second quarter, reflecting an improved incoming order rate. This improvement has generally been across all the Company's Divisions.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4" w:lineRule="exact"/>
        <w:rPr>
          <w:sz w:val="20"/>
          <w:szCs w:val="20"/>
          <w:color w:val="auto"/>
        </w:rPr>
      </w:pPr>
    </w:p>
    <w:p>
      <w:pPr>
        <w:jc w:val="both"/>
        <w:ind w:right="3659"/>
        <w:spacing w:after="0" w:line="239" w:lineRule="auto"/>
        <w:rPr>
          <w:sz w:val="20"/>
          <w:szCs w:val="20"/>
          <w:color w:val="auto"/>
        </w:rPr>
      </w:pPr>
      <w:r>
        <w:rPr>
          <w:rFonts w:ascii="Courier New" w:cs="Courier New" w:eastAsia="Courier New" w:hAnsi="Courier New"/>
          <w:sz w:val="15"/>
          <w:szCs w:val="15"/>
          <w:color w:val="auto"/>
        </w:rPr>
        <w:t>Cost of sales, as a percentage of net sales, was 82.62% for the 1995 third quarter, down from 82.79% in 1994 and also, down from 83.76% in the second quarter of 1995.</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components of cost of sales, expressed as a percentage of net sales, are reflected below:</w:t>
      </w:r>
    </w:p>
    <w:p>
      <w:pPr>
        <w:spacing w:after="0" w:line="200" w:lineRule="exact"/>
        <w:rPr>
          <w:sz w:val="20"/>
          <w:szCs w:val="20"/>
          <w:color w:val="auto"/>
        </w:rPr>
      </w:pPr>
    </w:p>
    <w:p>
      <w:pPr>
        <w:spacing w:after="0" w:line="314"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416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Nine Months Ended August  31,</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1"/>
        </w:trPr>
        <w:tc>
          <w:tcPr>
            <w:tcW w:w="1960" w:type="dxa"/>
            <w:vAlign w:val="bottom"/>
          </w:tcPr>
          <w:p>
            <w:pPr>
              <w:spacing w:after="0"/>
              <w:rPr>
                <w:sz w:val="14"/>
                <w:szCs w:val="14"/>
                <w:color w:val="auto"/>
              </w:rPr>
            </w:pPr>
          </w:p>
        </w:tc>
        <w:tc>
          <w:tcPr>
            <w:tcW w:w="416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60" w:type="dxa"/>
            <w:vAlign w:val="bottom"/>
          </w:tcPr>
          <w:p>
            <w:pPr>
              <w:spacing w:after="0"/>
              <w:rPr>
                <w:sz w:val="14"/>
                <w:szCs w:val="14"/>
                <w:color w:val="auto"/>
              </w:rPr>
            </w:pPr>
          </w:p>
        </w:tc>
        <w:tc>
          <w:tcPr>
            <w:tcW w:w="32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960" w:type="dxa"/>
            <w:vAlign w:val="bottom"/>
          </w:tcPr>
          <w:p>
            <w:pPr>
              <w:spacing w:after="0"/>
              <w:rPr>
                <w:sz w:val="14"/>
                <w:szCs w:val="14"/>
                <w:color w:val="auto"/>
              </w:rPr>
            </w:pPr>
          </w:p>
        </w:tc>
        <w:tc>
          <w:tcPr>
            <w:tcW w:w="32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6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320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49.51%</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48.81%</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49.82%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32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21.33</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21.57</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20.83</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21.49</w:t>
            </w:r>
          </w:p>
        </w:tc>
      </w:t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32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12.39</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12.01</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11.97</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11.94</w:t>
            </w:r>
          </w:p>
        </w:tc>
      </w:tr>
      <w:tr>
        <w:trPr>
          <w:trHeight w:val="171"/>
        </w:trPr>
        <w:tc>
          <w:tcPr>
            <w:tcW w:w="1960" w:type="dxa"/>
            <w:vAlign w:val="bottom"/>
          </w:tcPr>
          <w:p>
            <w:pPr>
              <w:spacing w:after="0"/>
              <w:rPr>
                <w:sz w:val="14"/>
                <w:szCs w:val="14"/>
                <w:color w:val="auto"/>
              </w:rPr>
            </w:pPr>
          </w:p>
        </w:tc>
        <w:tc>
          <w:tcPr>
            <w:tcW w:w="32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60" w:type="dxa"/>
            <w:vAlign w:val="bottom"/>
          </w:tcPr>
          <w:p>
            <w:pPr>
              <w:spacing w:after="0"/>
              <w:rPr>
                <w:sz w:val="14"/>
                <w:szCs w:val="14"/>
                <w:color w:val="auto"/>
              </w:rPr>
            </w:pPr>
          </w:p>
        </w:tc>
        <w:tc>
          <w:tcPr>
            <w:tcW w:w="3200" w:type="dxa"/>
            <w:vAlign w:val="bottom"/>
          </w:tcPr>
          <w:p>
            <w:pPr>
              <w:jc w:val="right"/>
              <w:ind w:right="1186"/>
              <w:spacing w:after="0"/>
              <w:rPr>
                <w:sz w:val="20"/>
                <w:szCs w:val="20"/>
                <w:color w:val="auto"/>
              </w:rPr>
            </w:pPr>
            <w:r>
              <w:rPr>
                <w:rFonts w:ascii="Courier New" w:cs="Courier New" w:eastAsia="Courier New" w:hAnsi="Courier New"/>
                <w:sz w:val="15"/>
                <w:szCs w:val="15"/>
                <w:color w:val="auto"/>
              </w:rPr>
              <w:t>83.23%</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82.39%</w:t>
            </w:r>
          </w:p>
        </w:tc>
        <w:tc>
          <w:tcPr>
            <w:tcW w:w="17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82.62%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82.79%</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0"/>
        <w:spacing w:after="0"/>
        <w:tabs>
          <w:tab w:leader="none" w:pos="3960" w:val="left"/>
        </w:tabs>
        <w:rPr>
          <w:sz w:val="20"/>
          <w:szCs w:val="20"/>
          <w:color w:val="auto"/>
        </w:rPr>
      </w:pPr>
      <w:r>
        <w:rPr>
          <w:rFonts w:ascii="Courier New" w:cs="Courier New" w:eastAsia="Courier New" w:hAnsi="Courier New"/>
          <w:sz w:val="15"/>
          <w:szCs w:val="15"/>
          <w:color w:val="auto"/>
        </w:rPr>
        <w:t>Page 5 of</w:t>
        <w:tab/>
        <w:t>9</w:t>
      </w:r>
    </w:p>
    <w:p>
      <w:pPr>
        <w:sectPr>
          <w:pgSz w:w="11900" w:h="16838" w:orient="portrait"/>
          <w:cols w:equalWidth="0" w:num="1">
            <w:col w:w="10219"/>
          </w:cols>
          <w:pgMar w:left="240" w:top="287" w:right="1440" w:bottom="1440" w:gutter="0" w:footer="0" w:header="0"/>
          <w:type w:val="continuous"/>
        </w:sectPr>
      </w:pPr>
    </w:p>
    <w:bookmarkStart w:id="5" w:name="page6"/>
    <w:bookmarkEnd w:id="5"/>
    <w:p>
      <w:pPr>
        <w:ind w:left="269"/>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COSTS AND EXPENSES - continued</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Raw material costs continued to escalate in the third quarter without the Company being able to pass the increases through to the retail sector. This is exemplified by the fact that the Consumer Price Index for household furnishings has remained flat in 1995 compared to 1994. Overhead costs decreased in the third quarter to 11.97% from 12.83% in the second quarter. Third quarter of 1995 was flat compared to 1994, despite a decrease in net sales of $5.8 million from 1994 to 1995. This reflects the progress made to reduce and control production overhead costs.</w:t>
      </w:r>
    </w:p>
    <w:p>
      <w:pPr>
        <w:spacing w:after="0" w:line="177"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Selling, general and administrative expenses, expressed as a percentage of net sales, were 13.70% in the 1995 third quarter, down from 13.86% in the second quarter. However, after nine months in 1995, these expenses are at 13.50% up from 12.95% in 1994. Through nine months of 1995, variable costs have maintained their relationship to net sales, but some fixed costs, primarily those associated with the marketing and merchandising efforts, have not decreased in proportion to the decrease in net sales.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OTHER INCOME, NET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Major sources of other income are shown below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3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Nine Months Ended August 31,</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1"/>
        </w:trPr>
        <w:tc>
          <w:tcPr>
            <w:tcW w:w="3060" w:type="dxa"/>
            <w:vAlign w:val="bottom"/>
          </w:tcPr>
          <w:p>
            <w:pPr>
              <w:spacing w:after="0"/>
              <w:rPr>
                <w:sz w:val="14"/>
                <w:szCs w:val="14"/>
                <w:color w:val="auto"/>
              </w:rPr>
            </w:pPr>
          </w:p>
        </w:tc>
        <w:tc>
          <w:tcPr>
            <w:tcW w:w="3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06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Equity in unremitted income</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of affiliated companies</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$3,566</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$3,078</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$1,125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$1,011</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Interest (principally tax exempt)</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1,756</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1,231</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633</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1,736</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1,700</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526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533</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Gain from sales of securities</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2,676</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357</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1,312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562</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241</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171"/>
        </w:trPr>
        <w:tc>
          <w:tcPr>
            <w:tcW w:w="306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$10,296</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$6,607</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$3,797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$1,963</w:t>
            </w:r>
          </w:p>
        </w:tc>
      </w:tr>
      <w:tr>
        <w:trPr>
          <w:trHeight w:val="171"/>
        </w:trPr>
        <w:tc>
          <w:tcPr>
            <w:tcW w:w="306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399"/>
        <w:spacing w:after="0" w:line="258" w:lineRule="auto"/>
        <w:rPr>
          <w:sz w:val="20"/>
          <w:szCs w:val="20"/>
          <w:color w:val="auto"/>
        </w:rPr>
      </w:pPr>
      <w:r>
        <w:rPr>
          <w:rFonts w:ascii="Courier New" w:cs="Courier New" w:eastAsia="Courier New" w:hAnsi="Courier New"/>
          <w:sz w:val="14"/>
          <w:szCs w:val="14"/>
          <w:color w:val="auto"/>
        </w:rPr>
        <w:t>The effective income tax rate reflects the federal rate of 35% plus an effective state rate of approximately 3%. This combined rate is next subject to reduction due primarily to the effects of: (i) dividends received exclusion; (ii) tax exempt interest, (iii) unremitted affiliate income, and</w:t>
      </w:r>
    </w:p>
    <w:p>
      <w:pPr>
        <w:ind w:left="449" w:hanging="449"/>
        <w:spacing w:after="0" w:line="237"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owned life insurance.</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The current ratio was 5.6 to 1 at August 31, 1995, 6.5 to 1 at May 31, 1995 and 5.7 to 1 at November 30, 1994. Working capital has remained stable in the past year; varying between $171 million at August 31, 1995 and $164 million at November 30, 1994. Cash provided by operations increased to $26 million for the nine months of 1995 compared to $12 million in the same period of 1994; $9 million of this amount was generated in the 1995 third quarter compared to $6 million in the 1994 third quarter. Cash provided by operating activities is expected to be adequate for normal future cash requirements. There were no significant commitments for capital expenditures at August 31, 1995. Capital expenditures that will be made in the future for normal requirements are expected to be made from funds generated by operating activities.</w:t>
      </w:r>
    </w:p>
    <w:p>
      <w:pPr>
        <w:spacing w:after="0" w:line="200" w:lineRule="exact"/>
        <w:rPr>
          <w:sz w:val="20"/>
          <w:szCs w:val="20"/>
          <w:color w:val="auto"/>
        </w:rPr>
      </w:pPr>
    </w:p>
    <w:p>
      <w:pPr>
        <w:spacing w:after="0" w:line="304" w:lineRule="exact"/>
        <w:rPr>
          <w:sz w:val="20"/>
          <w:szCs w:val="20"/>
          <w:color w:val="auto"/>
        </w:rPr>
      </w:pPr>
    </w:p>
    <w:p>
      <w:pPr>
        <w:ind w:left="3009"/>
        <w:spacing w:after="0"/>
        <w:tabs>
          <w:tab w:leader="none" w:pos="3969" w:val="left"/>
        </w:tabs>
        <w:rPr>
          <w:sz w:val="20"/>
          <w:szCs w:val="20"/>
          <w:color w:val="auto"/>
        </w:rPr>
      </w:pPr>
      <w:r>
        <w:rPr>
          <w:rFonts w:ascii="Courier New" w:cs="Courier New" w:eastAsia="Courier New" w:hAnsi="Courier New"/>
          <w:sz w:val="15"/>
          <w:szCs w:val="15"/>
          <w:color w:val="auto"/>
        </w:rPr>
        <w:t>Page 6 of</w:t>
        <w:tab/>
        <w:t>9</w:t>
      </w:r>
    </w:p>
    <w:p>
      <w:pPr>
        <w:sectPr>
          <w:pgSz w:w="11900" w:h="16838" w:orient="portrait"/>
          <w:cols w:equalWidth="0" w:num="1">
            <w:col w:w="10228"/>
          </w:cols>
          <w:pgMar w:left="231"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5"/>
          <w:szCs w:val="15"/>
          <w:color w:val="auto"/>
        </w:rPr>
        <w:t>PART II - OTHER INFORMATION</w:t>
      </w:r>
    </w:p>
    <w:p>
      <w:pPr>
        <w:spacing w:after="0" w:line="1"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889" w:hanging="445"/>
        <w:spacing w:after="0"/>
        <w:tabs>
          <w:tab w:leader="none" w:pos="8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jc w:val="both"/>
        <w:ind w:left="9"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ROBERT H. SPILMAN</w:t>
      </w:r>
    </w:p>
    <w:p>
      <w:pPr>
        <w:spacing w:after="0" w:line="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Robert H. Spilman, Chairman of the Board, and Chief Executive Officer</w:t>
      </w:r>
    </w:p>
    <w:p>
      <w:pPr>
        <w:spacing w:after="0" w:line="34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DATE:</w:t>
        <w:tab/>
        <w:t>10/6/95</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PHILIP E. BOOKER</w:t>
      </w:r>
    </w:p>
    <w:p>
      <w:pPr>
        <w:spacing w:after="0" w:line="3"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Philip E. Booker, Vice President, Controller (Chief Accounting Officer)</w:t>
      </w:r>
    </w:p>
    <w:p>
      <w:pPr>
        <w:spacing w:after="0" w:line="34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DATE:</w:t>
        <w:tab/>
        <w:t>10/6/95</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Page 7 of 9</w:t>
      </w:r>
    </w:p>
    <w:p>
      <w:pPr>
        <w:sectPr>
          <w:pgSz w:w="11900" w:h="16838" w:orient="portrait"/>
          <w:cols w:equalWidth="0" w:num="1">
            <w:col w:w="10228"/>
          </w:cols>
          <w:pgMar w:left="231" w:top="28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9959"/>
          </w:cols>
          <w:pgMar w:left="5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4"/>
          <w:szCs w:val="14"/>
          <w:color w:val="auto"/>
        </w:rPr>
        <w:t>Commission File Number</w:t>
      </w:r>
    </w:p>
    <w:p>
      <w:pPr>
        <w:spacing w:after="0" w:line="9"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3900" w:space="720"/>
            <w:col w:w="5339"/>
          </w:cols>
          <w:pgMar w:left="500" w:top="287" w:right="1440" w:bottom="1440" w:gutter="0" w:footer="0" w:header="0"/>
          <w:type w:val="continuous"/>
        </w:sectPr>
      </w:pPr>
    </w:p>
    <w:p>
      <w:pPr>
        <w:spacing w:after="0" w:line="14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60"/>
        <w:spacing w:after="0" w:line="271" w:lineRule="auto"/>
        <w:rPr>
          <w:sz w:val="20"/>
          <w:szCs w:val="20"/>
          <w:color w:val="auto"/>
        </w:rPr>
      </w:pPr>
      <w:r>
        <w:rPr>
          <w:rFonts w:ascii="Courier New" w:cs="Courier New" w:eastAsia="Courier New" w:hAnsi="Courier New"/>
          <w:sz w:val="14"/>
          <w:szCs w:val="14"/>
          <w:color w:val="auto"/>
        </w:rPr>
        <w:t>Exhibit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28" w:lineRule="exact"/>
        <w:rPr>
          <w:sz w:val="20"/>
          <w:szCs w:val="20"/>
          <w:color w:val="auto"/>
        </w:rPr>
      </w:pPr>
    </w:p>
    <w:p>
      <w:pPr>
        <w:sectPr>
          <w:pgSz w:w="11900" w:h="16838" w:orient="portrait"/>
          <w:cols w:equalWidth="0" w:num="3">
            <w:col w:w="1220" w:space="720"/>
            <w:col w:w="2300" w:space="720"/>
            <w:col w:w="4999"/>
          </w:cols>
          <w:pgMar w:left="500" w:top="287" w:right="1440" w:bottom="1440" w:gutter="0" w:footer="0" w:header="0"/>
          <w:type w:val="continuous"/>
        </w:sectPr>
      </w:pPr>
    </w:p>
    <w:p>
      <w:pPr>
        <w:spacing w:after="0" w:line="12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- 9</w:t>
      </w:r>
    </w:p>
    <w:p>
      <w:pPr>
        <w:spacing w:after="0" w:line="208" w:lineRule="exact"/>
        <w:rPr>
          <w:sz w:val="20"/>
          <w:szCs w:val="20"/>
          <w:color w:val="auto"/>
        </w:rPr>
      </w:pPr>
    </w:p>
    <w:p>
      <w:pPr>
        <w:sectPr>
          <w:pgSz w:w="11900" w:h="16838" w:orient="portrait"/>
          <w:cols w:equalWidth="0" w:num="3">
            <w:col w:w="1220" w:space="720"/>
            <w:col w:w="2400" w:space="720"/>
            <w:col w:w="4899"/>
          </w:cols>
          <w:pgMar w:left="50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40"/>
        <w:spacing w:after="0"/>
        <w:tabs>
          <w:tab w:leader="none" w:pos="3700" w:val="left"/>
        </w:tabs>
        <w:rPr>
          <w:sz w:val="20"/>
          <w:szCs w:val="20"/>
          <w:color w:val="auto"/>
        </w:rPr>
      </w:pPr>
      <w:r>
        <w:rPr>
          <w:rFonts w:ascii="Courier New" w:cs="Courier New" w:eastAsia="Courier New" w:hAnsi="Courier New"/>
          <w:sz w:val="15"/>
          <w:szCs w:val="15"/>
          <w:color w:val="auto"/>
        </w:rPr>
        <w:t>Page 8 of</w:t>
        <w:tab/>
        <w:t>9</w:t>
      </w:r>
    </w:p>
    <w:p>
      <w:pPr>
        <w:sectPr>
          <w:pgSz w:w="11900" w:h="16838" w:orient="portrait"/>
          <w:cols w:equalWidth="0" w:num="1">
            <w:col w:w="9959"/>
          </w:cols>
          <w:pgMar w:left="500" w:top="287"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9-MOS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NOV-30-1995</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DEC-1-1994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AUG-31-1995</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57,508</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41,614</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66,180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79,986</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207,920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212,659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158,642</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352,142</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37,394</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70,238</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232,713</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352,142</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361,752</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372,048</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301,097</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349,936</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471</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22,112</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6,458</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15,654</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15,654</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1.11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lowerRoman"/>
      <w:start w:val="4"/>
    </w:lvl>
  </w:abstractNum>
  <w:abstractNum w:abstractNumId="4">
    <w:nsid w:val="507ED7AB"/>
    <w:multiLevelType w:val="hybridMultilevel"/>
    <w:lvl w:ilvl="0">
      <w:lvlJc w:val="left"/>
      <w:lvlText w:val="%1."/>
      <w:numFmt w:val="lowerLetter"/>
      <w:start w:val="1"/>
    </w:lvl>
    <w:lvl w:ilvl="1">
      <w:lvlJc w:val="left"/>
      <w:lvlText w:val="(%2)"/>
      <w:numFmt w:val="decimal"/>
      <w:start w:val="27"/>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2019-12-20T04:13:39Z</dcterms:created>
  <dcterms:modified xsi:type="dcterms:W3CDTF">2019-12-20T04:13:39Z</dcterms:modified>
</cp:coreProperties>
</file>