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340"/>
          </w:cols>
          <w:pgMar w:left="320" w:top="216" w:right="499" w:bottom="1440" w:gutter="0" w:footer="0" w:header="0"/>
          <w:type w:val="continuous"/>
        </w:sectPr>
      </w:pPr>
    </w:p>
    <w:p>
      <w:pPr>
        <w:spacing w:after="0" w:line="1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960" w:space="720"/>
            <w:col w:w="2400"/>
          </w:cols>
          <w:pgMar w:left="320" w:top="216"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8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8, 2025, Bassett Furniture Industries issued a news release relating to the third quarter financial results for the fiscal year ending November 29, 2025. A copy of the news release announcing this information is attached to this report as Exhibit 99.1.</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October 8,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October 8, 2025</w:t>
            </w:r>
          </w:p>
        </w:tc>
        <w:tc>
          <w:tcPr>
            <w:tcW w:w="19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J. Michael Daniel</w:t>
            </w:r>
          </w:p>
        </w:tc>
        <w:tc>
          <w:tcPr>
            <w:tcW w:w="4020" w:type="dxa"/>
            <w:vAlign w:val="bottom"/>
          </w:tcPr>
          <w:p>
            <w:pPr>
              <w:spacing w:after="0"/>
              <w:rPr>
                <w:sz w:val="17"/>
                <w:szCs w:val="17"/>
                <w:color w:val="auto"/>
              </w:rPr>
            </w:pPr>
          </w:p>
        </w:tc>
      </w:tr>
      <w:tr>
        <w:trPr>
          <w:trHeight w:val="218"/>
        </w:trPr>
        <w:tc>
          <w:tcPr>
            <w:tcW w:w="3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3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Title:   Senior Vice President – Chief Financial &amp; 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84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9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629-6620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4900" w:space="720"/>
            <w:col w:w="5620"/>
          </w:cols>
          <w:pgMar w:left="320" w:top="360" w:right="339" w:bottom="1440" w:gutter="0" w:footer="0" w:header="0"/>
          <w:type w:val="continuous"/>
        </w:sectPr>
      </w:pP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ectPr>
          <w:pgSz w:w="11900" w:h="16838" w:orient="portrait"/>
          <w:cols w:equalWidth="0" w:num="1">
            <w:col w:w="11240"/>
          </w:cols>
          <w:pgMar w:left="320" w:top="360"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Bassett Reports Fiscal Year 2025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(Bassett, Va.) – October 8, 2025 – Bassett Furniture Industries, Inc. (Nasdaq: BSET) reported today its results of operations for its third quarter ended August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Q3 Consolidated Business Highlights</w:t>
      </w:r>
      <w:r>
        <w:rPr>
          <w:rFonts w:ascii="Times New Roman" w:cs="Times New Roman" w:eastAsia="Times New Roman" w:hAnsi="Times New Roman"/>
          <w:sz w:val="18"/>
          <w:szCs w:val="18"/>
          <w:i w:val="1"/>
          <w:iCs w:val="1"/>
          <w:color w:val="auto"/>
        </w:rPr>
        <w:t>: [FY 25 vs. FY 24, unless otherwise specified]</w:t>
      </w:r>
    </w:p>
    <w:p>
      <w:pPr>
        <w:spacing w:after="0" w:line="29"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5.9% from the prior year quarter. Excluding sales from Noa Home Inc., which closed in late 2024, consolidated revenues increased 7.3%.</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$0.6 million, or 0.7% of sales as compared to a loss of $(6.4) million for the prior year quarter, which included a $1.2 million loss on a logistical services contract which the Company abandoned, and various costs associated with a cyber incident that suspended all financial systems and manufacturing for 7 days.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at 56.2% represented a 320-basis point improvement over the prior year primarily due to improved margins in the wholesale business and the fact that the prior year quarter included approximately $0.6 million of manufacturing wages paid during the above-mentioned cyber shutdown.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55.4% of sales, 420 basis points lower than the prior year, reflecting benefits from the prior year restructuring plan and ongoing cost containment activities, greater leverage of fixed costs from higher sales levels, as well as the costs associated with the cyber incident in the prior year period.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$0.09, compared to a loss of $(0.52)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i w:val="1"/>
          <w:iCs w:val="1"/>
          <w:u w:val="single" w:color="auto"/>
          <w:color w:val="auto"/>
        </w:rPr>
        <w:t>Fiscal 2025 Third Quarter Overview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consolidated results for the quarter include certain intercompany eliminations. See Table 4, "Segment Information" below for an illustration of the effects of these items on our consolidated sales and operating income.</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(fiscal 2024 only) along with the shared Corporate costs that are benefiting both the Wholesale and Retail segments.</w:t>
      </w: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pleased to report increases in revenue, operating income and gross margin this quarter, despite a continued challenging environment for home furnishings sales,” said Robert H. Spilman, Jr., Bassett Chairman and Chief Executive Officer. “We remain nimble in managing Bassett’s business by introducing new products that are resonating with the consumer, becoming more aggressive in marketing and e-commerce, and adjusting to the difficult circumstances affecting components in the supply chain. Our US manufacturing base positions us well to serve wholesale and retail customers with custom furniture and design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hold a conference call to discuss its quarterly results on October 9, 2025, at 9:00 am ET. The public is invited to listen to the conference call by webcast, accessible through the Company’s investor relations website, https://investors.bassettfurniture.com/. Participants can also listen to the conference call via https://edge.media-server.com/mmc/p/n628wkii.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sales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third fiscal quarter of 2025, constitute “forward-looking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6"/>
                <w:szCs w:val="16"/>
                <w:color w:val="auto"/>
              </w:rPr>
              <w:t>Quarter Ended</w:t>
            </w:r>
          </w:p>
        </w:tc>
        <w:tc>
          <w:tcPr>
            <w:tcW w:w="8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6"/>
                <w:szCs w:val="16"/>
                <w:color w:val="auto"/>
              </w:rPr>
              <w:t>Nine Months Ended*</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color w:val="auto"/>
              </w:rPr>
              <w:t>August 30, 2025</w:t>
            </w:r>
          </w:p>
        </w:tc>
        <w:tc>
          <w:tcPr>
            <w:tcW w:w="100" w:type="dxa"/>
            <w:vAlign w:val="bottom"/>
          </w:tcPr>
          <w:p>
            <w:pPr>
              <w:spacing w:after="0"/>
              <w:rPr>
                <w:sz w:val="17"/>
                <w:szCs w:val="17"/>
                <w:color w:val="auto"/>
              </w:rPr>
            </w:pPr>
          </w:p>
        </w:tc>
        <w:tc>
          <w:tcPr>
            <w:tcW w:w="164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August 31, 2024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August 30, 2025</w:t>
            </w:r>
          </w:p>
        </w:tc>
        <w:tc>
          <w:tcPr>
            <w:tcW w:w="120" w:type="dxa"/>
            <w:vAlign w:val="bottom"/>
          </w:tcPr>
          <w:p>
            <w:pPr>
              <w:spacing w:after="0"/>
              <w:rPr>
                <w:sz w:val="17"/>
                <w:szCs w:val="17"/>
                <w:color w:val="auto"/>
              </w:rPr>
            </w:pPr>
          </w:p>
        </w:tc>
        <w:tc>
          <w:tcPr>
            <w:tcW w:w="164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August 31, 2024</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 of</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 of</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 of</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 of</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9"/>
              </w:rPr>
              <w:t>Amount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Amount</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9"/>
              </w:rPr>
              <w:t>Amount</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Net Sales</w:t>
            </w: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80,103</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245,583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35,109</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113,863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Loss on contract abandonment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impairment charges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(17,176)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 net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220" w:type="dxa"/>
            <w:vAlign w:val="bottom"/>
            <w:shd w:val="clear" w:color="auto" w:fill="CCEEFF"/>
          </w:tcPr>
          <w:p>
            <w:pPr>
              <w:jc w:val="right"/>
              <w:ind w:right="79"/>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8"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shd w:val="clear" w:color="auto" w:fill="CCEEFF"/>
          </w:tcPr>
          <w:p>
            <w:pPr>
              <w:jc w:val="right"/>
              <w:ind w:right="160"/>
              <w:spacing w:after="0" w:line="68" w:lineRule="exact"/>
              <w:rPr>
                <w:sz w:val="20"/>
                <w:szCs w:val="20"/>
                <w:color w:val="auto"/>
              </w:rPr>
            </w:pPr>
            <w:r>
              <w:rPr>
                <w:rFonts w:ascii="Times New Roman" w:cs="Times New Roman" w:eastAsia="Times New Roman" w:hAnsi="Times New Roman"/>
                <w:sz w:val="7"/>
                <w:szCs w:val="7"/>
                <w:color w:val="auto"/>
              </w:rPr>
              <w:t>(109</w:t>
            </w:r>
          </w:p>
        </w:tc>
        <w:tc>
          <w:tcPr>
            <w:tcW w:w="10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(489</w:t>
            </w:r>
          </w:p>
        </w:tc>
        <w:tc>
          <w:tcPr>
            <w:tcW w:w="900" w:type="dxa"/>
            <w:vAlign w:val="bottom"/>
            <w:gridSpan w:val="2"/>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(5,774)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68"/>
        </w:trPr>
        <w:tc>
          <w:tcPr>
            <w:tcW w:w="3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tcPr>
          <w:p>
            <w:pPr>
              <w:jc w:val="right"/>
              <w:ind w:right="160"/>
              <w:spacing w:after="0" w:line="68" w:lineRule="exact"/>
              <w:rPr>
                <w:sz w:val="20"/>
                <w:szCs w:val="20"/>
                <w:color w:val="auto"/>
              </w:rPr>
            </w:pPr>
            <w:r>
              <w:rPr>
                <w:rFonts w:ascii="Times New Roman" w:cs="Times New Roman" w:eastAsia="Times New Roman" w:hAnsi="Times New Roman"/>
                <w:sz w:val="7"/>
                <w:szCs w:val="7"/>
                <w:color w:val="auto"/>
              </w:rPr>
              <w:t>(1,269</w:t>
            </w: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(2,691</w:t>
            </w: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earnings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(0.52)</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(1.48)</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weeks in fiscal 2025 versus 40 weeks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August 30, 2025</w:t>
            </w:r>
          </w:p>
        </w:tc>
        <w:tc>
          <w:tcPr>
            <w:tcW w:w="2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November 30, 2024</w:t>
            </w:r>
          </w:p>
        </w:tc>
      </w:tr>
      <w:tr>
        <w:trPr>
          <w:trHeight w:val="155"/>
        </w:trPr>
        <w:tc>
          <w:tcPr>
            <w:tcW w:w="80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34"/>
        </w:trPr>
        <w:tc>
          <w:tcPr>
            <w:tcW w:w="480" w:type="dxa"/>
            <w:vAlign w:val="bottom"/>
            <w:tcBorders>
              <w:top w:val="single" w:sz="8" w:color="auto"/>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5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34,413</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20,221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20,360</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61,459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54,965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74,665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77,047</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6,867</w:t>
            </w: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80,587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93,624</w:t>
            </w:r>
          </w:p>
        </w:tc>
      </w:tr>
      <w:tr>
        <w:trPr>
          <w:trHeight w:val="229"/>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8,268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7,908</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324,241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14,425</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13,303</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23,149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25,742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w:t>
            </w:r>
          </w:p>
        </w:tc>
      </w:tr>
      <w:tr>
        <w:trPr>
          <w:trHeight w:val="229"/>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10,882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73,198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w:t>
            </w: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43,378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43,681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121,583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122,847</w:t>
            </w:r>
          </w:p>
        </w:tc>
        <w:tc>
          <w:tcPr>
            <w:tcW w:w="8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0"/>
        </w:trPr>
        <w:tc>
          <w:tcPr>
            <w:tcW w:w="8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8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August 30, 2025</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August 31, 2024</w:t>
            </w:r>
          </w:p>
        </w:tc>
        <w:tc>
          <w:tcPr>
            <w:tcW w:w="100" w:type="dxa"/>
            <w:vAlign w:val="bottom"/>
            <w:gridSpan w:val="2"/>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(5,364)</w:t>
            </w: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20" w:type="dxa"/>
            <w:vAlign w:val="bottom"/>
          </w:tcPr>
          <w:p>
            <w:pPr>
              <w:spacing w:after="0"/>
              <w:rPr>
                <w:sz w:val="19"/>
                <w:szCs w:val="19"/>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(15,694)</w:t>
            </w: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(4,720)</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1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gridSpan w:val="2"/>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39,551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weeks in fiscal 2025 versus 40 weeks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August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August 31,</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August 30,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August 31,</w:t>
            </w:r>
          </w:p>
        </w:tc>
        <w:tc>
          <w:tcPr>
            <w:tcW w:w="100" w:type="dxa"/>
            <w:vAlign w:val="bottom"/>
            <w:gridSpan w:val="2"/>
          </w:tcPr>
          <w:p>
            <w:pPr>
              <w:spacing w:after="0"/>
              <w:rPr>
                <w:sz w:val="16"/>
                <w:szCs w:val="16"/>
                <w:color w:val="auto"/>
              </w:rPr>
            </w:pPr>
          </w:p>
        </w:tc>
      </w:tr>
      <w:tr>
        <w:trPr>
          <w:trHeight w:val="234"/>
        </w:trPr>
        <w:tc>
          <w:tcPr>
            <w:tcW w:w="5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50,787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47,828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(22,575)</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(20,453)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(70,747)</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(64,967)</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51,891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159,417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151,478</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Corporate &amp; Other - Noa Home </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19"/>
                <w:szCs w:val="19"/>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(6,674)</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(7,419)</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(6,963)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(20,166)</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(21,500)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(1,240)</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weeks in fiscal 2025 versus 40 weeks in fiscal 2024.</w:t>
      </w:r>
    </w:p>
    <w:p>
      <w:pPr>
        <w:spacing w:after="0" w:line="225" w:lineRule="exact"/>
        <w:rPr>
          <w:sz w:val="20"/>
          <w:szCs w:val="20"/>
          <w:color w:val="auto"/>
        </w:rPr>
      </w:pPr>
    </w:p>
    <w:p>
      <w:pPr>
        <w:ind w:left="340" w:right="3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(fiscal 2024 only) along with the shared Corporate costs that are benefiting both the Wholesale and Retail segments.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2025-10-08T15:54:07Z</dcterms:created>
  <dcterms:modified xsi:type="dcterms:W3CDTF">2025-10-08T15:54:07Z</dcterms:modified>
</cp:coreProperties>
</file>