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8"/>
        <w:spacing w:after="0"/>
        <w:rPr>
          <w:sz w:val="20"/>
          <w:szCs w:val="20"/>
          <w:color w:val="auto"/>
        </w:rPr>
      </w:pPr>
      <w:r>
        <w:rPr>
          <w:rFonts w:ascii="Courier New" w:cs="Courier New" w:eastAsia="Courier New" w:hAnsi="Courier New"/>
          <w:sz w:val="15"/>
          <w:szCs w:val="15"/>
          <w:color w:val="auto"/>
        </w:rPr>
        <w:t>1</w:t>
      </w:r>
    </w:p>
    <w:p>
      <w:pPr>
        <w:spacing w:after="0" w:line="346"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UNITED STATES</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ind w:left="204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2508"/>
        <w:spacing w:after="0"/>
        <w:tabs>
          <w:tab w:leader="none" w:pos="4188"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174" w:lineRule="exact"/>
        <w:rPr>
          <w:sz w:val="24"/>
          <w:szCs w:val="24"/>
          <w:color w:val="auto"/>
        </w:rPr>
      </w:pPr>
    </w:p>
    <w:p>
      <w:pPr>
        <w:ind w:left="3128"/>
        <w:spacing w:after="0"/>
        <w:rPr>
          <w:sz w:val="20"/>
          <w:szCs w:val="20"/>
          <w:color w:val="auto"/>
        </w:rPr>
      </w:pPr>
      <w:r>
        <w:rPr>
          <w:rFonts w:ascii="Courier New" w:cs="Courier New" w:eastAsia="Courier New" w:hAnsi="Courier New"/>
          <w:sz w:val="15"/>
          <w:szCs w:val="15"/>
          <w:color w:val="auto"/>
        </w:rPr>
        <w:t>FORM 10-K</w:t>
      </w:r>
    </w:p>
    <w:p>
      <w:pPr>
        <w:spacing w:after="0" w:line="2" w:lineRule="exact"/>
        <w:rPr>
          <w:sz w:val="24"/>
          <w:szCs w:val="24"/>
          <w:color w:val="auto"/>
        </w:rPr>
      </w:pPr>
    </w:p>
    <w:p>
      <w:pPr>
        <w:ind w:left="31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4"/>
          <w:szCs w:val="24"/>
          <w:color w:val="auto"/>
        </w:rPr>
      </w:pPr>
    </w:p>
    <w:p>
      <w:pPr>
        <w:ind w:left="6088"/>
        <w:spacing w:after="0"/>
        <w:rPr>
          <w:sz w:val="20"/>
          <w:szCs w:val="20"/>
          <w:color w:val="auto"/>
        </w:rPr>
      </w:pPr>
      <w:r>
        <w:rPr>
          <w:rFonts w:ascii="Courier New" w:cs="Courier New" w:eastAsia="Courier New" w:hAnsi="Courier New"/>
          <w:sz w:val="14"/>
          <w:szCs w:val="14"/>
          <w:color w:val="auto"/>
        </w:rPr>
        <w:t>Page 1 of 23</w:t>
      </w:r>
    </w:p>
    <w:p>
      <w:pPr>
        <w:spacing w:after="0" w:line="185" w:lineRule="exact"/>
        <w:rPr>
          <w:sz w:val="24"/>
          <w:szCs w:val="24"/>
          <w:color w:val="auto"/>
        </w:rPr>
      </w:pPr>
    </w:p>
    <w:p>
      <w:pPr>
        <w:ind w:left="528" w:right="3439" w:hanging="536"/>
        <w:spacing w:after="0"/>
        <w:rPr>
          <w:sz w:val="20"/>
          <w:szCs w:val="20"/>
          <w:color w:val="auto"/>
        </w:rPr>
      </w:pPr>
      <w:r>
        <w:rPr>
          <w:rFonts w:ascii="Courier New" w:cs="Courier New" w:eastAsia="Courier New" w:hAnsi="Courier New"/>
          <w:sz w:val="15"/>
          <w:szCs w:val="15"/>
          <w:color w:val="auto"/>
        </w:rPr>
        <w:t>/X/ ANNUAL REPORT PURSUANT TO SECTION 13 OR 15(d) OF THE SECURITIES EXCHANGE ACT OF 1934</w:t>
      </w:r>
    </w:p>
    <w:p>
      <w:pPr>
        <w:spacing w:after="0" w:line="174" w:lineRule="exact"/>
        <w:rPr>
          <w:sz w:val="24"/>
          <w:szCs w:val="24"/>
          <w:color w:val="auto"/>
        </w:rPr>
      </w:pPr>
    </w:p>
    <w:p>
      <w:pPr>
        <w:ind w:left="348"/>
        <w:spacing w:after="0"/>
        <w:tabs>
          <w:tab w:leader="none" w:pos="4728" w:val="left"/>
        </w:tabs>
        <w:rPr>
          <w:sz w:val="20"/>
          <w:szCs w:val="20"/>
          <w:color w:val="auto"/>
        </w:rPr>
      </w:pPr>
      <w:r>
        <w:rPr>
          <w:rFonts w:ascii="Courier New" w:cs="Courier New" w:eastAsia="Courier New" w:hAnsi="Courier New"/>
          <w:sz w:val="15"/>
          <w:szCs w:val="15"/>
          <w:color w:val="auto"/>
        </w:rPr>
        <w:t>For the fiscal year ended November 30, 1995</w:t>
      </w:r>
      <w:r>
        <w:rPr>
          <w:sz w:val="20"/>
          <w:szCs w:val="20"/>
          <w:color w:val="auto"/>
        </w:rPr>
        <w:tab/>
      </w:r>
      <w:r>
        <w:rPr>
          <w:rFonts w:ascii="Courier New" w:cs="Courier New" w:eastAsia="Courier New" w:hAnsi="Courier New"/>
          <w:sz w:val="14"/>
          <w:szCs w:val="14"/>
          <w:color w:val="auto"/>
        </w:rPr>
        <w:t>Commission File No. 0-209</w:t>
      </w:r>
    </w:p>
    <w:p>
      <w:pPr>
        <w:spacing w:after="0" w:line="174" w:lineRule="exact"/>
        <w:rPr>
          <w:sz w:val="24"/>
          <w:szCs w:val="24"/>
          <w:color w:val="auto"/>
        </w:rPr>
      </w:pPr>
    </w:p>
    <w:p>
      <w:pPr>
        <w:ind w:left="1708"/>
        <w:spacing w:after="0"/>
        <w:rPr>
          <w:sz w:val="20"/>
          <w:szCs w:val="20"/>
          <w:color w:val="auto"/>
        </w:rPr>
      </w:pPr>
      <w:r>
        <w:rPr>
          <w:rFonts w:ascii="Courier New" w:cs="Courier New" w:eastAsia="Courier New" w:hAnsi="Courier New"/>
          <w:sz w:val="15"/>
          <w:szCs w:val="15"/>
          <w:color w:val="auto"/>
        </w:rPr>
        <w:t>BASSETT FURNITURE INDUSTRIES, INCORPORATED</w:t>
      </w:r>
    </w:p>
    <w:p>
      <w:pPr>
        <w:spacing w:after="0" w:line="2" w:lineRule="exact"/>
        <w:rPr>
          <w:sz w:val="24"/>
          <w:szCs w:val="24"/>
          <w:color w:val="auto"/>
        </w:rPr>
      </w:pPr>
    </w:p>
    <w:p>
      <w:pPr>
        <w:ind w:left="1708"/>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ind w:left="988"/>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7"/>
          </w:cols>
          <w:pgMar w:left="232" w:top="231" w:right="1440" w:bottom="1440" w:gutter="0" w:footer="0" w:header="0"/>
        </w:sectPr>
      </w:pPr>
    </w:p>
    <w:p>
      <w:pPr>
        <w:spacing w:after="0" w:line="200" w:lineRule="exact"/>
        <w:rPr>
          <w:sz w:val="24"/>
          <w:szCs w:val="24"/>
          <w:color w:val="auto"/>
        </w:rPr>
      </w:pPr>
    </w:p>
    <w:p>
      <w:pPr>
        <w:spacing w:after="0" w:line="318" w:lineRule="exact"/>
        <w:rPr>
          <w:sz w:val="24"/>
          <w:szCs w:val="24"/>
          <w:color w:val="auto"/>
        </w:rPr>
      </w:pPr>
    </w:p>
    <w:p>
      <w:pPr>
        <w:ind w:left="1608"/>
        <w:spacing w:after="0"/>
        <w:rPr>
          <w:sz w:val="20"/>
          <w:szCs w:val="20"/>
          <w:color w:val="auto"/>
        </w:rPr>
      </w:pPr>
      <w:r>
        <w:rPr>
          <w:rFonts w:ascii="Courier New" w:cs="Courier New" w:eastAsia="Courier New" w:hAnsi="Courier New"/>
          <w:sz w:val="15"/>
          <w:szCs w:val="15"/>
          <w:color w:val="auto"/>
        </w:rPr>
        <w:t>VIRGINIA</w:t>
      </w:r>
    </w:p>
    <w:p>
      <w:pPr>
        <w:spacing w:after="0" w:line="4" w:lineRule="exact"/>
        <w:rPr>
          <w:sz w:val="24"/>
          <w:szCs w:val="24"/>
          <w:color w:val="auto"/>
        </w:rPr>
      </w:pPr>
    </w:p>
    <w:p>
      <w:pPr>
        <w:ind w:left="628"/>
        <w:spacing w:after="0"/>
        <w:rPr>
          <w:sz w:val="20"/>
          <w:szCs w:val="20"/>
          <w:color w:val="auto"/>
        </w:rPr>
      </w:pPr>
      <w:r>
        <w:rPr>
          <w:rFonts w:ascii="Courier New" w:cs="Courier New" w:eastAsia="Courier New" w:hAnsi="Courier New"/>
          <w:sz w:val="14"/>
          <w:szCs w:val="14"/>
          <w:color w:val="auto"/>
        </w:rPr>
        <w:t>-------------------------------</w:t>
      </w:r>
    </w:p>
    <w:p>
      <w:pPr>
        <w:spacing w:after="0" w:line="13" w:lineRule="exact"/>
        <w:rPr>
          <w:sz w:val="24"/>
          <w:szCs w:val="24"/>
          <w:color w:val="auto"/>
        </w:rPr>
      </w:pPr>
    </w:p>
    <w:p>
      <w:pPr>
        <w:ind w:left="628"/>
        <w:spacing w:after="0"/>
        <w:rPr>
          <w:sz w:val="20"/>
          <w:szCs w:val="20"/>
          <w:color w:val="auto"/>
        </w:rPr>
      </w:pPr>
      <w:r>
        <w:rPr>
          <w:rFonts w:ascii="Courier New" w:cs="Courier New" w:eastAsia="Courier New" w:hAnsi="Courier New"/>
          <w:sz w:val="14"/>
          <w:szCs w:val="14"/>
          <w:color w:val="auto"/>
        </w:rPr>
        <w:t>(State or other jurisdiction of</w:t>
      </w:r>
    </w:p>
    <w:p>
      <w:pPr>
        <w:spacing w:after="0" w:line="12" w:lineRule="exact"/>
        <w:rPr>
          <w:sz w:val="24"/>
          <w:szCs w:val="24"/>
          <w:color w:val="auto"/>
        </w:rPr>
      </w:pPr>
    </w:p>
    <w:p>
      <w:pPr>
        <w:ind w:left="628"/>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8"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54-0135270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83" w:lineRule="exact"/>
        <w:rPr>
          <w:sz w:val="24"/>
          <w:szCs w:val="24"/>
          <w:color w:val="auto"/>
        </w:rPr>
      </w:pPr>
    </w:p>
    <w:p>
      <w:pPr>
        <w:sectPr>
          <w:pgSz w:w="11900" w:h="16838" w:orient="portrait"/>
          <w:cols w:equalWidth="0" w:num="2">
            <w:col w:w="4548" w:space="720"/>
            <w:col w:w="4959"/>
          </w:cols>
          <w:pgMar w:left="232" w:top="231" w:right="1440" w:bottom="1440" w:gutter="0" w:footer="0" w:header="0"/>
          <w:type w:val="continuous"/>
        </w:sectPr>
      </w:pPr>
    </w:p>
    <w:p>
      <w:pPr>
        <w:ind w:left="1068"/>
        <w:spacing w:after="0"/>
        <w:tabs>
          <w:tab w:leader="none" w:pos="5888" w:val="left"/>
        </w:tabs>
        <w:rPr>
          <w:sz w:val="20"/>
          <w:szCs w:val="20"/>
          <w:color w:val="auto"/>
        </w:rPr>
      </w:pPr>
      <w:r>
        <w:rPr>
          <w:rFonts w:ascii="Courier New" w:cs="Courier New" w:eastAsia="Courier New" w:hAnsi="Courier New"/>
          <w:sz w:val="15"/>
          <w:szCs w:val="15"/>
          <w:color w:val="auto"/>
        </w:rPr>
        <w:t>BASSETT, VIRGINIA</w:t>
      </w:r>
      <w:r>
        <w:rPr>
          <w:sz w:val="20"/>
          <w:szCs w:val="20"/>
          <w:color w:val="auto"/>
        </w:rPr>
        <w:tab/>
      </w:r>
      <w:r>
        <w:rPr>
          <w:rFonts w:ascii="Courier New" w:cs="Courier New" w:eastAsia="Courier New" w:hAnsi="Courier New"/>
          <w:sz w:val="14"/>
          <w:szCs w:val="14"/>
          <w:color w:val="auto"/>
        </w:rPr>
        <w:t>24055</w:t>
      </w:r>
    </w:p>
    <w:p>
      <w:pPr>
        <w:sectPr>
          <w:pgSz w:w="11900" w:h="16838" w:orient="portrait"/>
          <w:cols w:equalWidth="0" w:num="1">
            <w:col w:w="10227"/>
          </w:cols>
          <w:pgMar w:left="232" w:top="231" w:right="1440" w:bottom="1440" w:gutter="0" w:footer="0" w:header="0"/>
          <w:type w:val="continuous"/>
        </w:sectPr>
      </w:pPr>
    </w:p>
    <w:p>
      <w:pPr>
        <w:spacing w:after="0" w:line="4"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329" w:lineRule="exact"/>
        <w:rPr>
          <w:sz w:val="24"/>
          <w:szCs w:val="24"/>
          <w:color w:val="auto"/>
        </w:rPr>
      </w:pPr>
    </w:p>
    <w:p>
      <w:pPr>
        <w:ind w:left="88"/>
        <w:spacing w:after="0"/>
        <w:tabs>
          <w:tab w:leader="none" w:pos="5528"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ectPr>
          <w:pgSz w:w="11900" w:h="16838" w:orient="portrait"/>
          <w:cols w:equalWidth="0" w:num="1">
            <w:col w:w="10227"/>
          </w:cols>
          <w:pgMar w:left="232" w:top="231" w:right="1440" w:bottom="1440" w:gutter="0" w:footer="0" w:header="0"/>
          <w:type w:val="continuous"/>
        </w:sectPr>
      </w:pPr>
    </w:p>
    <w:p>
      <w:pPr>
        <w:spacing w:after="0" w:line="348"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326" w:lineRule="exact"/>
        <w:rPr>
          <w:sz w:val="24"/>
          <w:szCs w:val="24"/>
          <w:color w:val="auto"/>
        </w:rPr>
      </w:pPr>
    </w:p>
    <w:p>
      <w:pPr>
        <w:ind w:left="1160"/>
        <w:spacing w:after="0"/>
        <w:rPr>
          <w:sz w:val="20"/>
          <w:szCs w:val="20"/>
          <w:color w:val="auto"/>
        </w:rPr>
      </w:pPr>
      <w:r>
        <w:rPr>
          <w:rFonts w:ascii="Courier New" w:cs="Courier New" w:eastAsia="Courier New" w:hAnsi="Courier New"/>
          <w:sz w:val="15"/>
          <w:szCs w:val="15"/>
          <w:color w:val="auto"/>
        </w:rPr>
        <w:t>540/629-6000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4"/>
          <w:szCs w:val="24"/>
          <w:color w:val="auto"/>
        </w:rPr>
      </w:pPr>
    </w:p>
    <w:p>
      <w:pPr>
        <w:sectPr>
          <w:pgSz w:w="11900" w:h="16838" w:orient="portrait"/>
          <w:cols w:equalWidth="0" w:num="2">
            <w:col w:w="4468" w:space="0"/>
            <w:col w:w="5759"/>
          </w:cols>
          <w:pgMar w:left="232" w:top="231"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ectPr>
          <w:pgSz w:w="11900" w:h="16838" w:orient="portrait"/>
          <w:cols w:equalWidth="0" w:num="1">
            <w:col w:w="10227"/>
          </w:cols>
          <w:pgMar w:left="232" w:top="231" w:right="1440" w:bottom="1440" w:gutter="0" w:footer="0" w:header="0"/>
          <w:type w:val="continuous"/>
        </w:sectPr>
      </w:pPr>
    </w:p>
    <w:p>
      <w:pPr>
        <w:spacing w:after="0" w:line="200" w:lineRule="exact"/>
        <w:rPr>
          <w:sz w:val="24"/>
          <w:szCs w:val="24"/>
          <w:color w:val="auto"/>
        </w:rPr>
      </w:pPr>
    </w:p>
    <w:p>
      <w:pPr>
        <w:spacing w:after="0" w:line="328"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Title of each class:</w:t>
      </w:r>
    </w:p>
    <w:p>
      <w:pPr>
        <w:spacing w:after="0" w:line="4"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4"/>
          <w:szCs w:val="24"/>
          <w:color w:val="auto"/>
        </w:rPr>
      </w:pPr>
      <w:r>
        <w:rPr>
          <w:sz w:val="24"/>
          <w:szCs w:val="24"/>
          <w:color w:val="auto"/>
        </w:rPr>
        <w:br w:type="column"/>
      </w:r>
    </w:p>
    <w:p>
      <w:pPr>
        <w:spacing w:after="0" w:line="336"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Name of each exchange</w:t>
      </w:r>
    </w:p>
    <w:p>
      <w:pPr>
        <w:spacing w:after="0" w:line="2" w:lineRule="exact"/>
        <w:rPr>
          <w:sz w:val="24"/>
          <w:szCs w:val="24"/>
          <w:color w:val="auto"/>
        </w:rPr>
      </w:pPr>
    </w:p>
    <w:p>
      <w:pPr>
        <w:ind w:left="460"/>
        <w:spacing w:after="0"/>
        <w:rPr>
          <w:sz w:val="20"/>
          <w:szCs w:val="20"/>
          <w:color w:val="auto"/>
        </w:rPr>
      </w:pPr>
      <w:r>
        <w:rPr>
          <w:rFonts w:ascii="Courier New" w:cs="Courier New" w:eastAsia="Courier New" w:hAnsi="Courier New"/>
          <w:sz w:val="15"/>
          <w:szCs w:val="15"/>
          <w:color w:val="auto"/>
        </w:rPr>
        <w:t>on which registered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4"/>
          <w:szCs w:val="24"/>
          <w:color w:val="auto"/>
        </w:rPr>
      </w:pPr>
    </w:p>
    <w:p>
      <w:pPr>
        <w:sectPr>
          <w:pgSz w:w="11900" w:h="16838" w:orient="portrait"/>
          <w:cols w:equalWidth="0" w:num="2">
            <w:col w:w="3928" w:space="720"/>
            <w:col w:w="5579"/>
          </w:cols>
          <w:pgMar w:left="232" w:top="231" w:right="1440" w:bottom="1440" w:gutter="0" w:footer="0" w:header="0"/>
          <w:type w:val="continuous"/>
        </w:sectPr>
      </w:pPr>
    </w:p>
    <w:p>
      <w:pPr>
        <w:spacing w:after="0" w:line="1" w:lineRule="exact"/>
        <w:rPr>
          <w:sz w:val="24"/>
          <w:szCs w:val="24"/>
          <w:color w:val="auto"/>
        </w:rPr>
      </w:pPr>
    </w:p>
    <w:p>
      <w:pPr>
        <w:ind w:left="348"/>
        <w:spacing w:after="0"/>
        <w:rPr>
          <w:sz w:val="20"/>
          <w:szCs w:val="20"/>
          <w:color w:val="auto"/>
        </w:rPr>
      </w:pPr>
      <w:r>
        <w:rPr>
          <w:rFonts w:ascii="Courier New" w:cs="Courier New" w:eastAsia="Courier New" w:hAnsi="Courier New"/>
          <w:sz w:val="14"/>
          <w:szCs w:val="14"/>
          <w:color w:val="auto"/>
        </w:rPr>
        <w:t>Common Stock ($5.00 par value)</w:t>
      </w:r>
    </w:p>
    <w:p>
      <w:pPr>
        <w:spacing w:after="0" w:line="12" w:lineRule="exact"/>
        <w:rPr>
          <w:sz w:val="24"/>
          <w:szCs w:val="24"/>
          <w:color w:val="auto"/>
        </w:rPr>
      </w:pPr>
    </w:p>
    <w:p>
      <w:pPr>
        <w:ind w:left="348"/>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ind w:left="640"/>
        <w:spacing w:after="0"/>
        <w:rPr>
          <w:sz w:val="20"/>
          <w:szCs w:val="20"/>
          <w:color w:val="auto"/>
        </w:rPr>
      </w:pPr>
      <w:r>
        <w:rPr>
          <w:rFonts w:ascii="Courier New" w:cs="Courier New" w:eastAsia="Courier New" w:hAnsi="Courier New"/>
          <w:sz w:val="15"/>
          <w:szCs w:val="15"/>
          <w:color w:val="auto"/>
        </w:rPr>
        <w:t>NASDAQ</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9" w:lineRule="exact"/>
        <w:rPr>
          <w:sz w:val="24"/>
          <w:szCs w:val="24"/>
          <w:color w:val="auto"/>
        </w:rPr>
      </w:pPr>
    </w:p>
    <w:p>
      <w:pPr>
        <w:sectPr>
          <w:pgSz w:w="11900" w:h="16838" w:orient="portrait"/>
          <w:cols w:equalWidth="0" w:num="2">
            <w:col w:w="3748" w:space="720"/>
            <w:col w:w="5759"/>
          </w:cols>
          <w:pgMar w:left="232" w:top="231" w:right="1440" w:bottom="1440" w:gutter="0" w:footer="0" w:header="0"/>
          <w:type w:val="continuous"/>
        </w:sectPr>
      </w:pPr>
    </w:p>
    <w:p>
      <w:pPr>
        <w:spacing w:after="0" w:line="148" w:lineRule="exact"/>
        <w:rPr>
          <w:sz w:val="24"/>
          <w:szCs w:val="24"/>
          <w:color w:val="auto"/>
        </w:rPr>
      </w:pPr>
    </w:p>
    <w:p>
      <w:pPr>
        <w:ind w:left="8" w:right="3339"/>
        <w:spacing w:after="0" w:line="242"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and (2) has been subject to such filing requirements for at least the past 90 days.</w:t>
      </w:r>
    </w:p>
    <w:p>
      <w:pPr>
        <w:spacing w:after="0" w:line="173" w:lineRule="exact"/>
        <w:rPr>
          <w:sz w:val="24"/>
          <w:szCs w:val="24"/>
          <w:color w:val="auto"/>
        </w:rPr>
      </w:pPr>
    </w:p>
    <w:p>
      <w:pPr>
        <w:jc w:val="center"/>
        <w:ind w:right="3071"/>
        <w:spacing w:after="0"/>
        <w:tabs>
          <w:tab w:leader="none" w:pos="240" w:val="left"/>
        </w:tabs>
        <w:rPr>
          <w:sz w:val="20"/>
          <w:szCs w:val="20"/>
          <w:color w:val="auto"/>
        </w:rPr>
      </w:pPr>
      <w:r>
        <w:rPr>
          <w:rFonts w:ascii="Courier New" w:cs="Courier New" w:eastAsia="Courier New" w:hAnsi="Courier New"/>
          <w:sz w:val="15"/>
          <w:szCs w:val="15"/>
          <w:color w:val="auto"/>
        </w:rPr>
        <w:t>/X/ Yes</w:t>
      </w:r>
      <w:r>
        <w:rPr>
          <w:sz w:val="20"/>
          <w:szCs w:val="20"/>
          <w:color w:val="auto"/>
        </w:rPr>
        <w:tab/>
      </w:r>
      <w:r>
        <w:rPr>
          <w:rFonts w:ascii="Courier New" w:cs="Courier New" w:eastAsia="Courier New" w:hAnsi="Courier New"/>
          <w:sz w:val="14"/>
          <w:szCs w:val="14"/>
          <w:color w:val="auto"/>
        </w:rPr>
        <w:t>/ / No</w:t>
      </w:r>
    </w:p>
    <w:p>
      <w:pPr>
        <w:spacing w:after="0" w:line="176" w:lineRule="exact"/>
        <w:rPr>
          <w:sz w:val="24"/>
          <w:szCs w:val="24"/>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X /</w:t>
      </w:r>
    </w:p>
    <w:p>
      <w:pPr>
        <w:spacing w:after="0" w:line="175" w:lineRule="exact"/>
        <w:rPr>
          <w:sz w:val="24"/>
          <w:szCs w:val="24"/>
          <w:color w:val="auto"/>
        </w:rPr>
      </w:pPr>
    </w:p>
    <w:p>
      <w:pPr>
        <w:ind w:left="8" w:right="3259"/>
        <w:spacing w:after="0"/>
        <w:rPr>
          <w:sz w:val="20"/>
          <w:szCs w:val="20"/>
          <w:color w:val="auto"/>
        </w:rPr>
      </w:pPr>
      <w:r>
        <w:rPr>
          <w:rFonts w:ascii="Courier New" w:cs="Courier New" w:eastAsia="Courier New" w:hAnsi="Courier New"/>
          <w:sz w:val="15"/>
          <w:szCs w:val="15"/>
          <w:color w:val="auto"/>
        </w:rPr>
        <w:t>State the aggregate market value of the voting stock held by non-affiliates of the registrant as of December 15,1995.</w:t>
      </w:r>
    </w:p>
    <w:p>
      <w:pPr>
        <w:spacing w:after="0" w:line="174" w:lineRule="exact"/>
        <w:rPr>
          <w:sz w:val="24"/>
          <w:szCs w:val="24"/>
          <w:color w:val="auto"/>
        </w:rPr>
      </w:pPr>
    </w:p>
    <w:p>
      <w:pPr>
        <w:ind w:left="1528"/>
        <w:spacing w:after="0"/>
        <w:rPr>
          <w:sz w:val="20"/>
          <w:szCs w:val="20"/>
          <w:color w:val="auto"/>
        </w:rPr>
      </w:pPr>
      <w:r>
        <w:rPr>
          <w:rFonts w:ascii="Courier New" w:cs="Courier New" w:eastAsia="Courier New" w:hAnsi="Courier New"/>
          <w:sz w:val="15"/>
          <w:szCs w:val="15"/>
          <w:color w:val="auto"/>
        </w:rPr>
        <w:t>Common Stock, $5.00 par value -- $274,095,000</w:t>
      </w:r>
    </w:p>
    <w:p>
      <w:pPr>
        <w:spacing w:after="0" w:line="176" w:lineRule="exact"/>
        <w:rPr>
          <w:sz w:val="24"/>
          <w:szCs w:val="24"/>
          <w:color w:val="auto"/>
        </w:rPr>
      </w:pPr>
    </w:p>
    <w:p>
      <w:pPr>
        <w:ind w:left="8" w:right="3339"/>
        <w:spacing w:after="0"/>
        <w:rPr>
          <w:sz w:val="20"/>
          <w:szCs w:val="20"/>
          <w:color w:val="auto"/>
        </w:rPr>
      </w:pPr>
      <w:r>
        <w:rPr>
          <w:rFonts w:ascii="Courier New" w:cs="Courier New" w:eastAsia="Courier New" w:hAnsi="Courier New"/>
          <w:sz w:val="15"/>
          <w:szCs w:val="15"/>
          <w:color w:val="auto"/>
        </w:rPr>
        <w:t>Indicate the number of shares outstanding of each of the registrant's classes of common stock, as of the latest practicable date.</w:t>
      </w:r>
    </w:p>
    <w:p>
      <w:pPr>
        <w:spacing w:after="0" w:line="174" w:lineRule="exact"/>
        <w:rPr>
          <w:sz w:val="24"/>
          <w:szCs w:val="24"/>
          <w:color w:val="auto"/>
        </w:rPr>
      </w:pPr>
    </w:p>
    <w:p>
      <w:pPr>
        <w:jc w:val="center"/>
        <w:ind w:right="3331"/>
        <w:spacing w:after="0"/>
        <w:rPr>
          <w:sz w:val="20"/>
          <w:szCs w:val="20"/>
          <w:color w:val="auto"/>
        </w:rPr>
      </w:pPr>
      <w:r>
        <w:rPr>
          <w:rFonts w:ascii="Courier New" w:cs="Courier New" w:eastAsia="Courier New" w:hAnsi="Courier New"/>
          <w:sz w:val="15"/>
          <w:szCs w:val="15"/>
          <w:color w:val="auto"/>
        </w:rPr>
        <w:t>Common Stock, $5.00 par value -- 13,658,953 at the close of</w:t>
      </w:r>
    </w:p>
    <w:p>
      <w:pPr>
        <w:spacing w:after="0" w:line="2" w:lineRule="exact"/>
        <w:rPr>
          <w:sz w:val="24"/>
          <w:szCs w:val="24"/>
          <w:color w:val="auto"/>
        </w:rPr>
      </w:pPr>
    </w:p>
    <w:p>
      <w:pPr>
        <w:jc w:val="center"/>
        <w:ind w:right="3251"/>
        <w:spacing w:after="0"/>
        <w:rPr>
          <w:sz w:val="20"/>
          <w:szCs w:val="20"/>
          <w:color w:val="auto"/>
        </w:rPr>
      </w:pPr>
      <w:r>
        <w:rPr>
          <w:rFonts w:ascii="Courier New" w:cs="Courier New" w:eastAsia="Courier New" w:hAnsi="Courier New"/>
          <w:sz w:val="15"/>
          <w:szCs w:val="15"/>
          <w:color w:val="auto"/>
        </w:rPr>
        <w:t>the period covered by this report.</w:t>
      </w:r>
    </w:p>
    <w:p>
      <w:pPr>
        <w:spacing w:after="0" w:line="174" w:lineRule="exact"/>
        <w:rPr>
          <w:sz w:val="24"/>
          <w:szCs w:val="24"/>
          <w:color w:val="auto"/>
        </w:rPr>
      </w:pPr>
    </w:p>
    <w:p>
      <w:pPr>
        <w:ind w:left="1968"/>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6" w:lineRule="exact"/>
        <w:rPr>
          <w:sz w:val="24"/>
          <w:szCs w:val="24"/>
          <w:color w:val="auto"/>
        </w:rPr>
      </w:pPr>
    </w:p>
    <w:p>
      <w:pPr>
        <w:ind w:left="808" w:right="3259" w:hanging="808"/>
        <w:spacing w:after="0" w:line="242" w:lineRule="auto"/>
        <w:tabs>
          <w:tab w:leader="none" w:pos="80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of the Bassett Furniture Industries, Incorporated Annual Report to Stockholders for the year ended November 30, 1995 (the "Annual Report") are incorporated by reference into Parts I and II of this Form 10-K.</w:t>
      </w:r>
    </w:p>
    <w:p>
      <w:pPr>
        <w:spacing w:after="0" w:line="174" w:lineRule="exact"/>
        <w:rPr>
          <w:rFonts w:ascii="Courier New" w:cs="Courier New" w:eastAsia="Courier New" w:hAnsi="Courier New"/>
          <w:sz w:val="15"/>
          <w:szCs w:val="15"/>
          <w:color w:val="auto"/>
        </w:rPr>
      </w:pPr>
    </w:p>
    <w:p>
      <w:pPr>
        <w:ind w:left="808" w:right="3159" w:hanging="808"/>
        <w:spacing w:after="0" w:line="242" w:lineRule="auto"/>
        <w:tabs>
          <w:tab w:leader="none" w:pos="80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of the Bassett Furniture Industries, Incorporated definitive Proxy Statement for its 1996 Annual Meeting of Stockholders held February 21, 1996, filed with the Securities and Exchange Commission pursuant to Regulation 14A under the Securities Exchange Act of 1934 (the "Proxy Statement") are incorporated by reference into Part III of this Form 10-K.</w:t>
      </w:r>
    </w:p>
    <w:p>
      <w:pPr>
        <w:sectPr>
          <w:pgSz w:w="11900" w:h="16838" w:orient="portrait"/>
          <w:cols w:equalWidth="0" w:num="1">
            <w:col w:w="10227"/>
          </w:cols>
          <w:pgMar w:left="232" w:top="231"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Page 2 of 23</w:t>
      </w:r>
    </w:p>
    <w:p>
      <w:pPr>
        <w:spacing w:after="0" w:line="200" w:lineRule="exact"/>
        <w:rPr>
          <w:sz w:val="20"/>
          <w:szCs w:val="20"/>
          <w:color w:val="auto"/>
        </w:rPr>
      </w:pPr>
    </w:p>
    <w:p>
      <w:pPr>
        <w:spacing w:after="0" w:line="318"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PART I</w:t>
      </w:r>
    </w:p>
    <w:p>
      <w:pPr>
        <w:spacing w:after="0" w:line="17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5"/>
          <w:szCs w:val="15"/>
          <w:color w:val="auto"/>
        </w:rPr>
        <w:t>ITEM</w:t>
        <w:tab/>
        <w:t>1. BUSINESS</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GENERAL DEVELOPMENT OF BUSINESS</w:t>
      </w:r>
    </w:p>
    <w:p>
      <w:pPr>
        <w:spacing w:after="0" w:line="176" w:lineRule="exact"/>
        <w:rPr>
          <w:sz w:val="20"/>
          <w:szCs w:val="20"/>
          <w:color w:val="auto"/>
        </w:rPr>
      </w:pPr>
    </w:p>
    <w:p>
      <w:pPr>
        <w:ind w:left="1600" w:right="3259"/>
        <w:spacing w:after="0" w:line="241" w:lineRule="auto"/>
        <w:rPr>
          <w:sz w:val="20"/>
          <w:szCs w:val="20"/>
          <w:color w:val="auto"/>
        </w:rPr>
      </w:pPr>
      <w:r>
        <w:rPr>
          <w:rFonts w:ascii="Courier New" w:cs="Courier New" w:eastAsia="Courier New" w:hAnsi="Courier New"/>
          <w:sz w:val="15"/>
          <w:szCs w:val="15"/>
          <w:color w:val="auto"/>
        </w:rPr>
        <w:t>Bassett Furniture Industries, Incorporated was incorporated under the laws of the Commonwealth of Virginia in 1930. The executive offices are located in Bassett, Virginia.</w:t>
      </w:r>
    </w:p>
    <w:p>
      <w:pPr>
        <w:spacing w:after="0" w:line="176" w:lineRule="exact"/>
        <w:rPr>
          <w:sz w:val="20"/>
          <w:szCs w:val="20"/>
          <w:color w:val="auto"/>
        </w:rPr>
      </w:pPr>
    </w:p>
    <w:p>
      <w:pPr>
        <w:ind w:left="1600" w:right="3159"/>
        <w:spacing w:after="0" w:line="242" w:lineRule="auto"/>
        <w:rPr>
          <w:sz w:val="20"/>
          <w:szCs w:val="20"/>
          <w:color w:val="auto"/>
        </w:rPr>
      </w:pPr>
      <w:r>
        <w:rPr>
          <w:rFonts w:ascii="Courier New" w:cs="Courier New" w:eastAsia="Courier New" w:hAnsi="Courier New"/>
          <w:sz w:val="15"/>
          <w:szCs w:val="15"/>
          <w:color w:val="auto"/>
        </w:rPr>
        <w:t>In 1995, four manufacturing plants were consolidated into two plants. The two closed plants will be sold. The closing of the two plants should have no material effect on the Company's net sales in the future but should reduce overhead costs related to the plants.</w:t>
      </w:r>
    </w:p>
    <w:p>
      <w:pPr>
        <w:spacing w:after="0" w:line="175" w:lineRule="exact"/>
        <w:rPr>
          <w:sz w:val="20"/>
          <w:szCs w:val="20"/>
          <w:color w:val="auto"/>
        </w:rPr>
      </w:pPr>
    </w:p>
    <w:p>
      <w:pPr>
        <w:ind w:left="1600" w:right="3159"/>
        <w:spacing w:after="0" w:line="274" w:lineRule="auto"/>
        <w:rPr>
          <w:sz w:val="20"/>
          <w:szCs w:val="20"/>
          <w:color w:val="auto"/>
        </w:rPr>
      </w:pPr>
      <w:r>
        <w:rPr>
          <w:rFonts w:ascii="Courier New" w:cs="Courier New" w:eastAsia="Courier New" w:hAnsi="Courier New"/>
          <w:sz w:val="14"/>
          <w:szCs w:val="14"/>
          <w:color w:val="auto"/>
        </w:rPr>
        <w:t>There have been no material changes in the mode of conducting business in the fiscal year beginning December 1, 1994.</w:t>
      </w:r>
    </w:p>
    <w:p>
      <w:pPr>
        <w:spacing w:after="0" w:line="15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INDUSTRY SEGMENT</w:t>
      </w:r>
    </w:p>
    <w:p>
      <w:pPr>
        <w:spacing w:after="0" w:line="176" w:lineRule="exact"/>
        <w:rPr>
          <w:sz w:val="20"/>
          <w:szCs w:val="20"/>
          <w:color w:val="auto"/>
        </w:rPr>
      </w:pPr>
    </w:p>
    <w:p>
      <w:pPr>
        <w:ind w:left="1600" w:right="3159"/>
        <w:spacing w:after="0" w:line="242" w:lineRule="auto"/>
        <w:rPr>
          <w:sz w:val="20"/>
          <w:szCs w:val="20"/>
          <w:color w:val="auto"/>
        </w:rPr>
      </w:pPr>
      <w:r>
        <w:rPr>
          <w:rFonts w:ascii="Courier New" w:cs="Courier New" w:eastAsia="Courier New" w:hAnsi="Courier New"/>
          <w:sz w:val="15"/>
          <w:szCs w:val="15"/>
          <w:color w:val="auto"/>
        </w:rPr>
        <w:t>In accordance with the instructions for this item, Bassett Furniture Industries, Incorporated and its subsidiaries, all of which are wholly-owned (Company), is deemed to have been engaged in only one business segment, manufacture and sale of furniture, for the three years ended November 30, 1995.</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DESCRIPTION OF BUSINESS</w:t>
      </w:r>
    </w:p>
    <w:p>
      <w:pPr>
        <w:spacing w:after="0" w:line="176" w:lineRule="exact"/>
        <w:rPr>
          <w:sz w:val="20"/>
          <w:szCs w:val="20"/>
          <w:color w:val="auto"/>
        </w:rPr>
      </w:pPr>
    </w:p>
    <w:p>
      <w:pPr>
        <w:ind w:left="1600" w:right="3159"/>
        <w:spacing w:after="0" w:line="242" w:lineRule="auto"/>
        <w:rPr>
          <w:sz w:val="20"/>
          <w:szCs w:val="20"/>
          <w:color w:val="auto"/>
        </w:rPr>
      </w:pPr>
      <w:r>
        <w:rPr>
          <w:rFonts w:ascii="Courier New" w:cs="Courier New" w:eastAsia="Courier New" w:hAnsi="Courier New"/>
          <w:sz w:val="15"/>
          <w:szCs w:val="15"/>
          <w:color w:val="auto"/>
        </w:rPr>
        <w:t>The Company manufactures and sells a full line of furniture for the home: bedroom and dining suites and accent pieces; occasional tables, wall and entertainment units; home office systems and computer work stations; upholstered sofas, chairs and love seats (motion and stationary); recliners; and mattresses and box springs. The Company's products are distributed through a large number of retailers, principally in the United States. The retailers selling the Company's products include mass merchandisers, department stores, independent furniture stores, chain furniture stores, decorator showrooms, warehouse showrooms, specialty stores and rent-to-own stores.</w:t>
      </w:r>
    </w:p>
    <w:p>
      <w:pPr>
        <w:spacing w:after="0" w:line="180" w:lineRule="exact"/>
        <w:rPr>
          <w:sz w:val="20"/>
          <w:szCs w:val="20"/>
          <w:color w:val="auto"/>
        </w:rPr>
      </w:pPr>
    </w:p>
    <w:p>
      <w:pPr>
        <w:ind w:left="1600" w:right="3159"/>
        <w:spacing w:after="0" w:line="242" w:lineRule="auto"/>
        <w:rPr>
          <w:sz w:val="20"/>
          <w:szCs w:val="20"/>
          <w:color w:val="auto"/>
        </w:rPr>
      </w:pPr>
      <w:r>
        <w:rPr>
          <w:rFonts w:ascii="Courier New" w:cs="Courier New" w:eastAsia="Courier New" w:hAnsi="Courier New"/>
          <w:sz w:val="15"/>
          <w:szCs w:val="15"/>
          <w:color w:val="auto"/>
        </w:rPr>
        <w:t>Due to the dramatic changes that took place in the retail home furnishings distribution network, the Company developed the Bassett Gallery Program in the mid-1980's. In late 1995, an effort was undertaken to rejuvenate the Program with a "quick shipment" inventory stocking system, advertising media development and new gallery design concepts. In addition, gallery space requirements were expanded from 5,000 to 8,000 square feet in each store. The Company is currently reviewing all existing galleries to ensure that they meet the standards of the Program. This has led to the elimination of certain galleries and there is the possibility of further deletions in the future.</w:t>
      </w:r>
    </w:p>
    <w:p>
      <w:pPr>
        <w:spacing w:after="0" w:line="180" w:lineRule="exact"/>
        <w:rPr>
          <w:sz w:val="20"/>
          <w:szCs w:val="20"/>
          <w:color w:val="auto"/>
        </w:rPr>
      </w:pPr>
    </w:p>
    <w:p>
      <w:pPr>
        <w:ind w:left="1600" w:right="3259"/>
        <w:spacing w:after="0" w:line="242" w:lineRule="auto"/>
        <w:rPr>
          <w:sz w:val="20"/>
          <w:szCs w:val="20"/>
          <w:color w:val="auto"/>
        </w:rPr>
      </w:pPr>
      <w:r>
        <w:rPr>
          <w:rFonts w:ascii="Courier New" w:cs="Courier New" w:eastAsia="Courier New" w:hAnsi="Courier New"/>
          <w:sz w:val="15"/>
          <w:szCs w:val="15"/>
          <w:color w:val="auto"/>
        </w:rPr>
        <w:t>In 1994, the Company introduced the Bassett Direct Plus Program. A Bassett Direct Plus ("BDP") store is a free standing exclusive Bassett store that will encompass between 18,000 and 25,000 square feet of space in the current prototype. The stores display, in gallerized settings, selected offerings from all Bassett product groups. These stores are independently owned and operated retail operations, displaying a full range of home fashions and carry no other furniture manufacturer's products. Bassett supports its "BDP" stores with a greater, more extensive level of service and support which includes fully planned exterior and interior designs, special financing terms, inventory warehousing</w:t>
      </w:r>
    </w:p>
    <w:p>
      <w:pPr>
        <w:sectPr>
          <w:pgSz w:w="11900" w:h="16838" w:orient="portrait"/>
          <w:cols w:equalWidth="0" w:num="1">
            <w:col w:w="10219"/>
          </w:cols>
          <w:pgMar w:left="240" w:top="289"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3</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Page 3 of 23</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340" w:right="3259"/>
        <w:spacing w:after="0" w:line="242" w:lineRule="auto"/>
        <w:rPr>
          <w:sz w:val="20"/>
          <w:szCs w:val="20"/>
          <w:color w:val="auto"/>
        </w:rPr>
      </w:pPr>
      <w:r>
        <w:rPr>
          <w:rFonts w:ascii="Courier New" w:cs="Courier New" w:eastAsia="Courier New" w:hAnsi="Courier New"/>
          <w:sz w:val="15"/>
          <w:szCs w:val="15"/>
          <w:color w:val="auto"/>
        </w:rPr>
        <w:t>commitment, priority on cuttings and shipping, and access to Bassett's EDI link and BassNet. Currently there are eight "BDP" stores in operation and fifteen are scheduled to be opened in 1996. "BDP" stores are targeted to become one of the Company's largest customer segments.</w:t>
      </w:r>
    </w:p>
    <w:p>
      <w:pPr>
        <w:spacing w:after="0" w:line="175" w:lineRule="exact"/>
        <w:rPr>
          <w:sz w:val="20"/>
          <w:szCs w:val="20"/>
          <w:color w:val="auto"/>
        </w:rPr>
      </w:pPr>
    </w:p>
    <w:p>
      <w:pPr>
        <w:ind w:left="1340" w:right="3339"/>
        <w:spacing w:after="0" w:line="242" w:lineRule="auto"/>
        <w:rPr>
          <w:sz w:val="20"/>
          <w:szCs w:val="20"/>
          <w:color w:val="auto"/>
        </w:rPr>
      </w:pPr>
      <w:r>
        <w:rPr>
          <w:rFonts w:ascii="Courier New" w:cs="Courier New" w:eastAsia="Courier New" w:hAnsi="Courier New"/>
          <w:sz w:val="15"/>
          <w:szCs w:val="15"/>
          <w:color w:val="auto"/>
        </w:rPr>
        <w:t>Raw materials used by the Company are generally available from numerous sources and are obtained principally from domestic sources. The cost pressures on raw materials continued to be experienced in 1995. Furthermore, it continued to be very difficult to pass through the incurred cost increases to retail dealers in the form of increased sales prices.</w:t>
      </w:r>
    </w:p>
    <w:p>
      <w:pPr>
        <w:spacing w:after="0" w:line="177" w:lineRule="exact"/>
        <w:rPr>
          <w:sz w:val="20"/>
          <w:szCs w:val="20"/>
          <w:color w:val="auto"/>
        </w:rPr>
      </w:pPr>
    </w:p>
    <w:p>
      <w:pPr>
        <w:ind w:left="1340" w:right="3159"/>
        <w:spacing w:after="0" w:line="242" w:lineRule="auto"/>
        <w:rPr>
          <w:sz w:val="20"/>
          <w:szCs w:val="20"/>
          <w:color w:val="auto"/>
        </w:rPr>
      </w:pPr>
      <w:r>
        <w:rPr>
          <w:rFonts w:ascii="Courier New" w:cs="Courier New" w:eastAsia="Courier New" w:hAnsi="Courier New"/>
          <w:sz w:val="15"/>
          <w:szCs w:val="15"/>
          <w:color w:val="auto"/>
        </w:rPr>
        <w:t>The Company's trademark "Bassett" and the names of its marketing divisions and product collections are significant to the conduct of its business. This importance is due to consumer recognition of the names and identification with the Company's broad range of products. The Company owns certain patents and licenses that are important in the conduct of the Company's business.</w:t>
      </w:r>
    </w:p>
    <w:p>
      <w:pPr>
        <w:spacing w:after="0" w:line="177" w:lineRule="exact"/>
        <w:rPr>
          <w:sz w:val="20"/>
          <w:szCs w:val="20"/>
          <w:color w:val="auto"/>
        </w:rPr>
      </w:pPr>
    </w:p>
    <w:p>
      <w:pPr>
        <w:ind w:left="1340" w:right="3519"/>
        <w:spacing w:after="0"/>
        <w:rPr>
          <w:sz w:val="20"/>
          <w:szCs w:val="20"/>
          <w:color w:val="auto"/>
        </w:rPr>
      </w:pPr>
      <w:r>
        <w:rPr>
          <w:rFonts w:ascii="Courier New" w:cs="Courier New" w:eastAsia="Courier New" w:hAnsi="Courier New"/>
          <w:sz w:val="15"/>
          <w:szCs w:val="15"/>
          <w:color w:val="auto"/>
        </w:rPr>
        <w:t>The furniture industry is not considered to be a seasonal industry.</w:t>
      </w:r>
    </w:p>
    <w:p>
      <w:pPr>
        <w:spacing w:after="0" w:line="176" w:lineRule="exact"/>
        <w:rPr>
          <w:sz w:val="20"/>
          <w:szCs w:val="20"/>
          <w:color w:val="auto"/>
        </w:rPr>
      </w:pPr>
    </w:p>
    <w:p>
      <w:pPr>
        <w:ind w:left="1340" w:right="3259"/>
        <w:spacing w:after="0" w:line="241" w:lineRule="auto"/>
        <w:rPr>
          <w:sz w:val="20"/>
          <w:szCs w:val="20"/>
          <w:color w:val="auto"/>
        </w:rPr>
      </w:pPr>
      <w:r>
        <w:rPr>
          <w:rFonts w:ascii="Courier New" w:cs="Courier New" w:eastAsia="Courier New" w:hAnsi="Courier New"/>
          <w:sz w:val="15"/>
          <w:szCs w:val="15"/>
          <w:color w:val="auto"/>
        </w:rPr>
        <w:t>There are no special practices in the furniture industry, or applicable to the Company, that would have a significant effect on working capital items.</w:t>
      </w:r>
    </w:p>
    <w:p>
      <w:pPr>
        <w:spacing w:after="0" w:line="176" w:lineRule="exact"/>
        <w:rPr>
          <w:sz w:val="20"/>
          <w:szCs w:val="20"/>
          <w:color w:val="auto"/>
        </w:rPr>
      </w:pPr>
    </w:p>
    <w:p>
      <w:pPr>
        <w:ind w:left="1340" w:right="3159"/>
        <w:spacing w:after="0" w:line="242" w:lineRule="auto"/>
        <w:rPr>
          <w:sz w:val="20"/>
          <w:szCs w:val="20"/>
          <w:color w:val="auto"/>
        </w:rPr>
      </w:pPr>
      <w:r>
        <w:rPr>
          <w:rFonts w:ascii="Courier New" w:cs="Courier New" w:eastAsia="Courier New" w:hAnsi="Courier New"/>
          <w:sz w:val="15"/>
          <w:szCs w:val="15"/>
          <w:color w:val="auto"/>
        </w:rPr>
        <w:t>The Company is not dependent upon a single customer, the loss of which would have a material adverse effect on the Company. Sales to one customer (J. C. Penney Company) amounted to approximately 14% of gross sales in 1995, 13% in 1994 and 12% in 1993.</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The Company's backlog of orders believed to be firm was</w:t>
      </w:r>
    </w:p>
    <w:p>
      <w:pPr>
        <w:spacing w:after="0" w:line="4" w:lineRule="exact"/>
        <w:rPr>
          <w:sz w:val="20"/>
          <w:szCs w:val="20"/>
          <w:color w:val="auto"/>
        </w:rPr>
      </w:pPr>
    </w:p>
    <w:p>
      <w:pPr>
        <w:jc w:val="both"/>
        <w:ind w:left="1340" w:right="3259"/>
        <w:spacing w:after="0" w:line="241" w:lineRule="auto"/>
        <w:rPr>
          <w:sz w:val="20"/>
          <w:szCs w:val="20"/>
          <w:color w:val="auto"/>
        </w:rPr>
      </w:pPr>
      <w:r>
        <w:rPr>
          <w:rFonts w:ascii="Courier New" w:cs="Courier New" w:eastAsia="Courier New" w:hAnsi="Courier New"/>
          <w:sz w:val="15"/>
          <w:szCs w:val="15"/>
          <w:color w:val="auto"/>
        </w:rPr>
        <w:t>$56,000,000 at November 30, 1995 and $66,500,000 at November 30, 1994. It is expected that the November 30, 1995 backlog will be filled within the 1996 fiscal year.</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None of the Company's business involves government contracts.</w:t>
      </w:r>
    </w:p>
    <w:p>
      <w:pPr>
        <w:spacing w:after="0" w:line="176" w:lineRule="exact"/>
        <w:rPr>
          <w:sz w:val="20"/>
          <w:szCs w:val="20"/>
          <w:color w:val="auto"/>
        </w:rPr>
      </w:pPr>
    </w:p>
    <w:p>
      <w:pPr>
        <w:ind w:left="1340" w:right="3159"/>
        <w:spacing w:after="0" w:line="242" w:lineRule="auto"/>
        <w:rPr>
          <w:sz w:val="20"/>
          <w:szCs w:val="20"/>
          <w:color w:val="auto"/>
        </w:rPr>
      </w:pPr>
      <w:r>
        <w:rPr>
          <w:rFonts w:ascii="Courier New" w:cs="Courier New" w:eastAsia="Courier New" w:hAnsi="Courier New"/>
          <w:sz w:val="15"/>
          <w:szCs w:val="15"/>
          <w:color w:val="auto"/>
        </w:rPr>
        <w:t>The furniture industry is very competitive as there are a large number of manufacturers both within the United States and offshore who compete in the marketplace on the basis of quality of the product, price, delivery and service. Based on annual sales revenue, the Company is one of the largest furniture manufacturers in the United States. The Company has been successful in this competitive environment because its products represent excellent values combining price and superior quality and styling; prompt delivery; and quality, courteous service. Competition from foreign manufacturers is not any more significant in the marketplace today than competition from domestic manufacturers.</w:t>
      </w:r>
    </w:p>
    <w:p>
      <w:pPr>
        <w:spacing w:after="0" w:line="180" w:lineRule="exact"/>
        <w:rPr>
          <w:sz w:val="20"/>
          <w:szCs w:val="20"/>
          <w:color w:val="auto"/>
        </w:rPr>
      </w:pPr>
    </w:p>
    <w:p>
      <w:pPr>
        <w:ind w:left="1340" w:right="3339"/>
        <w:spacing w:after="0" w:line="242" w:lineRule="auto"/>
        <w:rPr>
          <w:sz w:val="20"/>
          <w:szCs w:val="20"/>
          <w:color w:val="auto"/>
        </w:rPr>
      </w:pPr>
      <w:r>
        <w:rPr>
          <w:rFonts w:ascii="Courier New" w:cs="Courier New" w:eastAsia="Courier New" w:hAnsi="Courier New"/>
          <w:sz w:val="15"/>
          <w:szCs w:val="15"/>
          <w:color w:val="auto"/>
        </w:rPr>
        <w:t>The furniture industry is considered to be a "fashion" industry subject to constant change to meet the changing consumer preferences and tastes. As such, the Company is continuously involved in the development of new designs and products. Due to the nature of these efforts and the close relationship to the manufacturing operations, the costs thereof are considered normal operating costs and are not segregated.</w:t>
      </w:r>
    </w:p>
    <w:p>
      <w:pPr>
        <w:spacing w:after="0" w:line="177" w:lineRule="exact"/>
        <w:rPr>
          <w:sz w:val="20"/>
          <w:szCs w:val="20"/>
          <w:color w:val="auto"/>
        </w:rPr>
      </w:pPr>
    </w:p>
    <w:p>
      <w:pPr>
        <w:ind w:left="1340" w:right="3339"/>
        <w:spacing w:after="0" w:line="242" w:lineRule="auto"/>
        <w:rPr>
          <w:sz w:val="20"/>
          <w:szCs w:val="20"/>
          <w:color w:val="auto"/>
        </w:rPr>
      </w:pPr>
      <w:r>
        <w:rPr>
          <w:rFonts w:ascii="Courier New" w:cs="Courier New" w:eastAsia="Courier New" w:hAnsi="Courier New"/>
          <w:sz w:val="15"/>
          <w:szCs w:val="15"/>
          <w:color w:val="auto"/>
        </w:rPr>
        <w:t>The Company is not involved in "traditional" research and development activities. Neither are there any customer - sponsored research and development activities involving the Company.</w:t>
      </w:r>
    </w:p>
    <w:p>
      <w:pPr>
        <w:sectPr>
          <w:pgSz w:w="11900" w:h="16838" w:orient="portrait"/>
          <w:cols w:equalWidth="0" w:num="1">
            <w:col w:w="9959"/>
          </w:cols>
          <w:pgMar w:left="500" w:top="289"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2" w:lineRule="exact"/>
        <w:rPr>
          <w:sz w:val="20"/>
          <w:szCs w:val="20"/>
          <w:color w:val="auto"/>
        </w:rPr>
      </w:pPr>
    </w:p>
    <w:p>
      <w:pPr>
        <w:jc w:val="right"/>
        <w:ind w:right="100"/>
        <w:spacing w:after="0"/>
        <w:rPr>
          <w:sz w:val="20"/>
          <w:szCs w:val="20"/>
          <w:color w:val="auto"/>
        </w:rPr>
      </w:pPr>
      <w:r>
        <w:rPr>
          <w:rFonts w:ascii="Courier New" w:cs="Courier New" w:eastAsia="Courier New" w:hAnsi="Courier New"/>
          <w:sz w:val="15"/>
          <w:szCs w:val="15"/>
          <w:color w:val="auto"/>
        </w:rPr>
        <w:t>Page 4 of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600" w:right="180"/>
        <w:spacing w:after="0" w:line="263" w:lineRule="auto"/>
        <w:rPr>
          <w:sz w:val="20"/>
          <w:szCs w:val="20"/>
          <w:color w:val="auto"/>
        </w:rPr>
      </w:pPr>
      <w:r>
        <w:rPr>
          <w:rFonts w:ascii="Courier New" w:cs="Courier New" w:eastAsia="Courier New" w:hAnsi="Courier New"/>
          <w:sz w:val="14"/>
          <w:szCs w:val="14"/>
          <w:color w:val="auto"/>
        </w:rPr>
        <w:t>In management's view, the Company has complied with all federal, state and local standards in the area of safety, health and pollution and environmental controls. Compliance with these standards has not had a material adverse effect on past earnings, capital expenditures or competitive position.</w:t>
      </w:r>
    </w:p>
    <w:p>
      <w:pPr>
        <w:spacing w:after="0" w:line="163" w:lineRule="exact"/>
        <w:rPr>
          <w:sz w:val="20"/>
          <w:szCs w:val="20"/>
          <w:color w:val="auto"/>
        </w:rPr>
      </w:pPr>
    </w:p>
    <w:p>
      <w:pPr>
        <w:ind w:left="1600" w:right="180"/>
        <w:spacing w:after="0" w:line="242" w:lineRule="auto"/>
        <w:rPr>
          <w:sz w:val="20"/>
          <w:szCs w:val="20"/>
          <w:color w:val="auto"/>
        </w:rPr>
      </w:pPr>
      <w:r>
        <w:rPr>
          <w:rFonts w:ascii="Courier New" w:cs="Courier New" w:eastAsia="Courier New" w:hAnsi="Courier New"/>
          <w:sz w:val="15"/>
          <w:szCs w:val="15"/>
          <w:color w:val="auto"/>
        </w:rPr>
        <w:t>The Company anticipates increased regulation on the furniture industry from federal and state agencies particularly in the areas of emission of fumes from the furniture finishing processes and emission of particulates into the atmosphere (saw dust and boiler ash). The Company cannot at this time estimate the impact of compliance with these new, more stringent standards on the Company's operations or costs of compliance.</w:t>
      </w:r>
    </w:p>
    <w:p>
      <w:pPr>
        <w:spacing w:after="0" w:line="177" w:lineRule="exact"/>
        <w:rPr>
          <w:sz w:val="20"/>
          <w:szCs w:val="20"/>
          <w:color w:val="auto"/>
        </w:rPr>
      </w:pPr>
    </w:p>
    <w:p>
      <w:pPr>
        <w:ind w:left="1600" w:right="180"/>
        <w:spacing w:after="0"/>
        <w:rPr>
          <w:sz w:val="20"/>
          <w:szCs w:val="20"/>
          <w:color w:val="auto"/>
        </w:rPr>
      </w:pPr>
      <w:r>
        <w:rPr>
          <w:rFonts w:ascii="Courier New" w:cs="Courier New" w:eastAsia="Courier New" w:hAnsi="Courier New"/>
          <w:sz w:val="15"/>
          <w:szCs w:val="15"/>
          <w:color w:val="auto"/>
        </w:rPr>
        <w:t>The Company had approximately 7,400 employees at November 30, 1995.</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FOREIGN AND DOMESTIC OPERATIONS AND EXPORT SALES</w:t>
      </w:r>
    </w:p>
    <w:p>
      <w:pPr>
        <w:spacing w:after="0" w:line="176" w:lineRule="exact"/>
        <w:rPr>
          <w:sz w:val="20"/>
          <w:szCs w:val="20"/>
          <w:color w:val="auto"/>
        </w:rPr>
      </w:pPr>
    </w:p>
    <w:p>
      <w:pPr>
        <w:ind w:left="1600" w:right="360"/>
        <w:spacing w:after="0"/>
        <w:rPr>
          <w:sz w:val="20"/>
          <w:szCs w:val="20"/>
          <w:color w:val="auto"/>
        </w:rPr>
      </w:pPr>
      <w:r>
        <w:rPr>
          <w:rFonts w:ascii="Courier New" w:cs="Courier New" w:eastAsia="Courier New" w:hAnsi="Courier New"/>
          <w:sz w:val="15"/>
          <w:szCs w:val="15"/>
          <w:color w:val="auto"/>
        </w:rPr>
        <w:t>The Company has no foreign operations, and its export sales are insignificant.</w:t>
      </w:r>
    </w:p>
    <w:p>
      <w:pPr>
        <w:spacing w:after="0" w:line="17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5"/>
          <w:szCs w:val="15"/>
          <w:color w:val="auto"/>
        </w:rPr>
        <w:t>ITEM</w:t>
        <w:tab/>
        <w:t>2. PROPERTIES</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Company owns the following facilities:</w:t>
      </w:r>
    </w:p>
    <w:p>
      <w:pPr>
        <w:spacing w:after="0" w:line="200" w:lineRule="exact"/>
        <w:rPr>
          <w:sz w:val="20"/>
          <w:szCs w:val="20"/>
          <w:color w:val="auto"/>
        </w:rPr>
      </w:pPr>
    </w:p>
    <w:p>
      <w:pPr>
        <w:spacing w:after="0" w:line="318" w:lineRule="exact"/>
        <w:rPr>
          <w:sz w:val="20"/>
          <w:szCs w:val="20"/>
          <w:color w:val="auto"/>
        </w:rPr>
      </w:pPr>
    </w:p>
    <w:p>
      <w:pPr>
        <w:ind w:left="1960"/>
        <w:spacing w:after="0"/>
        <w:tabs>
          <w:tab w:leader="none" w:pos="5520" w:val="left"/>
        </w:tabs>
        <w:rPr>
          <w:sz w:val="20"/>
          <w:szCs w:val="20"/>
          <w:color w:val="auto"/>
        </w:rPr>
      </w:pPr>
      <w:r>
        <w:rPr>
          <w:rFonts w:ascii="Courier New" w:cs="Courier New" w:eastAsia="Courier New" w:hAnsi="Courier New"/>
          <w:sz w:val="15"/>
          <w:szCs w:val="15"/>
          <w:color w:val="auto"/>
        </w:rPr>
        <w:t>Plant Name</w:t>
      </w:r>
      <w:r>
        <w:rPr>
          <w:sz w:val="20"/>
          <w:szCs w:val="20"/>
          <w:color w:val="auto"/>
        </w:rPr>
        <w:tab/>
      </w:r>
      <w:r>
        <w:rPr>
          <w:rFonts w:ascii="Courier New" w:cs="Courier New" w:eastAsia="Courier New" w:hAnsi="Courier New"/>
          <w:sz w:val="15"/>
          <w:szCs w:val="15"/>
          <w:color w:val="auto"/>
        </w:rPr>
        <w:t>Location</w:t>
      </w:r>
    </w:p>
    <w:p>
      <w:pPr>
        <w:spacing w:after="0" w:line="2" w:lineRule="exact"/>
        <w:rPr>
          <w:sz w:val="20"/>
          <w:szCs w:val="20"/>
          <w:color w:val="auto"/>
        </w:rPr>
      </w:pPr>
    </w:p>
    <w:p>
      <w:pPr>
        <w:ind w:left="800"/>
        <w:spacing w:after="0"/>
        <w:tabs>
          <w:tab w:leader="none" w:pos="47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46" w:lineRule="exact"/>
        <w:rPr>
          <w:sz w:val="20"/>
          <w:szCs w:val="20"/>
          <w:color w:val="auto"/>
        </w:rPr>
      </w:pPr>
    </w:p>
    <w:p>
      <w:pPr>
        <w:ind w:left="800"/>
        <w:spacing w:after="0"/>
        <w:tabs>
          <w:tab w:leader="none" w:pos="4800" w:val="left"/>
        </w:tabs>
        <w:rPr>
          <w:sz w:val="20"/>
          <w:szCs w:val="20"/>
          <w:color w:val="auto"/>
        </w:rPr>
      </w:pPr>
      <w:r>
        <w:rPr>
          <w:rFonts w:ascii="Courier New" w:cs="Courier New" w:eastAsia="Courier New" w:hAnsi="Courier New"/>
          <w:sz w:val="15"/>
          <w:szCs w:val="15"/>
          <w:color w:val="auto"/>
        </w:rPr>
        <w:t>Bassett Furniture</w:t>
      </w:r>
      <w:r>
        <w:rPr>
          <w:sz w:val="20"/>
          <w:szCs w:val="20"/>
          <w:color w:val="auto"/>
        </w:rPr>
        <w:tab/>
      </w:r>
      <w:r>
        <w:rPr>
          <w:rFonts w:ascii="Courier New" w:cs="Courier New" w:eastAsia="Courier New" w:hAnsi="Courier New"/>
          <w:sz w:val="14"/>
          <w:szCs w:val="14"/>
          <w:color w:val="auto"/>
        </w:rPr>
        <w:t>Bassett, VA</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Company (A)</w:t>
      </w:r>
    </w:p>
    <w:p>
      <w:pPr>
        <w:spacing w:after="0" w:line="2" w:lineRule="exact"/>
        <w:rPr>
          <w:sz w:val="20"/>
          <w:szCs w:val="20"/>
          <w:color w:val="auto"/>
        </w:rPr>
      </w:pPr>
    </w:p>
    <w:p>
      <w:pPr>
        <w:ind w:left="800"/>
        <w:spacing w:after="0"/>
        <w:tabs>
          <w:tab w:leader="none" w:pos="4800" w:val="left"/>
        </w:tabs>
        <w:rPr>
          <w:sz w:val="20"/>
          <w:szCs w:val="20"/>
          <w:color w:val="auto"/>
        </w:rPr>
      </w:pPr>
      <w:r>
        <w:rPr>
          <w:rFonts w:ascii="Courier New" w:cs="Courier New" w:eastAsia="Courier New" w:hAnsi="Courier New"/>
          <w:sz w:val="15"/>
          <w:szCs w:val="15"/>
          <w:color w:val="auto"/>
        </w:rPr>
        <w:t>J. D. Bassett</w:t>
      </w:r>
      <w:r>
        <w:rPr>
          <w:sz w:val="20"/>
          <w:szCs w:val="20"/>
          <w:color w:val="auto"/>
        </w:rPr>
        <w:tab/>
      </w:r>
      <w:r>
        <w:rPr>
          <w:rFonts w:ascii="Courier New" w:cs="Courier New" w:eastAsia="Courier New" w:hAnsi="Courier New"/>
          <w:sz w:val="14"/>
          <w:szCs w:val="14"/>
          <w:color w:val="auto"/>
        </w:rPr>
        <w:t>Bassett, VA (2</w:t>
      </w:r>
    </w:p>
    <w:p>
      <w:pPr>
        <w:spacing w:after="0" w:line="2" w:lineRule="exact"/>
        <w:rPr>
          <w:sz w:val="20"/>
          <w:szCs w:val="20"/>
          <w:color w:val="auto"/>
        </w:rPr>
      </w:pPr>
    </w:p>
    <w:p>
      <w:pPr>
        <w:ind w:left="1160"/>
        <w:spacing w:after="0"/>
        <w:tabs>
          <w:tab w:leader="none" w:pos="4980" w:val="left"/>
        </w:tabs>
        <w:rPr>
          <w:sz w:val="20"/>
          <w:szCs w:val="20"/>
          <w:color w:val="auto"/>
        </w:rPr>
      </w:pPr>
      <w:r>
        <w:rPr>
          <w:rFonts w:ascii="Courier New" w:cs="Courier New" w:eastAsia="Courier New" w:hAnsi="Courier New"/>
          <w:sz w:val="15"/>
          <w:szCs w:val="15"/>
          <w:color w:val="auto"/>
        </w:rPr>
        <w:t>Manufacturing Company</w:t>
      </w:r>
      <w:r>
        <w:rPr>
          <w:sz w:val="20"/>
          <w:szCs w:val="20"/>
          <w:color w:val="auto"/>
        </w:rPr>
        <w:tab/>
      </w:r>
      <w:r>
        <w:rPr>
          <w:rFonts w:ascii="Courier New" w:cs="Courier New" w:eastAsia="Courier New" w:hAnsi="Courier New"/>
          <w:sz w:val="14"/>
          <w:szCs w:val="14"/>
          <w:color w:val="auto"/>
        </w:rPr>
        <w:t>plants)</w:t>
      </w:r>
    </w:p>
    <w:p>
      <w:pPr>
        <w:spacing w:after="0" w:line="2" w:lineRule="exact"/>
        <w:rPr>
          <w:sz w:val="20"/>
          <w:szCs w:val="20"/>
          <w:color w:val="auto"/>
        </w:rPr>
      </w:pPr>
    </w:p>
    <w:p>
      <w:pPr>
        <w:ind w:left="800"/>
        <w:spacing w:after="0"/>
        <w:tabs>
          <w:tab w:leader="none" w:pos="4800" w:val="left"/>
        </w:tabs>
        <w:rPr>
          <w:sz w:val="20"/>
          <w:szCs w:val="20"/>
          <w:color w:val="auto"/>
        </w:rPr>
      </w:pPr>
      <w:r>
        <w:rPr>
          <w:rFonts w:ascii="Courier New" w:cs="Courier New" w:eastAsia="Courier New" w:hAnsi="Courier New"/>
          <w:sz w:val="15"/>
          <w:szCs w:val="15"/>
          <w:color w:val="auto"/>
        </w:rPr>
        <w:t>Bassett Superior Lines</w:t>
      </w:r>
      <w:r>
        <w:rPr>
          <w:sz w:val="20"/>
          <w:szCs w:val="20"/>
          <w:color w:val="auto"/>
        </w:rPr>
        <w:tab/>
      </w:r>
      <w:r>
        <w:rPr>
          <w:rFonts w:ascii="Courier New" w:cs="Courier New" w:eastAsia="Courier New" w:hAnsi="Courier New"/>
          <w:sz w:val="14"/>
          <w:szCs w:val="14"/>
          <w:color w:val="auto"/>
        </w:rPr>
        <w:t>Bassett, VA</w:t>
      </w:r>
    </w:p>
    <w:p>
      <w:pPr>
        <w:spacing w:after="0" w:line="2" w:lineRule="exact"/>
        <w:rPr>
          <w:sz w:val="20"/>
          <w:szCs w:val="20"/>
          <w:color w:val="auto"/>
        </w:rPr>
      </w:pPr>
    </w:p>
    <w:p>
      <w:pPr>
        <w:ind w:left="800"/>
        <w:spacing w:after="0"/>
        <w:tabs>
          <w:tab w:leader="none" w:pos="4800" w:val="left"/>
        </w:tabs>
        <w:rPr>
          <w:sz w:val="20"/>
          <w:szCs w:val="20"/>
          <w:color w:val="auto"/>
        </w:rPr>
      </w:pPr>
      <w:r>
        <w:rPr>
          <w:rFonts w:ascii="Courier New" w:cs="Courier New" w:eastAsia="Courier New" w:hAnsi="Courier New"/>
          <w:sz w:val="15"/>
          <w:szCs w:val="15"/>
          <w:color w:val="auto"/>
        </w:rPr>
        <w:t>Bassett Chair Company</w:t>
      </w:r>
      <w:r>
        <w:rPr>
          <w:sz w:val="20"/>
          <w:szCs w:val="20"/>
          <w:color w:val="auto"/>
        </w:rPr>
        <w:tab/>
      </w:r>
      <w:r>
        <w:rPr>
          <w:rFonts w:ascii="Courier New" w:cs="Courier New" w:eastAsia="Courier New" w:hAnsi="Courier New"/>
          <w:sz w:val="14"/>
          <w:szCs w:val="14"/>
          <w:color w:val="auto"/>
        </w:rPr>
        <w:t>Bassett, VA</w:t>
      </w:r>
    </w:p>
    <w:p>
      <w:pPr>
        <w:spacing w:after="0" w:line="2" w:lineRule="exact"/>
        <w:rPr>
          <w:sz w:val="20"/>
          <w:szCs w:val="20"/>
          <w:color w:val="auto"/>
        </w:rPr>
      </w:pPr>
    </w:p>
    <w:p>
      <w:pPr>
        <w:ind w:left="800"/>
        <w:spacing w:after="0"/>
        <w:tabs>
          <w:tab w:leader="none" w:pos="4800" w:val="left"/>
        </w:tabs>
        <w:rPr>
          <w:sz w:val="20"/>
          <w:szCs w:val="20"/>
          <w:color w:val="auto"/>
        </w:rPr>
      </w:pPr>
      <w:r>
        <w:rPr>
          <w:rFonts w:ascii="Courier New" w:cs="Courier New" w:eastAsia="Courier New" w:hAnsi="Courier New"/>
          <w:sz w:val="15"/>
          <w:szCs w:val="15"/>
          <w:color w:val="auto"/>
        </w:rPr>
        <w:t>Bassett Table Company</w:t>
      </w:r>
      <w:r>
        <w:rPr>
          <w:sz w:val="20"/>
          <w:szCs w:val="20"/>
          <w:color w:val="auto"/>
        </w:rPr>
        <w:tab/>
      </w:r>
      <w:r>
        <w:rPr>
          <w:rFonts w:ascii="Courier New" w:cs="Courier New" w:eastAsia="Courier New" w:hAnsi="Courier New"/>
          <w:sz w:val="14"/>
          <w:szCs w:val="14"/>
          <w:color w:val="auto"/>
        </w:rPr>
        <w:t>Bassett, VA</w:t>
      </w:r>
    </w:p>
    <w:p>
      <w:pPr>
        <w:spacing w:after="0" w:line="2" w:lineRule="exact"/>
        <w:rPr>
          <w:sz w:val="20"/>
          <w:szCs w:val="20"/>
          <w:color w:val="auto"/>
        </w:rPr>
      </w:pPr>
    </w:p>
    <w:p>
      <w:pPr>
        <w:ind w:left="800"/>
        <w:spacing w:after="0"/>
        <w:tabs>
          <w:tab w:leader="none" w:pos="4800" w:val="left"/>
        </w:tabs>
        <w:rPr>
          <w:sz w:val="20"/>
          <w:szCs w:val="20"/>
          <w:color w:val="auto"/>
        </w:rPr>
      </w:pPr>
      <w:r>
        <w:rPr>
          <w:rFonts w:ascii="Courier New" w:cs="Courier New" w:eastAsia="Courier New" w:hAnsi="Courier New"/>
          <w:sz w:val="15"/>
          <w:szCs w:val="15"/>
          <w:color w:val="auto"/>
        </w:rPr>
        <w:t>W. M. Bassett Furniture</w:t>
      </w:r>
      <w:r>
        <w:rPr>
          <w:sz w:val="20"/>
          <w:szCs w:val="20"/>
          <w:color w:val="auto"/>
        </w:rPr>
        <w:tab/>
      </w:r>
      <w:r>
        <w:rPr>
          <w:rFonts w:ascii="Courier New" w:cs="Courier New" w:eastAsia="Courier New" w:hAnsi="Courier New"/>
          <w:sz w:val="14"/>
          <w:szCs w:val="14"/>
          <w:color w:val="auto"/>
        </w:rPr>
        <w:t>Martinsville, VA</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Company</w:t>
      </w:r>
    </w:p>
    <w:p>
      <w:pPr>
        <w:spacing w:after="0" w:line="2" w:lineRule="exact"/>
        <w:rPr>
          <w:sz w:val="20"/>
          <w:szCs w:val="20"/>
          <w:color w:val="auto"/>
        </w:rPr>
      </w:pPr>
    </w:p>
    <w:p>
      <w:pPr>
        <w:ind w:left="800"/>
        <w:spacing w:after="0"/>
        <w:tabs>
          <w:tab w:leader="none" w:pos="4800" w:val="left"/>
        </w:tabs>
        <w:rPr>
          <w:sz w:val="20"/>
          <w:szCs w:val="20"/>
          <w:color w:val="auto"/>
        </w:rPr>
      </w:pPr>
      <w:r>
        <w:rPr>
          <w:rFonts w:ascii="Courier New" w:cs="Courier New" w:eastAsia="Courier New" w:hAnsi="Courier New"/>
          <w:sz w:val="15"/>
          <w:szCs w:val="15"/>
          <w:color w:val="auto"/>
        </w:rPr>
        <w:t>Bassett Fiberboard</w:t>
      </w:r>
      <w:r>
        <w:rPr>
          <w:sz w:val="20"/>
          <w:szCs w:val="20"/>
          <w:color w:val="auto"/>
        </w:rPr>
        <w:tab/>
      </w:r>
      <w:r>
        <w:rPr>
          <w:rFonts w:ascii="Courier New" w:cs="Courier New" w:eastAsia="Courier New" w:hAnsi="Courier New"/>
          <w:sz w:val="14"/>
          <w:szCs w:val="14"/>
          <w:color w:val="auto"/>
        </w:rPr>
        <w:t>Bassett, VA</w:t>
      </w:r>
    </w:p>
    <w:p>
      <w:pPr>
        <w:spacing w:after="0" w:line="2" w:lineRule="exact"/>
        <w:rPr>
          <w:sz w:val="20"/>
          <w:szCs w:val="20"/>
          <w:color w:val="auto"/>
        </w:rPr>
      </w:pPr>
    </w:p>
    <w:p>
      <w:pPr>
        <w:ind w:left="800"/>
        <w:spacing w:after="0"/>
        <w:tabs>
          <w:tab w:leader="none" w:pos="4800" w:val="left"/>
        </w:tabs>
        <w:rPr>
          <w:sz w:val="20"/>
          <w:szCs w:val="20"/>
          <w:color w:val="auto"/>
        </w:rPr>
      </w:pPr>
      <w:r>
        <w:rPr>
          <w:rFonts w:ascii="Courier New" w:cs="Courier New" w:eastAsia="Courier New" w:hAnsi="Courier New"/>
          <w:sz w:val="15"/>
          <w:szCs w:val="15"/>
          <w:color w:val="auto"/>
        </w:rPr>
        <w:t>Bassett Upholstery</w:t>
      </w:r>
      <w:r>
        <w:rPr>
          <w:sz w:val="20"/>
          <w:szCs w:val="20"/>
          <w:color w:val="auto"/>
        </w:rPr>
        <w:tab/>
      </w:r>
      <w:r>
        <w:rPr>
          <w:rFonts w:ascii="Courier New" w:cs="Courier New" w:eastAsia="Courier New" w:hAnsi="Courier New"/>
          <w:sz w:val="14"/>
          <w:szCs w:val="14"/>
          <w:color w:val="auto"/>
        </w:rPr>
        <w:t>Newton, NC (4</w:t>
      </w:r>
    </w:p>
    <w:p>
      <w:pPr>
        <w:spacing w:after="0" w:line="2" w:lineRule="exact"/>
        <w:rPr>
          <w:sz w:val="20"/>
          <w:szCs w:val="20"/>
          <w:color w:val="auto"/>
        </w:rPr>
      </w:pPr>
    </w:p>
    <w:p>
      <w:pPr>
        <w:ind w:left="980"/>
        <w:spacing w:after="0"/>
        <w:tabs>
          <w:tab w:leader="none" w:pos="4980" w:val="left"/>
        </w:tabs>
        <w:rPr>
          <w:sz w:val="20"/>
          <w:szCs w:val="20"/>
          <w:color w:val="auto"/>
        </w:rPr>
      </w:pPr>
      <w:r>
        <w:rPr>
          <w:rFonts w:ascii="Courier New" w:cs="Courier New" w:eastAsia="Courier New" w:hAnsi="Courier New"/>
          <w:sz w:val="15"/>
          <w:szCs w:val="15"/>
          <w:color w:val="auto"/>
        </w:rPr>
        <w:t>Division</w:t>
      </w:r>
      <w:r>
        <w:rPr>
          <w:sz w:val="20"/>
          <w:szCs w:val="20"/>
          <w:color w:val="auto"/>
        </w:rPr>
        <w:tab/>
      </w:r>
      <w:r>
        <w:rPr>
          <w:rFonts w:ascii="Courier New" w:cs="Courier New" w:eastAsia="Courier New" w:hAnsi="Courier New"/>
          <w:sz w:val="15"/>
          <w:szCs w:val="15"/>
          <w:color w:val="auto"/>
        </w:rPr>
        <w:t>plants)</w:t>
      </w:r>
    </w:p>
    <w:p>
      <w:pPr>
        <w:spacing w:after="0" w:line="2" w:lineRule="exact"/>
        <w:rPr>
          <w:sz w:val="20"/>
          <w:szCs w:val="20"/>
          <w:color w:val="auto"/>
        </w:rPr>
      </w:pPr>
    </w:p>
    <w:p>
      <w:pPr>
        <w:ind w:left="4820"/>
        <w:spacing w:after="0"/>
        <w:rPr>
          <w:sz w:val="20"/>
          <w:szCs w:val="20"/>
          <w:color w:val="auto"/>
        </w:rPr>
      </w:pPr>
      <w:r>
        <w:rPr>
          <w:rFonts w:ascii="Courier New" w:cs="Courier New" w:eastAsia="Courier New" w:hAnsi="Courier New"/>
          <w:sz w:val="15"/>
          <w:szCs w:val="15"/>
          <w:color w:val="auto"/>
        </w:rPr>
        <w:t>Taylorsville, NC</w:t>
      </w:r>
    </w:p>
    <w:p>
      <w:pPr>
        <w:spacing w:after="0" w:line="2" w:lineRule="exact"/>
        <w:rPr>
          <w:sz w:val="20"/>
          <w:szCs w:val="20"/>
          <w:color w:val="auto"/>
        </w:rPr>
      </w:pPr>
    </w:p>
    <w:p>
      <w:pPr>
        <w:ind w:left="4820"/>
        <w:spacing w:after="0"/>
        <w:rPr>
          <w:sz w:val="20"/>
          <w:szCs w:val="20"/>
          <w:color w:val="auto"/>
        </w:rPr>
      </w:pPr>
      <w:r>
        <w:rPr>
          <w:rFonts w:ascii="Courier New" w:cs="Courier New" w:eastAsia="Courier New" w:hAnsi="Courier New"/>
          <w:sz w:val="15"/>
          <w:szCs w:val="15"/>
          <w:color w:val="auto"/>
        </w:rPr>
        <w:t>Dumas, AR</w:t>
      </w:r>
    </w:p>
    <w:p>
      <w:pPr>
        <w:spacing w:after="0" w:line="2" w:lineRule="exact"/>
        <w:rPr>
          <w:sz w:val="20"/>
          <w:szCs w:val="20"/>
          <w:color w:val="auto"/>
        </w:rPr>
      </w:pPr>
    </w:p>
    <w:p>
      <w:pPr>
        <w:ind w:left="800"/>
        <w:spacing w:after="0"/>
        <w:tabs>
          <w:tab w:leader="none" w:pos="4800" w:val="left"/>
        </w:tabs>
        <w:rPr>
          <w:sz w:val="20"/>
          <w:szCs w:val="20"/>
          <w:color w:val="auto"/>
        </w:rPr>
      </w:pPr>
      <w:r>
        <w:rPr>
          <w:rFonts w:ascii="Courier New" w:cs="Courier New" w:eastAsia="Courier New" w:hAnsi="Courier New"/>
          <w:sz w:val="15"/>
          <w:szCs w:val="15"/>
          <w:color w:val="auto"/>
        </w:rPr>
        <w:t>Bassett Furniture Industries</w:t>
      </w:r>
      <w:r>
        <w:rPr>
          <w:sz w:val="20"/>
          <w:szCs w:val="20"/>
          <w:color w:val="auto"/>
        </w:rPr>
        <w:tab/>
      </w:r>
      <w:r>
        <w:rPr>
          <w:rFonts w:ascii="Courier New" w:cs="Courier New" w:eastAsia="Courier New" w:hAnsi="Courier New"/>
          <w:sz w:val="14"/>
          <w:szCs w:val="14"/>
          <w:color w:val="auto"/>
        </w:rPr>
        <w:t>Statesville, NC</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of North Carolina, Inc.</w:t>
      </w:r>
    </w:p>
    <w:p>
      <w:pPr>
        <w:spacing w:after="0" w:line="2" w:lineRule="exact"/>
        <w:rPr>
          <w:sz w:val="20"/>
          <w:szCs w:val="20"/>
          <w:color w:val="auto"/>
        </w:rPr>
      </w:pPr>
    </w:p>
    <w:p>
      <w:pPr>
        <w:ind w:left="800"/>
        <w:spacing w:after="0"/>
        <w:tabs>
          <w:tab w:leader="none" w:pos="4800" w:val="left"/>
        </w:tabs>
        <w:rPr>
          <w:sz w:val="20"/>
          <w:szCs w:val="20"/>
          <w:color w:val="auto"/>
        </w:rPr>
      </w:pPr>
      <w:r>
        <w:rPr>
          <w:rFonts w:ascii="Courier New" w:cs="Courier New" w:eastAsia="Courier New" w:hAnsi="Courier New"/>
          <w:sz w:val="15"/>
          <w:szCs w:val="15"/>
          <w:color w:val="auto"/>
        </w:rPr>
        <w:t>Bassett of NC - Dublin</w:t>
      </w:r>
      <w:r>
        <w:rPr>
          <w:sz w:val="20"/>
          <w:szCs w:val="20"/>
          <w:color w:val="auto"/>
        </w:rPr>
        <w:tab/>
      </w:r>
      <w:r>
        <w:rPr>
          <w:rFonts w:ascii="Courier New" w:cs="Courier New" w:eastAsia="Courier New" w:hAnsi="Courier New"/>
          <w:sz w:val="14"/>
          <w:szCs w:val="14"/>
          <w:color w:val="auto"/>
        </w:rPr>
        <w:t>Dublin, GA</w:t>
      </w:r>
    </w:p>
    <w:p>
      <w:pPr>
        <w:spacing w:after="0" w:line="2" w:lineRule="exact"/>
        <w:rPr>
          <w:sz w:val="20"/>
          <w:szCs w:val="20"/>
          <w:color w:val="auto"/>
        </w:rPr>
      </w:pPr>
    </w:p>
    <w:p>
      <w:pPr>
        <w:ind w:left="800"/>
        <w:spacing w:after="0"/>
        <w:tabs>
          <w:tab w:leader="none" w:pos="4800" w:val="left"/>
        </w:tabs>
        <w:rPr>
          <w:sz w:val="20"/>
          <w:szCs w:val="20"/>
          <w:color w:val="auto"/>
        </w:rPr>
      </w:pPr>
      <w:r>
        <w:rPr>
          <w:rFonts w:ascii="Courier New" w:cs="Courier New" w:eastAsia="Courier New" w:hAnsi="Courier New"/>
          <w:sz w:val="15"/>
          <w:szCs w:val="15"/>
          <w:color w:val="auto"/>
        </w:rPr>
        <w:t>Bassett of NC - Macon</w:t>
      </w:r>
      <w:r>
        <w:rPr>
          <w:sz w:val="20"/>
          <w:szCs w:val="20"/>
          <w:color w:val="auto"/>
        </w:rPr>
        <w:tab/>
      </w:r>
      <w:r>
        <w:rPr>
          <w:rFonts w:ascii="Courier New" w:cs="Courier New" w:eastAsia="Courier New" w:hAnsi="Courier New"/>
          <w:sz w:val="14"/>
          <w:szCs w:val="14"/>
          <w:color w:val="auto"/>
        </w:rPr>
        <w:t>Macon, GA</w:t>
      </w:r>
    </w:p>
    <w:p>
      <w:pPr>
        <w:spacing w:after="0" w:line="2" w:lineRule="exact"/>
        <w:rPr>
          <w:sz w:val="20"/>
          <w:szCs w:val="20"/>
          <w:color w:val="auto"/>
        </w:rPr>
      </w:pPr>
    </w:p>
    <w:p>
      <w:pPr>
        <w:ind w:left="800"/>
        <w:spacing w:after="0"/>
        <w:tabs>
          <w:tab w:leader="none" w:pos="4800" w:val="left"/>
        </w:tabs>
        <w:rPr>
          <w:sz w:val="20"/>
          <w:szCs w:val="20"/>
          <w:color w:val="auto"/>
        </w:rPr>
      </w:pPr>
      <w:r>
        <w:rPr>
          <w:rFonts w:ascii="Courier New" w:cs="Courier New" w:eastAsia="Courier New" w:hAnsi="Courier New"/>
          <w:sz w:val="15"/>
          <w:szCs w:val="15"/>
          <w:color w:val="auto"/>
        </w:rPr>
        <w:t>Bassett Wood Products</w:t>
      </w:r>
      <w:r>
        <w:rPr>
          <w:sz w:val="20"/>
          <w:szCs w:val="20"/>
          <w:color w:val="auto"/>
        </w:rPr>
        <w:tab/>
      </w:r>
      <w:r>
        <w:rPr>
          <w:rFonts w:ascii="Courier New" w:cs="Courier New" w:eastAsia="Courier New" w:hAnsi="Courier New"/>
          <w:sz w:val="14"/>
          <w:szCs w:val="14"/>
          <w:color w:val="auto"/>
        </w:rPr>
        <w:t>Dumas, AR</w:t>
      </w:r>
    </w:p>
    <w:p>
      <w:pPr>
        <w:spacing w:after="0" w:line="2" w:lineRule="exact"/>
        <w:rPr>
          <w:sz w:val="20"/>
          <w:szCs w:val="20"/>
          <w:color w:val="auto"/>
        </w:rPr>
      </w:pPr>
    </w:p>
    <w:p>
      <w:pPr>
        <w:ind w:left="800"/>
        <w:spacing w:after="0"/>
        <w:tabs>
          <w:tab w:leader="none" w:pos="4800" w:val="left"/>
        </w:tabs>
        <w:rPr>
          <w:sz w:val="20"/>
          <w:szCs w:val="20"/>
          <w:color w:val="auto"/>
        </w:rPr>
      </w:pPr>
      <w:r>
        <w:rPr>
          <w:rFonts w:ascii="Courier New" w:cs="Courier New" w:eastAsia="Courier New" w:hAnsi="Courier New"/>
          <w:sz w:val="15"/>
          <w:szCs w:val="15"/>
          <w:color w:val="auto"/>
        </w:rPr>
        <w:t>Burkeville Veneer</w:t>
      </w:r>
      <w:r>
        <w:rPr>
          <w:sz w:val="20"/>
          <w:szCs w:val="20"/>
          <w:color w:val="auto"/>
        </w:rPr>
        <w:tab/>
      </w:r>
      <w:r>
        <w:rPr>
          <w:rFonts w:ascii="Courier New" w:cs="Courier New" w:eastAsia="Courier New" w:hAnsi="Courier New"/>
          <w:sz w:val="14"/>
          <w:szCs w:val="14"/>
          <w:color w:val="auto"/>
        </w:rPr>
        <w:t>Burkeville, VA</w:t>
      </w:r>
    </w:p>
    <w:p>
      <w:pPr>
        <w:spacing w:after="0" w:line="2" w:lineRule="exact"/>
        <w:rPr>
          <w:sz w:val="20"/>
          <w:szCs w:val="20"/>
          <w:color w:val="auto"/>
        </w:rPr>
      </w:pPr>
    </w:p>
    <w:p>
      <w:pPr>
        <w:ind w:left="800"/>
        <w:spacing w:after="0"/>
        <w:tabs>
          <w:tab w:leader="none" w:pos="4800" w:val="left"/>
        </w:tabs>
        <w:rPr>
          <w:sz w:val="20"/>
          <w:szCs w:val="20"/>
          <w:color w:val="auto"/>
        </w:rPr>
      </w:pPr>
      <w:r>
        <w:rPr>
          <w:rFonts w:ascii="Courier New" w:cs="Courier New" w:eastAsia="Courier New" w:hAnsi="Courier New"/>
          <w:sz w:val="15"/>
          <w:szCs w:val="15"/>
          <w:color w:val="auto"/>
        </w:rPr>
        <w:t>National/Mt. Airy</w:t>
      </w:r>
      <w:r>
        <w:rPr>
          <w:sz w:val="20"/>
          <w:szCs w:val="20"/>
          <w:color w:val="auto"/>
        </w:rPr>
        <w:tab/>
      </w:r>
      <w:r>
        <w:rPr>
          <w:rFonts w:ascii="Courier New" w:cs="Courier New" w:eastAsia="Courier New" w:hAnsi="Courier New"/>
          <w:sz w:val="14"/>
          <w:szCs w:val="14"/>
          <w:color w:val="auto"/>
        </w:rPr>
        <w:t>Mt. Airy, NC</w:t>
      </w:r>
    </w:p>
    <w:p>
      <w:pPr>
        <w:spacing w:after="0" w:line="2" w:lineRule="exact"/>
        <w:rPr>
          <w:sz w:val="20"/>
          <w:szCs w:val="20"/>
          <w:color w:val="auto"/>
        </w:rPr>
      </w:pPr>
    </w:p>
    <w:p>
      <w:pPr>
        <w:ind w:left="800"/>
        <w:spacing w:after="0"/>
        <w:tabs>
          <w:tab w:leader="none" w:pos="4800" w:val="left"/>
        </w:tabs>
        <w:rPr>
          <w:sz w:val="20"/>
          <w:szCs w:val="20"/>
          <w:color w:val="auto"/>
        </w:rPr>
      </w:pPr>
      <w:r>
        <w:rPr>
          <w:rFonts w:ascii="Courier New" w:cs="Courier New" w:eastAsia="Courier New" w:hAnsi="Courier New"/>
          <w:sz w:val="15"/>
          <w:szCs w:val="15"/>
          <w:color w:val="auto"/>
        </w:rPr>
        <w:t>Weiman Division (B)</w:t>
      </w:r>
      <w:r>
        <w:rPr>
          <w:sz w:val="20"/>
          <w:szCs w:val="20"/>
          <w:color w:val="auto"/>
        </w:rPr>
        <w:tab/>
      </w:r>
      <w:r>
        <w:rPr>
          <w:rFonts w:ascii="Courier New" w:cs="Courier New" w:eastAsia="Courier New" w:hAnsi="Courier New"/>
          <w:sz w:val="14"/>
          <w:szCs w:val="14"/>
          <w:color w:val="auto"/>
        </w:rPr>
        <w:t>Ramseur, NC</w:t>
      </w:r>
    </w:p>
    <w:p>
      <w:pPr>
        <w:spacing w:after="0" w:line="2" w:lineRule="exact"/>
        <w:rPr>
          <w:sz w:val="20"/>
          <w:szCs w:val="20"/>
          <w:color w:val="auto"/>
        </w:rPr>
      </w:pPr>
    </w:p>
    <w:p>
      <w:pPr>
        <w:ind w:left="4820"/>
        <w:spacing w:after="0"/>
        <w:rPr>
          <w:sz w:val="20"/>
          <w:szCs w:val="20"/>
          <w:color w:val="auto"/>
        </w:rPr>
      </w:pPr>
      <w:r>
        <w:rPr>
          <w:rFonts w:ascii="Courier New" w:cs="Courier New" w:eastAsia="Courier New" w:hAnsi="Courier New"/>
          <w:sz w:val="15"/>
          <w:szCs w:val="15"/>
          <w:color w:val="auto"/>
        </w:rPr>
        <w:t>Christiansburg, VA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Construction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Brick, frame and concrete</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Brick, frame and concrete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Brick, frame, concrete and steel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Brick, frame, concrete and steel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Brick and frame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Brick, frame, concrete and steel</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Brick, concrete and steel</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Brick, concrete and steel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Brick, concrete and steel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Brick, concrete and steel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Brick, frame, concrete and steel</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Concrete block and steel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Brick, concrete and steel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Brick, concrete and steel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Brick and frame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Brick, concrete and steel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Concrete block and steel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Metal frame</w:t>
      </w:r>
    </w:p>
    <w:p>
      <w:pPr>
        <w:sectPr>
          <w:pgSz w:w="11900" w:h="16838" w:orient="portrait"/>
          <w:cols w:equalWidth="0" w:num="2">
            <w:col w:w="7240" w:space="720"/>
            <w:col w:w="3560"/>
          </w:cols>
          <w:pgMar w:left="240" w:top="289" w:right="139"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2" w:lineRule="exact"/>
        <w:rPr>
          <w:sz w:val="20"/>
          <w:szCs w:val="20"/>
          <w:color w:val="auto"/>
        </w:rPr>
      </w:pPr>
    </w:p>
    <w:p>
      <w:pPr>
        <w:jc w:val="right"/>
        <w:ind w:right="3680"/>
        <w:spacing w:after="0"/>
        <w:rPr>
          <w:sz w:val="20"/>
          <w:szCs w:val="20"/>
          <w:color w:val="auto"/>
        </w:rPr>
      </w:pPr>
      <w:r>
        <w:rPr>
          <w:rFonts w:ascii="Courier New" w:cs="Courier New" w:eastAsia="Courier New" w:hAnsi="Courier New"/>
          <w:sz w:val="15"/>
          <w:szCs w:val="15"/>
          <w:color w:val="auto"/>
        </w:rPr>
        <w:t>Page 5 of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E. B. Malone Corporation</w:t>
            </w:r>
          </w:p>
        </w:tc>
        <w:tc>
          <w:tcPr>
            <w:tcW w:w="3360" w:type="dxa"/>
            <w:vAlign w:val="bottom"/>
          </w:tcPr>
          <w:p>
            <w:pPr>
              <w:ind w:left="940"/>
              <w:spacing w:after="0"/>
              <w:rPr>
                <w:sz w:val="20"/>
                <w:szCs w:val="20"/>
                <w:color w:val="auto"/>
              </w:rPr>
            </w:pPr>
            <w:r>
              <w:rPr>
                <w:rFonts w:ascii="Courier New" w:cs="Courier New" w:eastAsia="Courier New" w:hAnsi="Courier New"/>
                <w:sz w:val="15"/>
                <w:szCs w:val="15"/>
                <w:color w:val="auto"/>
              </w:rPr>
              <w:t>Lake Wales, FL</w:t>
            </w:r>
          </w:p>
        </w:tc>
        <w:tc>
          <w:tcPr>
            <w:tcW w:w="3400" w:type="dxa"/>
            <w:vAlign w:val="bottom"/>
          </w:tcPr>
          <w:p>
            <w:pPr>
              <w:spacing w:after="0"/>
              <w:rPr>
                <w:sz w:val="14"/>
                <w:szCs w:val="14"/>
                <w:color w:val="auto"/>
              </w:rPr>
            </w:pPr>
          </w:p>
        </w:tc>
      </w:tr>
      <w:tr>
        <w:trPr>
          <w:trHeight w:val="172"/>
        </w:trPr>
        <w:tc>
          <w:tcPr>
            <w:tcW w:w="3080" w:type="dxa"/>
            <w:vAlign w:val="bottom"/>
          </w:tcPr>
          <w:p>
            <w:pPr>
              <w:spacing w:after="0"/>
              <w:rPr>
                <w:sz w:val="14"/>
                <w:szCs w:val="14"/>
                <w:color w:val="auto"/>
              </w:rPr>
            </w:pPr>
          </w:p>
        </w:tc>
        <w:tc>
          <w:tcPr>
            <w:tcW w:w="3360" w:type="dxa"/>
            <w:vAlign w:val="bottom"/>
          </w:tcPr>
          <w:p>
            <w:pPr>
              <w:ind w:left="1120"/>
              <w:spacing w:after="0"/>
              <w:rPr>
                <w:sz w:val="20"/>
                <w:szCs w:val="20"/>
                <w:color w:val="auto"/>
              </w:rPr>
            </w:pPr>
            <w:r>
              <w:rPr>
                <w:rFonts w:ascii="Courier New" w:cs="Courier New" w:eastAsia="Courier New" w:hAnsi="Courier New"/>
                <w:sz w:val="15"/>
                <w:szCs w:val="15"/>
                <w:color w:val="auto"/>
              </w:rPr>
              <w:t>(2 plants)</w:t>
            </w:r>
          </w:p>
        </w:tc>
        <w:tc>
          <w:tcPr>
            <w:tcW w:w="3400" w:type="dxa"/>
            <w:vAlign w:val="bottom"/>
          </w:tcPr>
          <w:p>
            <w:pPr>
              <w:ind w:left="720"/>
              <w:spacing w:after="0"/>
              <w:rPr>
                <w:sz w:val="20"/>
                <w:szCs w:val="20"/>
                <w:color w:val="auto"/>
              </w:rPr>
            </w:pPr>
            <w:r>
              <w:rPr>
                <w:rFonts w:ascii="Courier New" w:cs="Courier New" w:eastAsia="Courier New" w:hAnsi="Courier New"/>
                <w:sz w:val="15"/>
                <w:szCs w:val="15"/>
                <w:color w:val="auto"/>
              </w:rPr>
              <w:t>Concrete block and frame</w:t>
            </w:r>
          </w:p>
        </w:tc>
      </w:tr>
      <w:tr>
        <w:trPr>
          <w:trHeight w:val="172"/>
        </w:trPr>
        <w:tc>
          <w:tcPr>
            <w:tcW w:w="3080" w:type="dxa"/>
            <w:vAlign w:val="bottom"/>
          </w:tcPr>
          <w:p>
            <w:pPr>
              <w:spacing w:after="0"/>
              <w:rPr>
                <w:sz w:val="14"/>
                <w:szCs w:val="14"/>
                <w:color w:val="auto"/>
              </w:rPr>
            </w:pPr>
          </w:p>
        </w:tc>
        <w:tc>
          <w:tcPr>
            <w:tcW w:w="3360" w:type="dxa"/>
            <w:vAlign w:val="bottom"/>
          </w:tcPr>
          <w:p>
            <w:pPr>
              <w:ind w:left="940"/>
              <w:spacing w:after="0"/>
              <w:rPr>
                <w:sz w:val="20"/>
                <w:szCs w:val="20"/>
                <w:color w:val="auto"/>
              </w:rPr>
            </w:pPr>
            <w:r>
              <w:rPr>
                <w:rFonts w:ascii="Courier New" w:cs="Courier New" w:eastAsia="Courier New" w:hAnsi="Courier New"/>
                <w:sz w:val="15"/>
                <w:szCs w:val="15"/>
                <w:color w:val="auto"/>
              </w:rPr>
              <w:t>Pottstown, PA</w:t>
            </w:r>
          </w:p>
        </w:tc>
        <w:tc>
          <w:tcPr>
            <w:tcW w:w="3400" w:type="dxa"/>
            <w:vAlign w:val="bottom"/>
          </w:tcPr>
          <w:p>
            <w:pPr>
              <w:ind w:left="720"/>
              <w:spacing w:after="0"/>
              <w:rPr>
                <w:sz w:val="20"/>
                <w:szCs w:val="20"/>
                <w:color w:val="auto"/>
              </w:rPr>
            </w:pPr>
            <w:r>
              <w:rPr>
                <w:rFonts w:ascii="Courier New" w:cs="Courier New" w:eastAsia="Courier New" w:hAnsi="Courier New"/>
                <w:sz w:val="15"/>
                <w:szCs w:val="15"/>
                <w:color w:val="auto"/>
              </w:rPr>
              <w:t>Metal frame</w:t>
            </w:r>
          </w:p>
        </w:tc>
      </w:tr>
      <w:tr>
        <w:trPr>
          <w:trHeight w:val="172"/>
        </w:trPr>
        <w:tc>
          <w:tcPr>
            <w:tcW w:w="3080" w:type="dxa"/>
            <w:vAlign w:val="bottom"/>
          </w:tcPr>
          <w:p>
            <w:pPr>
              <w:spacing w:after="0"/>
              <w:rPr>
                <w:sz w:val="14"/>
                <w:szCs w:val="14"/>
                <w:color w:val="auto"/>
              </w:rPr>
            </w:pPr>
          </w:p>
        </w:tc>
        <w:tc>
          <w:tcPr>
            <w:tcW w:w="3360" w:type="dxa"/>
            <w:vAlign w:val="bottom"/>
          </w:tcPr>
          <w:p>
            <w:pPr>
              <w:ind w:left="940"/>
              <w:spacing w:after="0"/>
              <w:rPr>
                <w:sz w:val="20"/>
                <w:szCs w:val="20"/>
                <w:color w:val="auto"/>
              </w:rPr>
            </w:pPr>
            <w:r>
              <w:rPr>
                <w:rFonts w:ascii="Courier New" w:cs="Courier New" w:eastAsia="Courier New" w:hAnsi="Courier New"/>
                <w:sz w:val="15"/>
                <w:szCs w:val="15"/>
                <w:color w:val="auto"/>
              </w:rPr>
              <w:t>West Palm Beach, FL</w:t>
            </w:r>
          </w:p>
        </w:tc>
        <w:tc>
          <w:tcPr>
            <w:tcW w:w="3400" w:type="dxa"/>
            <w:vAlign w:val="bottom"/>
          </w:tcPr>
          <w:p>
            <w:pPr>
              <w:ind w:left="720"/>
              <w:spacing w:after="0"/>
              <w:rPr>
                <w:sz w:val="20"/>
                <w:szCs w:val="20"/>
                <w:color w:val="auto"/>
              </w:rPr>
            </w:pPr>
            <w:r>
              <w:rPr>
                <w:rFonts w:ascii="Courier New" w:cs="Courier New" w:eastAsia="Courier New" w:hAnsi="Courier New"/>
                <w:sz w:val="15"/>
                <w:szCs w:val="15"/>
                <w:color w:val="auto"/>
              </w:rPr>
              <w:t>Concrete block and steel</w:t>
            </w:r>
          </w:p>
        </w:tc>
      </w:tr>
      <w:tr>
        <w:trPr>
          <w:trHeight w:val="172"/>
        </w:trPr>
        <w:tc>
          <w:tcPr>
            <w:tcW w:w="3080" w:type="dxa"/>
            <w:vAlign w:val="bottom"/>
          </w:tcPr>
          <w:p>
            <w:pPr>
              <w:spacing w:after="0"/>
              <w:rPr>
                <w:sz w:val="14"/>
                <w:szCs w:val="14"/>
                <w:color w:val="auto"/>
              </w:rPr>
            </w:pPr>
          </w:p>
        </w:tc>
        <w:tc>
          <w:tcPr>
            <w:tcW w:w="3360" w:type="dxa"/>
            <w:vAlign w:val="bottom"/>
          </w:tcPr>
          <w:p>
            <w:pPr>
              <w:ind w:left="940"/>
              <w:spacing w:after="0"/>
              <w:rPr>
                <w:sz w:val="20"/>
                <w:szCs w:val="20"/>
                <w:color w:val="auto"/>
              </w:rPr>
            </w:pPr>
            <w:r>
              <w:rPr>
                <w:rFonts w:ascii="Courier New" w:cs="Courier New" w:eastAsia="Courier New" w:hAnsi="Courier New"/>
                <w:sz w:val="15"/>
                <w:szCs w:val="15"/>
                <w:color w:val="auto"/>
              </w:rPr>
              <w:t>Walworth, WI</w:t>
            </w:r>
          </w:p>
        </w:tc>
        <w:tc>
          <w:tcPr>
            <w:tcW w:w="3400" w:type="dxa"/>
            <w:vAlign w:val="bottom"/>
          </w:tcPr>
          <w:p>
            <w:pPr>
              <w:ind w:left="720"/>
              <w:spacing w:after="0"/>
              <w:rPr>
                <w:sz w:val="20"/>
                <w:szCs w:val="20"/>
                <w:color w:val="auto"/>
              </w:rPr>
            </w:pPr>
            <w:r>
              <w:rPr>
                <w:rFonts w:ascii="Courier New" w:cs="Courier New" w:eastAsia="Courier New" w:hAnsi="Courier New"/>
                <w:sz w:val="15"/>
                <w:szCs w:val="15"/>
                <w:color w:val="auto"/>
              </w:rPr>
              <w:t>Concrete block and steel</w:t>
            </w:r>
          </w:p>
        </w:tc>
      </w:tr>
      <w:tr>
        <w:trPr>
          <w:trHeight w:val="172"/>
        </w:trPr>
        <w:tc>
          <w:tcPr>
            <w:tcW w:w="3080" w:type="dxa"/>
            <w:vAlign w:val="bottom"/>
          </w:tcPr>
          <w:p>
            <w:pPr>
              <w:spacing w:after="0"/>
              <w:rPr>
                <w:sz w:val="14"/>
                <w:szCs w:val="14"/>
                <w:color w:val="auto"/>
              </w:rPr>
            </w:pPr>
          </w:p>
        </w:tc>
        <w:tc>
          <w:tcPr>
            <w:tcW w:w="3360" w:type="dxa"/>
            <w:vAlign w:val="bottom"/>
          </w:tcPr>
          <w:p>
            <w:pPr>
              <w:ind w:left="940"/>
              <w:spacing w:after="0"/>
              <w:rPr>
                <w:sz w:val="20"/>
                <w:szCs w:val="20"/>
                <w:color w:val="auto"/>
              </w:rPr>
            </w:pPr>
            <w:r>
              <w:rPr>
                <w:rFonts w:ascii="Courier New" w:cs="Courier New" w:eastAsia="Courier New" w:hAnsi="Courier New"/>
                <w:sz w:val="15"/>
                <w:szCs w:val="15"/>
                <w:color w:val="auto"/>
              </w:rPr>
              <w:t>Fredericksburg, VA</w:t>
            </w:r>
          </w:p>
        </w:tc>
        <w:tc>
          <w:tcPr>
            <w:tcW w:w="3400" w:type="dxa"/>
            <w:vAlign w:val="bottom"/>
          </w:tcPr>
          <w:p>
            <w:pPr>
              <w:ind w:left="720"/>
              <w:spacing w:after="0"/>
              <w:rPr>
                <w:sz w:val="20"/>
                <w:szCs w:val="20"/>
                <w:color w:val="auto"/>
              </w:rPr>
            </w:pPr>
            <w:r>
              <w:rPr>
                <w:rFonts w:ascii="Courier New" w:cs="Courier New" w:eastAsia="Courier New" w:hAnsi="Courier New"/>
                <w:sz w:val="15"/>
                <w:szCs w:val="15"/>
                <w:color w:val="auto"/>
              </w:rPr>
              <w:t>Brick and frame</w:t>
            </w:r>
          </w:p>
        </w:tc>
      </w:tr>
      <w:tr>
        <w:trPr>
          <w:trHeight w:val="172"/>
        </w:trPr>
        <w:tc>
          <w:tcPr>
            <w:tcW w:w="3080" w:type="dxa"/>
            <w:vAlign w:val="bottom"/>
          </w:tcPr>
          <w:p>
            <w:pPr>
              <w:spacing w:after="0"/>
              <w:rPr>
                <w:sz w:val="14"/>
                <w:szCs w:val="14"/>
                <w:color w:val="auto"/>
              </w:rPr>
            </w:pPr>
          </w:p>
        </w:tc>
        <w:tc>
          <w:tcPr>
            <w:tcW w:w="3360" w:type="dxa"/>
            <w:vAlign w:val="bottom"/>
          </w:tcPr>
          <w:p>
            <w:pPr>
              <w:ind w:left="940"/>
              <w:spacing w:after="0"/>
              <w:rPr>
                <w:sz w:val="20"/>
                <w:szCs w:val="20"/>
                <w:color w:val="auto"/>
              </w:rPr>
            </w:pPr>
            <w:r>
              <w:rPr>
                <w:rFonts w:ascii="Courier New" w:cs="Courier New" w:eastAsia="Courier New" w:hAnsi="Courier New"/>
                <w:sz w:val="15"/>
                <w:szCs w:val="15"/>
                <w:color w:val="auto"/>
              </w:rPr>
              <w:t>Chehalis, WA</w:t>
            </w:r>
          </w:p>
        </w:tc>
        <w:tc>
          <w:tcPr>
            <w:tcW w:w="3400" w:type="dxa"/>
            <w:vAlign w:val="bottom"/>
          </w:tcPr>
          <w:p>
            <w:pPr>
              <w:ind w:left="720"/>
              <w:spacing w:after="0"/>
              <w:rPr>
                <w:sz w:val="20"/>
                <w:szCs w:val="20"/>
                <w:color w:val="auto"/>
              </w:rPr>
            </w:pPr>
            <w:r>
              <w:rPr>
                <w:rFonts w:ascii="Courier New" w:cs="Courier New" w:eastAsia="Courier New" w:hAnsi="Courier New"/>
                <w:sz w:val="15"/>
                <w:szCs w:val="15"/>
                <w:color w:val="auto"/>
                <w:w w:val="98"/>
              </w:rPr>
              <w:t>Concrete block and metal frame</w:t>
            </w:r>
          </w:p>
        </w:tc>
      </w:tr>
      <w:tr>
        <w:trPr>
          <w:trHeight w:val="172"/>
        </w:trPr>
        <w:tc>
          <w:tcPr>
            <w:tcW w:w="3080" w:type="dxa"/>
            <w:vAlign w:val="bottom"/>
          </w:tcPr>
          <w:p>
            <w:pPr>
              <w:spacing w:after="0"/>
              <w:rPr>
                <w:sz w:val="14"/>
                <w:szCs w:val="14"/>
                <w:color w:val="auto"/>
              </w:rPr>
            </w:pPr>
          </w:p>
        </w:tc>
        <w:tc>
          <w:tcPr>
            <w:tcW w:w="3360" w:type="dxa"/>
            <w:vAlign w:val="bottom"/>
          </w:tcPr>
          <w:p>
            <w:pPr>
              <w:ind w:left="940"/>
              <w:spacing w:after="0"/>
              <w:rPr>
                <w:sz w:val="20"/>
                <w:szCs w:val="20"/>
                <w:color w:val="auto"/>
              </w:rPr>
            </w:pPr>
            <w:r>
              <w:rPr>
                <w:rFonts w:ascii="Courier New" w:cs="Courier New" w:eastAsia="Courier New" w:hAnsi="Courier New"/>
                <w:sz w:val="15"/>
                <w:szCs w:val="15"/>
                <w:color w:val="auto"/>
              </w:rPr>
              <w:t>Los Angeles, CA</w:t>
            </w:r>
          </w:p>
        </w:tc>
        <w:tc>
          <w:tcPr>
            <w:tcW w:w="3400" w:type="dxa"/>
            <w:vAlign w:val="bottom"/>
          </w:tcPr>
          <w:p>
            <w:pPr>
              <w:ind w:left="720"/>
              <w:spacing w:after="0"/>
              <w:rPr>
                <w:sz w:val="20"/>
                <w:szCs w:val="20"/>
                <w:color w:val="auto"/>
              </w:rPr>
            </w:pPr>
            <w:r>
              <w:rPr>
                <w:rFonts w:ascii="Courier New" w:cs="Courier New" w:eastAsia="Courier New" w:hAnsi="Courier New"/>
                <w:sz w:val="15"/>
                <w:szCs w:val="15"/>
                <w:color w:val="auto"/>
                <w:w w:val="98"/>
              </w:rPr>
              <w:t>Concrete block and metal frame</w:t>
            </w:r>
          </w:p>
        </w:tc>
      </w:tr>
      <w:tr>
        <w:trPr>
          <w:trHeight w:val="172"/>
        </w:trPr>
        <w:tc>
          <w:tcPr>
            <w:tcW w:w="3080" w:type="dxa"/>
            <w:vAlign w:val="bottom"/>
          </w:tcPr>
          <w:p>
            <w:pPr>
              <w:spacing w:after="0"/>
              <w:rPr>
                <w:sz w:val="14"/>
                <w:szCs w:val="14"/>
                <w:color w:val="auto"/>
              </w:rPr>
            </w:pPr>
          </w:p>
        </w:tc>
        <w:tc>
          <w:tcPr>
            <w:tcW w:w="3360" w:type="dxa"/>
            <w:vAlign w:val="bottom"/>
          </w:tcPr>
          <w:p>
            <w:pPr>
              <w:ind w:left="940"/>
              <w:spacing w:after="0"/>
              <w:rPr>
                <w:sz w:val="20"/>
                <w:szCs w:val="20"/>
                <w:color w:val="auto"/>
              </w:rPr>
            </w:pPr>
            <w:r>
              <w:rPr>
                <w:rFonts w:ascii="Courier New" w:cs="Courier New" w:eastAsia="Courier New" w:hAnsi="Courier New"/>
                <w:sz w:val="15"/>
                <w:szCs w:val="15"/>
                <w:color w:val="auto"/>
              </w:rPr>
              <w:t>Los Angeles, CA</w:t>
            </w:r>
          </w:p>
        </w:tc>
        <w:tc>
          <w:tcPr>
            <w:tcW w:w="3400" w:type="dxa"/>
            <w:vAlign w:val="bottom"/>
          </w:tcPr>
          <w:p>
            <w:pPr>
              <w:ind w:left="720"/>
              <w:spacing w:after="0"/>
              <w:rPr>
                <w:sz w:val="20"/>
                <w:szCs w:val="20"/>
                <w:color w:val="auto"/>
              </w:rPr>
            </w:pPr>
            <w:r>
              <w:rPr>
                <w:rFonts w:ascii="Courier New" w:cs="Courier New" w:eastAsia="Courier New" w:hAnsi="Courier New"/>
                <w:sz w:val="15"/>
                <w:szCs w:val="15"/>
                <w:color w:val="auto"/>
              </w:rPr>
              <w:t>Brick, concrete and steel</w:t>
            </w:r>
          </w:p>
        </w:tc>
      </w:tr>
      <w:tr>
        <w:trPr>
          <w:trHeight w:val="172"/>
        </w:trPr>
        <w:tc>
          <w:tcPr>
            <w:tcW w:w="3080" w:type="dxa"/>
            <w:vAlign w:val="bottom"/>
          </w:tcPr>
          <w:p>
            <w:pPr>
              <w:spacing w:after="0"/>
              <w:rPr>
                <w:sz w:val="14"/>
                <w:szCs w:val="14"/>
                <w:color w:val="auto"/>
              </w:rPr>
            </w:pPr>
          </w:p>
        </w:tc>
        <w:tc>
          <w:tcPr>
            <w:tcW w:w="3360" w:type="dxa"/>
            <w:vAlign w:val="bottom"/>
          </w:tcPr>
          <w:p>
            <w:pPr>
              <w:ind w:left="940"/>
              <w:spacing w:after="0"/>
              <w:rPr>
                <w:sz w:val="20"/>
                <w:szCs w:val="20"/>
                <w:color w:val="auto"/>
              </w:rPr>
            </w:pPr>
            <w:r>
              <w:rPr>
                <w:rFonts w:ascii="Courier New" w:cs="Courier New" w:eastAsia="Courier New" w:hAnsi="Courier New"/>
                <w:sz w:val="15"/>
                <w:szCs w:val="15"/>
                <w:color w:val="auto"/>
              </w:rPr>
              <w:t>Tipton, MO</w:t>
            </w:r>
          </w:p>
        </w:tc>
        <w:tc>
          <w:tcPr>
            <w:tcW w:w="3400" w:type="dxa"/>
            <w:vAlign w:val="bottom"/>
          </w:tcPr>
          <w:p>
            <w:pPr>
              <w:ind w:left="720"/>
              <w:spacing w:after="0"/>
              <w:rPr>
                <w:sz w:val="20"/>
                <w:szCs w:val="20"/>
                <w:color w:val="auto"/>
              </w:rPr>
            </w:pPr>
            <w:r>
              <w:rPr>
                <w:rFonts w:ascii="Courier New" w:cs="Courier New" w:eastAsia="Courier New" w:hAnsi="Courier New"/>
                <w:sz w:val="15"/>
                <w:szCs w:val="15"/>
                <w:color w:val="auto"/>
              </w:rPr>
              <w:t>Concrete block and steel</w:t>
            </w:r>
          </w:p>
        </w:tc>
      </w:tr>
      <w:tr>
        <w:trPr>
          <w:trHeight w:val="172"/>
        </w:trPr>
        <w:tc>
          <w:tcPr>
            <w:tcW w:w="3080" w:type="dxa"/>
            <w:vAlign w:val="bottom"/>
          </w:tcPr>
          <w:p>
            <w:pPr>
              <w:spacing w:after="0"/>
              <w:rPr>
                <w:sz w:val="20"/>
                <w:szCs w:val="20"/>
                <w:color w:val="auto"/>
              </w:rPr>
            </w:pPr>
            <w:r>
              <w:rPr>
                <w:rFonts w:ascii="Courier New" w:cs="Courier New" w:eastAsia="Courier New" w:hAnsi="Courier New"/>
                <w:sz w:val="15"/>
                <w:szCs w:val="15"/>
                <w:color w:val="auto"/>
              </w:rPr>
              <w:t>Impact Furniture (B)</w:t>
            </w:r>
          </w:p>
        </w:tc>
        <w:tc>
          <w:tcPr>
            <w:tcW w:w="3360" w:type="dxa"/>
            <w:vAlign w:val="bottom"/>
          </w:tcPr>
          <w:p>
            <w:pPr>
              <w:ind w:left="940"/>
              <w:spacing w:after="0"/>
              <w:rPr>
                <w:sz w:val="20"/>
                <w:szCs w:val="20"/>
                <w:color w:val="auto"/>
              </w:rPr>
            </w:pPr>
            <w:r>
              <w:rPr>
                <w:rFonts w:ascii="Courier New" w:cs="Courier New" w:eastAsia="Courier New" w:hAnsi="Courier New"/>
                <w:sz w:val="15"/>
                <w:szCs w:val="15"/>
                <w:color w:val="auto"/>
              </w:rPr>
              <w:t>Hickory, NC (2</w:t>
            </w:r>
          </w:p>
        </w:tc>
        <w:tc>
          <w:tcPr>
            <w:tcW w:w="3400" w:type="dxa"/>
            <w:vAlign w:val="bottom"/>
          </w:tcPr>
          <w:p>
            <w:pPr>
              <w:spacing w:after="0"/>
              <w:rPr>
                <w:sz w:val="14"/>
                <w:szCs w:val="14"/>
                <w:color w:val="auto"/>
              </w:rPr>
            </w:pPr>
          </w:p>
        </w:tc>
      </w:tr>
      <w:tr>
        <w:trPr>
          <w:trHeight w:val="172"/>
        </w:trPr>
        <w:tc>
          <w:tcPr>
            <w:tcW w:w="3080" w:type="dxa"/>
            <w:vAlign w:val="bottom"/>
          </w:tcPr>
          <w:p>
            <w:pPr>
              <w:spacing w:after="0"/>
              <w:rPr>
                <w:sz w:val="14"/>
                <w:szCs w:val="14"/>
                <w:color w:val="auto"/>
              </w:rPr>
            </w:pPr>
          </w:p>
        </w:tc>
        <w:tc>
          <w:tcPr>
            <w:tcW w:w="3360" w:type="dxa"/>
            <w:vAlign w:val="bottom"/>
          </w:tcPr>
          <w:p>
            <w:pPr>
              <w:ind w:left="1120"/>
              <w:spacing w:after="0"/>
              <w:rPr>
                <w:sz w:val="20"/>
                <w:szCs w:val="20"/>
                <w:color w:val="auto"/>
              </w:rPr>
            </w:pPr>
            <w:r>
              <w:rPr>
                <w:rFonts w:ascii="Courier New" w:cs="Courier New" w:eastAsia="Courier New" w:hAnsi="Courier New"/>
                <w:sz w:val="15"/>
                <w:szCs w:val="15"/>
                <w:color w:val="auto"/>
              </w:rPr>
              <w:t>plants and</w:t>
            </w:r>
          </w:p>
        </w:tc>
        <w:tc>
          <w:tcPr>
            <w:tcW w:w="3400" w:type="dxa"/>
            <w:vAlign w:val="bottom"/>
          </w:tcPr>
          <w:p>
            <w:pPr>
              <w:spacing w:after="0"/>
              <w:rPr>
                <w:sz w:val="14"/>
                <w:szCs w:val="14"/>
                <w:color w:val="auto"/>
              </w:rPr>
            </w:pPr>
          </w:p>
        </w:tc>
      </w:tr>
      <w:tr>
        <w:trPr>
          <w:trHeight w:val="172"/>
        </w:trPr>
        <w:tc>
          <w:tcPr>
            <w:tcW w:w="3080" w:type="dxa"/>
            <w:vAlign w:val="bottom"/>
          </w:tcPr>
          <w:p>
            <w:pPr>
              <w:spacing w:after="0"/>
              <w:rPr>
                <w:sz w:val="14"/>
                <w:szCs w:val="14"/>
                <w:color w:val="auto"/>
              </w:rPr>
            </w:pPr>
          </w:p>
        </w:tc>
        <w:tc>
          <w:tcPr>
            <w:tcW w:w="3360" w:type="dxa"/>
            <w:vAlign w:val="bottom"/>
          </w:tcPr>
          <w:p>
            <w:pPr>
              <w:ind w:left="1120"/>
              <w:spacing w:after="0"/>
              <w:rPr>
                <w:sz w:val="20"/>
                <w:szCs w:val="20"/>
                <w:color w:val="auto"/>
              </w:rPr>
            </w:pPr>
            <w:r>
              <w:rPr>
                <w:rFonts w:ascii="Courier New" w:cs="Courier New" w:eastAsia="Courier New" w:hAnsi="Courier New"/>
                <w:sz w:val="15"/>
                <w:szCs w:val="15"/>
                <w:color w:val="auto"/>
              </w:rPr>
              <w:t>warehouse)</w:t>
            </w:r>
          </w:p>
        </w:tc>
        <w:tc>
          <w:tcPr>
            <w:tcW w:w="3400" w:type="dxa"/>
            <w:vAlign w:val="bottom"/>
          </w:tcPr>
          <w:p>
            <w:pPr>
              <w:ind w:left="720"/>
              <w:spacing w:after="0"/>
              <w:rPr>
                <w:sz w:val="20"/>
                <w:szCs w:val="20"/>
                <w:color w:val="auto"/>
              </w:rPr>
            </w:pPr>
            <w:r>
              <w:rPr>
                <w:rFonts w:ascii="Courier New" w:cs="Courier New" w:eastAsia="Courier New" w:hAnsi="Courier New"/>
                <w:sz w:val="15"/>
                <w:szCs w:val="15"/>
                <w:color w:val="auto"/>
              </w:rPr>
              <w:t>Brick, concrete and steel</w:t>
            </w:r>
          </w:p>
        </w:tc>
      </w:tr>
      <w:tr>
        <w:trPr>
          <w:trHeight w:val="172"/>
        </w:trPr>
        <w:tc>
          <w:tcPr>
            <w:tcW w:w="3080" w:type="dxa"/>
            <w:vAlign w:val="bottom"/>
          </w:tcPr>
          <w:p>
            <w:pPr>
              <w:spacing w:after="0"/>
              <w:rPr>
                <w:sz w:val="20"/>
                <w:szCs w:val="20"/>
                <w:color w:val="auto"/>
              </w:rPr>
            </w:pPr>
            <w:r>
              <w:rPr>
                <w:rFonts w:ascii="Courier New" w:cs="Courier New" w:eastAsia="Courier New" w:hAnsi="Courier New"/>
                <w:sz w:val="15"/>
                <w:szCs w:val="15"/>
                <w:color w:val="auto"/>
              </w:rPr>
              <w:t>Bassett Motion Division</w:t>
            </w:r>
          </w:p>
        </w:tc>
        <w:tc>
          <w:tcPr>
            <w:tcW w:w="3360" w:type="dxa"/>
            <w:vAlign w:val="bottom"/>
          </w:tcPr>
          <w:p>
            <w:pPr>
              <w:ind w:left="940"/>
              <w:spacing w:after="0"/>
              <w:rPr>
                <w:sz w:val="20"/>
                <w:szCs w:val="20"/>
                <w:color w:val="auto"/>
              </w:rPr>
            </w:pPr>
            <w:r>
              <w:rPr>
                <w:rFonts w:ascii="Courier New" w:cs="Courier New" w:eastAsia="Courier New" w:hAnsi="Courier New"/>
                <w:sz w:val="15"/>
                <w:szCs w:val="15"/>
                <w:color w:val="auto"/>
              </w:rPr>
              <w:t>Saltillo, MS</w:t>
            </w:r>
          </w:p>
        </w:tc>
        <w:tc>
          <w:tcPr>
            <w:tcW w:w="3400" w:type="dxa"/>
            <w:vAlign w:val="bottom"/>
          </w:tcPr>
          <w:p>
            <w:pPr>
              <w:ind w:left="720"/>
              <w:spacing w:after="0"/>
              <w:rPr>
                <w:sz w:val="20"/>
                <w:szCs w:val="20"/>
                <w:color w:val="auto"/>
              </w:rPr>
            </w:pPr>
            <w:r>
              <w:rPr>
                <w:rFonts w:ascii="Courier New" w:cs="Courier New" w:eastAsia="Courier New" w:hAnsi="Courier New"/>
                <w:sz w:val="15"/>
                <w:szCs w:val="15"/>
                <w:color w:val="auto"/>
              </w:rPr>
              <w:t>Metal frame</w:t>
            </w:r>
          </w:p>
        </w:tc>
      </w:tr>
      <w:tr>
        <w:trPr>
          <w:trHeight w:val="172"/>
        </w:trPr>
        <w:tc>
          <w:tcPr>
            <w:tcW w:w="3080" w:type="dxa"/>
            <w:vAlign w:val="bottom"/>
          </w:tcPr>
          <w:p>
            <w:pPr>
              <w:spacing w:after="0"/>
              <w:rPr>
                <w:sz w:val="14"/>
                <w:szCs w:val="14"/>
                <w:color w:val="auto"/>
              </w:rPr>
            </w:pPr>
          </w:p>
        </w:tc>
        <w:tc>
          <w:tcPr>
            <w:tcW w:w="3360" w:type="dxa"/>
            <w:vAlign w:val="bottom"/>
          </w:tcPr>
          <w:p>
            <w:pPr>
              <w:ind w:left="940"/>
              <w:spacing w:after="0"/>
              <w:rPr>
                <w:sz w:val="20"/>
                <w:szCs w:val="20"/>
                <w:color w:val="auto"/>
              </w:rPr>
            </w:pPr>
            <w:r>
              <w:rPr>
                <w:rFonts w:ascii="Courier New" w:cs="Courier New" w:eastAsia="Courier New" w:hAnsi="Courier New"/>
                <w:sz w:val="15"/>
                <w:szCs w:val="15"/>
                <w:color w:val="auto"/>
              </w:rPr>
              <w:t>Booneville, MS (2</w:t>
            </w:r>
          </w:p>
        </w:tc>
        <w:tc>
          <w:tcPr>
            <w:tcW w:w="3400" w:type="dxa"/>
            <w:vAlign w:val="bottom"/>
          </w:tcPr>
          <w:p>
            <w:pPr>
              <w:spacing w:after="0"/>
              <w:rPr>
                <w:sz w:val="14"/>
                <w:szCs w:val="14"/>
                <w:color w:val="auto"/>
              </w:rPr>
            </w:pPr>
          </w:p>
        </w:tc>
      </w:tr>
      <w:tr>
        <w:trPr>
          <w:trHeight w:val="172"/>
        </w:trPr>
        <w:tc>
          <w:tcPr>
            <w:tcW w:w="3080" w:type="dxa"/>
            <w:vAlign w:val="bottom"/>
          </w:tcPr>
          <w:p>
            <w:pPr>
              <w:spacing w:after="0"/>
              <w:rPr>
                <w:sz w:val="14"/>
                <w:szCs w:val="14"/>
                <w:color w:val="auto"/>
              </w:rPr>
            </w:pPr>
          </w:p>
        </w:tc>
        <w:tc>
          <w:tcPr>
            <w:tcW w:w="3360" w:type="dxa"/>
            <w:vAlign w:val="bottom"/>
          </w:tcPr>
          <w:p>
            <w:pPr>
              <w:ind w:left="1200"/>
              <w:spacing w:after="0"/>
              <w:rPr>
                <w:sz w:val="20"/>
                <w:szCs w:val="20"/>
                <w:color w:val="auto"/>
              </w:rPr>
            </w:pPr>
            <w:r>
              <w:rPr>
                <w:rFonts w:ascii="Courier New" w:cs="Courier New" w:eastAsia="Courier New" w:hAnsi="Courier New"/>
                <w:sz w:val="15"/>
                <w:szCs w:val="15"/>
                <w:color w:val="auto"/>
              </w:rPr>
              <w:t>plants)</w:t>
            </w:r>
          </w:p>
        </w:tc>
        <w:tc>
          <w:tcPr>
            <w:tcW w:w="3400" w:type="dxa"/>
            <w:vAlign w:val="bottom"/>
          </w:tcPr>
          <w:p>
            <w:pPr>
              <w:ind w:left="720"/>
              <w:spacing w:after="0"/>
              <w:rPr>
                <w:sz w:val="20"/>
                <w:szCs w:val="20"/>
                <w:color w:val="auto"/>
              </w:rPr>
            </w:pPr>
            <w:r>
              <w:rPr>
                <w:rFonts w:ascii="Courier New" w:cs="Courier New" w:eastAsia="Courier New" w:hAnsi="Courier New"/>
                <w:sz w:val="15"/>
                <w:szCs w:val="15"/>
                <w:color w:val="auto"/>
              </w:rPr>
              <w:t>Metal frame</w:t>
            </w:r>
          </w:p>
        </w:tc>
      </w:tr>
    </w:tbl>
    <w:p>
      <w:pPr>
        <w:spacing w:after="0" w:line="348" w:lineRule="exact"/>
        <w:rPr>
          <w:sz w:val="20"/>
          <w:szCs w:val="20"/>
          <w:color w:val="auto"/>
        </w:rPr>
      </w:pPr>
    </w:p>
    <w:p>
      <w:pPr>
        <w:ind w:left="800" w:right="3760"/>
        <w:spacing w:after="0" w:line="242" w:lineRule="auto"/>
        <w:rPr>
          <w:sz w:val="20"/>
          <w:szCs w:val="20"/>
          <w:color w:val="auto"/>
        </w:rPr>
      </w:pPr>
      <w:r>
        <w:rPr>
          <w:rFonts w:ascii="Courier New" w:cs="Courier New" w:eastAsia="Courier New" w:hAnsi="Courier New"/>
          <w:sz w:val="15"/>
          <w:szCs w:val="15"/>
          <w:color w:val="auto"/>
        </w:rPr>
        <w:t>The Company also owns its general office building in Bassett, Virginia (brick, concrete and steel), two warehouses in Bassett, Virginia (brick and concrete) and a showroom in High Point, North Carolina (brick, concrete and steel).</w:t>
      </w:r>
    </w:p>
    <w:p>
      <w:pPr>
        <w:spacing w:after="0" w:line="175" w:lineRule="exact"/>
        <w:rPr>
          <w:sz w:val="20"/>
          <w:szCs w:val="20"/>
          <w:color w:val="auto"/>
        </w:rPr>
      </w:pPr>
    </w:p>
    <w:p>
      <w:pPr>
        <w:ind w:left="800" w:right="3940"/>
        <w:spacing w:after="0" w:line="241" w:lineRule="auto"/>
        <w:rPr>
          <w:sz w:val="20"/>
          <w:szCs w:val="20"/>
          <w:color w:val="auto"/>
        </w:rPr>
      </w:pPr>
      <w:r>
        <w:rPr>
          <w:rFonts w:ascii="Courier New" w:cs="Courier New" w:eastAsia="Courier New" w:hAnsi="Courier New"/>
          <w:sz w:val="15"/>
          <w:szCs w:val="15"/>
          <w:color w:val="auto"/>
        </w:rPr>
        <w:t>In general, these facilities are suitable and are considered to be adequate for the continuing operations involved. All facilities are in regular use, except the plants noted below.</w:t>
      </w:r>
    </w:p>
    <w:p>
      <w:pPr>
        <w:spacing w:after="0" w:line="176" w:lineRule="exact"/>
        <w:rPr>
          <w:sz w:val="20"/>
          <w:szCs w:val="20"/>
          <w:color w:val="auto"/>
        </w:rPr>
      </w:pPr>
    </w:p>
    <w:p>
      <w:pPr>
        <w:ind w:left="1600" w:right="3940" w:hanging="803"/>
        <w:spacing w:after="0"/>
        <w:tabs>
          <w:tab w:leader="none" w:pos="16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Plant closed as part of the restructuring program announced in 1990.</w:t>
      </w:r>
    </w:p>
    <w:p>
      <w:pPr>
        <w:spacing w:after="0" w:line="176" w:lineRule="exact"/>
        <w:rPr>
          <w:rFonts w:ascii="Courier New" w:cs="Courier New" w:eastAsia="Courier New" w:hAnsi="Courier New"/>
          <w:sz w:val="15"/>
          <w:szCs w:val="15"/>
          <w:color w:val="auto"/>
        </w:rPr>
      </w:pPr>
    </w:p>
    <w:p>
      <w:pPr>
        <w:ind w:left="1600" w:right="3940" w:hanging="803"/>
        <w:spacing w:after="0" w:line="241" w:lineRule="auto"/>
        <w:tabs>
          <w:tab w:leader="none" w:pos="16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Weiman-Ramseur plant and a small Impact Furniture plant are the two aforementioned plants closed in 1995 and held-for-sale.</w:t>
      </w:r>
    </w:p>
    <w:p>
      <w:pPr>
        <w:spacing w:after="0" w:line="17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5"/>
          <w:szCs w:val="15"/>
          <w:color w:val="auto"/>
        </w:rPr>
        <w:t>ITEM</w:t>
      </w:r>
      <w:r>
        <w:rPr>
          <w:sz w:val="20"/>
          <w:szCs w:val="20"/>
          <w:color w:val="auto"/>
        </w:rPr>
        <w:tab/>
      </w:r>
      <w:r>
        <w:rPr>
          <w:rFonts w:ascii="Courier New" w:cs="Courier New" w:eastAsia="Courier New" w:hAnsi="Courier New"/>
          <w:sz w:val="14"/>
          <w:szCs w:val="14"/>
          <w:color w:val="auto"/>
        </w:rPr>
        <w:t>3. LEGAL PROCEEDINGS</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Not applicable</w:t>
      </w:r>
    </w:p>
    <w:p>
      <w:pPr>
        <w:spacing w:after="0" w:line="17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5"/>
          <w:szCs w:val="15"/>
          <w:color w:val="auto"/>
        </w:rPr>
        <w:t>ITEM</w:t>
      </w:r>
      <w:r>
        <w:rPr>
          <w:sz w:val="20"/>
          <w:szCs w:val="20"/>
          <w:color w:val="auto"/>
        </w:rPr>
        <w:tab/>
      </w:r>
      <w:r>
        <w:rPr>
          <w:rFonts w:ascii="Courier New" w:cs="Courier New" w:eastAsia="Courier New" w:hAnsi="Courier New"/>
          <w:sz w:val="14"/>
          <w:szCs w:val="14"/>
          <w:color w:val="auto"/>
        </w:rPr>
        <w:t>4. SUBMISSION OF MATTERS TO A VOTE OF SECURITY HOLDERS</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None</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PART II</w:t>
      </w:r>
    </w:p>
    <w:p>
      <w:pPr>
        <w:spacing w:after="0" w:line="17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5"/>
          <w:szCs w:val="15"/>
          <w:color w:val="auto"/>
        </w:rPr>
        <w:t>ITEM</w:t>
      </w:r>
      <w:r>
        <w:rPr>
          <w:sz w:val="20"/>
          <w:szCs w:val="20"/>
          <w:color w:val="auto"/>
        </w:rPr>
        <w:tab/>
      </w:r>
      <w:r>
        <w:rPr>
          <w:rFonts w:ascii="Courier New" w:cs="Courier New" w:eastAsia="Courier New" w:hAnsi="Courier New"/>
          <w:sz w:val="14"/>
          <w:szCs w:val="14"/>
          <w:color w:val="auto"/>
        </w:rPr>
        <w:t>5. MARKET FOR THE REGISTRANT'S COMMON STOCK AND RELATED STOCKHOLDER</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MATTERS</w:t>
      </w:r>
    </w:p>
    <w:p>
      <w:pPr>
        <w:spacing w:after="0" w:line="176" w:lineRule="exact"/>
        <w:rPr>
          <w:sz w:val="20"/>
          <w:szCs w:val="20"/>
          <w:color w:val="auto"/>
        </w:rPr>
      </w:pPr>
    </w:p>
    <w:p>
      <w:pPr>
        <w:ind w:left="800" w:right="3760"/>
        <w:spacing w:after="0" w:line="242" w:lineRule="auto"/>
        <w:rPr>
          <w:sz w:val="20"/>
          <w:szCs w:val="20"/>
          <w:color w:val="auto"/>
        </w:rPr>
      </w:pPr>
      <w:r>
        <w:rPr>
          <w:rFonts w:ascii="Courier New" w:cs="Courier New" w:eastAsia="Courier New" w:hAnsi="Courier New"/>
          <w:sz w:val="15"/>
          <w:szCs w:val="15"/>
          <w:color w:val="auto"/>
        </w:rPr>
        <w:t>The information contained in the Annual Report under the caption "Other Business Data" - "Market and Dividend Information" with respect to number of stockholders, market prices and dividends paid is incorporated herein by reference thereto.</w:t>
      </w:r>
    </w:p>
    <w:p>
      <w:pPr>
        <w:spacing w:after="0" w:line="17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5"/>
          <w:szCs w:val="15"/>
          <w:color w:val="auto"/>
        </w:rPr>
        <w:t>ITEM</w:t>
      </w:r>
      <w:r>
        <w:rPr>
          <w:sz w:val="20"/>
          <w:szCs w:val="20"/>
          <w:color w:val="auto"/>
        </w:rPr>
        <w:tab/>
      </w:r>
      <w:r>
        <w:rPr>
          <w:rFonts w:ascii="Courier New" w:cs="Courier New" w:eastAsia="Courier New" w:hAnsi="Courier New"/>
          <w:sz w:val="14"/>
          <w:szCs w:val="14"/>
          <w:color w:val="auto"/>
        </w:rPr>
        <w:t>6. SELECTED FINANCIAL DATA</w:t>
      </w:r>
    </w:p>
    <w:p>
      <w:pPr>
        <w:spacing w:after="0" w:line="176" w:lineRule="exact"/>
        <w:rPr>
          <w:sz w:val="20"/>
          <w:szCs w:val="20"/>
          <w:color w:val="auto"/>
        </w:rPr>
      </w:pPr>
    </w:p>
    <w:p>
      <w:pPr>
        <w:ind w:left="800" w:right="3860"/>
        <w:spacing w:after="0" w:line="241" w:lineRule="auto"/>
        <w:rPr>
          <w:sz w:val="20"/>
          <w:szCs w:val="20"/>
          <w:color w:val="auto"/>
        </w:rPr>
      </w:pPr>
      <w:r>
        <w:rPr>
          <w:rFonts w:ascii="Courier New" w:cs="Courier New" w:eastAsia="Courier New" w:hAnsi="Courier New"/>
          <w:sz w:val="15"/>
          <w:szCs w:val="15"/>
          <w:color w:val="auto"/>
        </w:rPr>
        <w:t>The information for the five years ended November 30, 1995, contained in the "Other Business Data" in the Annual Report is incorporated herein by reference thereto.</w:t>
      </w:r>
    </w:p>
    <w:p>
      <w:pPr>
        <w:sectPr>
          <w:pgSz w:w="11900" w:h="16838" w:orient="portrait"/>
          <w:cols w:equalWidth="0" w:num="1">
            <w:col w:w="10820"/>
          </w:cols>
          <w:pgMar w:left="240" w:top="289" w:right="839"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Page 6 of 23</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20" w:right="3779" w:hanging="804"/>
        <w:spacing w:after="0"/>
        <w:tabs>
          <w:tab w:leader="none" w:pos="500" w:val="left"/>
        </w:tabs>
        <w:rPr>
          <w:sz w:val="20"/>
          <w:szCs w:val="20"/>
          <w:color w:val="auto"/>
        </w:rPr>
      </w:pPr>
      <w:r>
        <w:rPr>
          <w:rFonts w:ascii="Courier New" w:cs="Courier New" w:eastAsia="Courier New" w:hAnsi="Courier New"/>
          <w:sz w:val="15"/>
          <w:szCs w:val="15"/>
          <w:color w:val="auto"/>
        </w:rPr>
        <w:t>ITEM</w:t>
        <w:tab/>
        <w:t>7. MANAGEMENT'S DISCUSSION AND ANALYSIS OF FINANCIAL CONDITION AND RESULTS OF OPERATIONS</w:t>
      </w:r>
    </w:p>
    <w:p>
      <w:pPr>
        <w:spacing w:after="0" w:line="176" w:lineRule="exact"/>
        <w:rPr>
          <w:sz w:val="20"/>
          <w:szCs w:val="20"/>
          <w:color w:val="auto"/>
        </w:rPr>
      </w:pPr>
    </w:p>
    <w:p>
      <w:pPr>
        <w:ind w:left="800" w:right="3699"/>
        <w:spacing w:after="0"/>
        <w:rPr>
          <w:sz w:val="20"/>
          <w:szCs w:val="20"/>
          <w:color w:val="auto"/>
        </w:rPr>
      </w:pPr>
      <w:r>
        <w:rPr>
          <w:rFonts w:ascii="Courier New" w:cs="Courier New" w:eastAsia="Courier New" w:hAnsi="Courier New"/>
          <w:sz w:val="15"/>
          <w:szCs w:val="15"/>
          <w:color w:val="auto"/>
        </w:rPr>
        <w:t>The information contained in "Other Business Data" in the Annual Report is incorporated herein by reference thereto.</w:t>
      </w:r>
    </w:p>
    <w:p>
      <w:pPr>
        <w:spacing w:after="0" w:line="176" w:lineRule="exact"/>
        <w:rPr>
          <w:sz w:val="20"/>
          <w:szCs w:val="20"/>
          <w:color w:val="auto"/>
        </w:rPr>
      </w:pPr>
    </w:p>
    <w:p>
      <w:pPr>
        <w:ind w:left="800" w:right="3259"/>
        <w:spacing w:after="0" w:line="242" w:lineRule="auto"/>
        <w:rPr>
          <w:sz w:val="20"/>
          <w:szCs w:val="20"/>
          <w:color w:val="auto"/>
        </w:rPr>
      </w:pPr>
      <w:r>
        <w:rPr>
          <w:rFonts w:ascii="Courier New" w:cs="Courier New" w:eastAsia="Courier New" w:hAnsi="Courier New"/>
          <w:sz w:val="15"/>
          <w:szCs w:val="15"/>
          <w:color w:val="auto"/>
        </w:rPr>
        <w:t>The change in the level of the Company's net sales has historically been principally due to the change in the volume of units sold, as contrasted to changes in unit prices. The Company's net sales have fluctuated in recent years owing to the discretionary spending habits of consumers and the consumer confidence level.</w:t>
      </w:r>
    </w:p>
    <w:p>
      <w:pPr>
        <w:spacing w:after="0" w:line="17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5"/>
          <w:szCs w:val="15"/>
          <w:color w:val="auto"/>
        </w:rPr>
        <w:t>ITEM</w:t>
      </w:r>
      <w:r>
        <w:rPr>
          <w:sz w:val="20"/>
          <w:szCs w:val="20"/>
          <w:color w:val="auto"/>
        </w:rPr>
        <w:tab/>
      </w:r>
      <w:r>
        <w:rPr>
          <w:rFonts w:ascii="Courier New" w:cs="Courier New" w:eastAsia="Courier New" w:hAnsi="Courier New"/>
          <w:sz w:val="14"/>
          <w:szCs w:val="14"/>
          <w:color w:val="auto"/>
        </w:rPr>
        <w:t>8. FINANCIAL STATEMENTS AND SUPPLEMENTARY DATA</w:t>
      </w:r>
    </w:p>
    <w:p>
      <w:pPr>
        <w:spacing w:after="0" w:line="176" w:lineRule="exact"/>
        <w:rPr>
          <w:sz w:val="20"/>
          <w:szCs w:val="20"/>
          <w:color w:val="auto"/>
        </w:rPr>
      </w:pPr>
    </w:p>
    <w:p>
      <w:pPr>
        <w:ind w:left="800" w:right="3259"/>
        <w:spacing w:after="0" w:line="263" w:lineRule="auto"/>
        <w:rPr>
          <w:sz w:val="20"/>
          <w:szCs w:val="20"/>
          <w:color w:val="auto"/>
        </w:rPr>
      </w:pPr>
      <w:r>
        <w:rPr>
          <w:rFonts w:ascii="Courier New" w:cs="Courier New" w:eastAsia="Courier New" w:hAnsi="Courier New"/>
          <w:sz w:val="14"/>
          <w:szCs w:val="14"/>
          <w:color w:val="auto"/>
        </w:rPr>
        <w:t>The following consolidated financial statements of the registrant and its subsidiaries, together with the independent auditors' report thereon of KPMG Peat Marwick LLP dated December 15, 1995, included in the annual report of the registrant to its stockholders for the year ended November 30, 1995 are incorporated herein by reference thereto:</w:t>
      </w:r>
    </w:p>
    <w:p>
      <w:pPr>
        <w:spacing w:after="0" w:line="161"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Consolidated Balance Sheet--November 30, 1995 and 1994</w:t>
      </w:r>
    </w:p>
    <w:p>
      <w:pPr>
        <w:spacing w:after="0" w:line="176" w:lineRule="exact"/>
        <w:rPr>
          <w:sz w:val="20"/>
          <w:szCs w:val="20"/>
          <w:color w:val="auto"/>
        </w:rPr>
      </w:pPr>
    </w:p>
    <w:p>
      <w:pPr>
        <w:ind w:left="1600" w:right="3439"/>
        <w:spacing w:after="0"/>
        <w:rPr>
          <w:sz w:val="20"/>
          <w:szCs w:val="20"/>
          <w:color w:val="auto"/>
        </w:rPr>
      </w:pPr>
      <w:r>
        <w:rPr>
          <w:rFonts w:ascii="Courier New" w:cs="Courier New" w:eastAsia="Courier New" w:hAnsi="Courier New"/>
          <w:sz w:val="15"/>
          <w:szCs w:val="15"/>
          <w:color w:val="auto"/>
        </w:rPr>
        <w:t>Consolidated Statement of Income--Years Ended November 30, 1995, 1994 and 1993</w:t>
      </w:r>
    </w:p>
    <w:p>
      <w:pPr>
        <w:spacing w:after="0" w:line="176" w:lineRule="exact"/>
        <w:rPr>
          <w:sz w:val="20"/>
          <w:szCs w:val="20"/>
          <w:color w:val="auto"/>
        </w:rPr>
      </w:pPr>
    </w:p>
    <w:p>
      <w:pPr>
        <w:ind w:left="1600" w:right="3339"/>
        <w:spacing w:after="0"/>
        <w:rPr>
          <w:sz w:val="20"/>
          <w:szCs w:val="20"/>
          <w:color w:val="auto"/>
        </w:rPr>
      </w:pPr>
      <w:r>
        <w:rPr>
          <w:rFonts w:ascii="Courier New" w:cs="Courier New" w:eastAsia="Courier New" w:hAnsi="Courier New"/>
          <w:sz w:val="15"/>
          <w:szCs w:val="15"/>
          <w:color w:val="auto"/>
        </w:rPr>
        <w:t>Consolidated Statement of Stockholders' Equity--Years Ended November 30, 1995, 1994 and 1993</w:t>
      </w:r>
    </w:p>
    <w:p>
      <w:pPr>
        <w:spacing w:after="0" w:line="176" w:lineRule="exact"/>
        <w:rPr>
          <w:sz w:val="20"/>
          <w:szCs w:val="20"/>
          <w:color w:val="auto"/>
        </w:rPr>
      </w:pPr>
    </w:p>
    <w:p>
      <w:pPr>
        <w:ind w:left="1600" w:right="3439"/>
        <w:spacing w:after="0"/>
        <w:rPr>
          <w:sz w:val="20"/>
          <w:szCs w:val="20"/>
          <w:color w:val="auto"/>
        </w:rPr>
      </w:pPr>
      <w:r>
        <w:rPr>
          <w:rFonts w:ascii="Courier New" w:cs="Courier New" w:eastAsia="Courier New" w:hAnsi="Courier New"/>
          <w:sz w:val="15"/>
          <w:szCs w:val="15"/>
          <w:color w:val="auto"/>
        </w:rPr>
        <w:t>Consolidated Statement of Cash Flows--Years Ended November 30, 1995, 1994 and 1993</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6" w:lineRule="exact"/>
        <w:rPr>
          <w:sz w:val="20"/>
          <w:szCs w:val="20"/>
          <w:color w:val="auto"/>
        </w:rPr>
      </w:pPr>
    </w:p>
    <w:p>
      <w:pPr>
        <w:ind w:left="800" w:right="3259"/>
        <w:spacing w:after="0" w:line="241" w:lineRule="auto"/>
        <w:rPr>
          <w:sz w:val="20"/>
          <w:szCs w:val="20"/>
          <w:color w:val="auto"/>
        </w:rPr>
      </w:pPr>
      <w:r>
        <w:rPr>
          <w:rFonts w:ascii="Courier New" w:cs="Courier New" w:eastAsia="Courier New" w:hAnsi="Courier New"/>
          <w:sz w:val="15"/>
          <w:szCs w:val="15"/>
          <w:color w:val="auto"/>
        </w:rPr>
        <w:t>The information contained in "Other Business Data" for "Quarterly Results of Operations" in the Annual Report is incorporated herein by reference thereto.</w:t>
      </w:r>
    </w:p>
    <w:p>
      <w:pPr>
        <w:spacing w:after="0" w:line="176" w:lineRule="exact"/>
        <w:rPr>
          <w:sz w:val="20"/>
          <w:szCs w:val="20"/>
          <w:color w:val="auto"/>
        </w:rPr>
      </w:pPr>
    </w:p>
    <w:p>
      <w:pPr>
        <w:ind w:left="520" w:right="3779" w:hanging="804"/>
        <w:spacing w:after="0"/>
        <w:tabs>
          <w:tab w:leader="none" w:pos="500" w:val="left"/>
        </w:tabs>
        <w:rPr>
          <w:sz w:val="20"/>
          <w:szCs w:val="20"/>
          <w:color w:val="auto"/>
        </w:rPr>
      </w:pPr>
      <w:r>
        <w:rPr>
          <w:rFonts w:ascii="Courier New" w:cs="Courier New" w:eastAsia="Courier New" w:hAnsi="Courier New"/>
          <w:sz w:val="15"/>
          <w:szCs w:val="15"/>
          <w:color w:val="auto"/>
        </w:rPr>
        <w:t>ITEM</w:t>
        <w:tab/>
        <w:t>9. CHANGES IN AND DISAGREEMENTS WITH ACCOUNTANTS ON ACCOUNTING AND FINANCIAL DISCLOSURE</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None</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PART III</w:t>
      </w:r>
    </w:p>
    <w:p>
      <w:pPr>
        <w:spacing w:after="0" w:line="176" w:lineRule="exact"/>
        <w:rPr>
          <w:sz w:val="20"/>
          <w:szCs w:val="20"/>
          <w:color w:val="auto"/>
        </w:rPr>
      </w:pPr>
    </w:p>
    <w:p>
      <w:pPr>
        <w:ind w:left="800" w:right="3439" w:hanging="804"/>
        <w:spacing w:after="0"/>
        <w:rPr>
          <w:sz w:val="20"/>
          <w:szCs w:val="20"/>
          <w:color w:val="auto"/>
        </w:rPr>
      </w:pPr>
      <w:r>
        <w:rPr>
          <w:rFonts w:ascii="Courier New" w:cs="Courier New" w:eastAsia="Courier New" w:hAnsi="Courier New"/>
          <w:sz w:val="15"/>
          <w:szCs w:val="15"/>
          <w:color w:val="auto"/>
        </w:rPr>
        <w:t>ITEM 10. DIRECTORS, EXECUTIVE OFFICERS, PROMOTERS AND CONTROL PERSONS OF THE REGISTRANT</w:t>
      </w:r>
    </w:p>
    <w:p>
      <w:pPr>
        <w:spacing w:after="0" w:line="176" w:lineRule="exact"/>
        <w:rPr>
          <w:sz w:val="20"/>
          <w:szCs w:val="20"/>
          <w:color w:val="auto"/>
        </w:rPr>
      </w:pPr>
    </w:p>
    <w:p>
      <w:pPr>
        <w:ind w:left="800" w:right="3159"/>
        <w:spacing w:after="0" w:line="242" w:lineRule="auto"/>
        <w:rPr>
          <w:sz w:val="20"/>
          <w:szCs w:val="20"/>
          <w:color w:val="auto"/>
        </w:rPr>
      </w:pPr>
      <w:r>
        <w:rPr>
          <w:rFonts w:ascii="Courier New" w:cs="Courier New" w:eastAsia="Courier New" w:hAnsi="Courier New"/>
          <w:sz w:val="15"/>
          <w:szCs w:val="15"/>
          <w:color w:val="auto"/>
        </w:rPr>
        <w:t>The information contained on pages 2 through 5 of the Proxy Statement under the captions "Principal Stockholders and Holdings of Management" and "Election of Directors" is incorporated herein by reference thereto.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76" w:lineRule="exact"/>
        <w:rPr>
          <w:sz w:val="20"/>
          <w:szCs w:val="20"/>
          <w:color w:val="auto"/>
        </w:rPr>
      </w:pPr>
    </w:p>
    <w:p>
      <w:pPr>
        <w:ind w:left="800" w:right="3159"/>
        <w:spacing w:after="0" w:line="242" w:lineRule="auto"/>
        <w:rPr>
          <w:sz w:val="20"/>
          <w:szCs w:val="20"/>
          <w:color w:val="auto"/>
        </w:rPr>
      </w:pPr>
      <w:r>
        <w:rPr>
          <w:rFonts w:ascii="Courier New" w:cs="Courier New" w:eastAsia="Courier New" w:hAnsi="Courier New"/>
          <w:sz w:val="15"/>
          <w:szCs w:val="15"/>
          <w:color w:val="auto"/>
        </w:rPr>
        <w:t>The information contained on pages 6 through 12 of the Proxy Statement under the captions "Organization and Compensation Committee Report", "Stockholder Return Performance Graph", "Executive Compensation", and "Supplemental Retirement Income Plan" is incorporated herein by reference thereto.</w:t>
      </w:r>
    </w:p>
    <w:p>
      <w:pPr>
        <w:sectPr>
          <w:pgSz w:w="11900" w:h="16838" w:orient="portrait"/>
          <w:cols w:equalWidth="0" w:num="1">
            <w:col w:w="10219"/>
          </w:cols>
          <w:pgMar w:left="240" w:top="289"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Page 7 of 23</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76" w:lineRule="exact"/>
        <w:rPr>
          <w:sz w:val="20"/>
          <w:szCs w:val="20"/>
          <w:color w:val="auto"/>
        </w:rPr>
      </w:pPr>
    </w:p>
    <w:p>
      <w:pPr>
        <w:ind w:left="800" w:right="3339"/>
        <w:spacing w:after="0" w:line="241" w:lineRule="auto"/>
        <w:rPr>
          <w:sz w:val="20"/>
          <w:szCs w:val="20"/>
          <w:color w:val="auto"/>
        </w:rPr>
      </w:pPr>
      <w:r>
        <w:rPr>
          <w:rFonts w:ascii="Courier New" w:cs="Courier New" w:eastAsia="Courier New" w:hAnsi="Courier New"/>
          <w:sz w:val="15"/>
          <w:szCs w:val="15"/>
          <w:color w:val="auto"/>
        </w:rPr>
        <w:t>The information contained on page 2 of the Proxy Statement under the heading "Principal Stockholders and Holdings of Management" is incorporated herein by reference thereto.</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76" w:lineRule="exact"/>
        <w:rPr>
          <w:sz w:val="20"/>
          <w:szCs w:val="20"/>
          <w:color w:val="auto"/>
        </w:rPr>
      </w:pPr>
    </w:p>
    <w:p>
      <w:pPr>
        <w:ind w:left="800" w:right="3339"/>
        <w:spacing w:after="0" w:line="241" w:lineRule="auto"/>
        <w:rPr>
          <w:sz w:val="20"/>
          <w:szCs w:val="20"/>
          <w:color w:val="auto"/>
        </w:rPr>
      </w:pPr>
      <w:r>
        <w:rPr>
          <w:rFonts w:ascii="Courier New" w:cs="Courier New" w:eastAsia="Courier New" w:hAnsi="Courier New"/>
          <w:sz w:val="15"/>
          <w:szCs w:val="15"/>
          <w:color w:val="auto"/>
        </w:rPr>
        <w:t>The information contained on page 6 of the Proxy statement under the heading OOrganization and Compensation Committee Interlocks and Insider ParticipationO is incorporated herein by reference thereto.</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PART IV</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 SCHEDULE, AND REPORTS ON FORM 8-K</w:t>
      </w:r>
    </w:p>
    <w:p>
      <w:pPr>
        <w:spacing w:after="0" w:line="176" w:lineRule="exact"/>
        <w:rPr>
          <w:sz w:val="20"/>
          <w:szCs w:val="20"/>
          <w:color w:val="auto"/>
        </w:rPr>
      </w:pPr>
    </w:p>
    <w:p>
      <w:pPr>
        <w:ind w:left="2400" w:right="3159" w:hanging="1603"/>
        <w:spacing w:after="0"/>
        <w:tabs>
          <w:tab w:leader="none" w:pos="159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(1)The response to this portion of Item 14 is submitted as a separate section of this report.</w:t>
      </w:r>
    </w:p>
    <w:p>
      <w:pPr>
        <w:spacing w:after="0" w:line="176" w:lineRule="exact"/>
        <w:rPr>
          <w:rFonts w:ascii="Courier New" w:cs="Courier New" w:eastAsia="Courier New" w:hAnsi="Courier New"/>
          <w:sz w:val="15"/>
          <w:szCs w:val="15"/>
          <w:color w:val="auto"/>
        </w:rPr>
      </w:pPr>
    </w:p>
    <w:p>
      <w:pPr>
        <w:ind w:left="2400" w:right="3519" w:hanging="798"/>
        <w:spacing w:after="0" w:line="242" w:lineRule="auto"/>
        <w:tabs>
          <w:tab w:leader="none" w:pos="240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financial statement schedules for which provision is made in the applicable accounting regulations of the Securities and Exchange Commission are not required under the related instructions or are inapplicable and, therefore, have been omitted.</w:t>
      </w:r>
    </w:p>
    <w:p>
      <w:pPr>
        <w:spacing w:after="0" w:line="174" w:lineRule="exact"/>
        <w:rPr>
          <w:rFonts w:ascii="Courier New" w:cs="Courier New" w:eastAsia="Courier New" w:hAnsi="Courier New"/>
          <w:sz w:val="15"/>
          <w:szCs w:val="15"/>
          <w:color w:val="auto"/>
        </w:rPr>
      </w:pPr>
    </w:p>
    <w:p>
      <w:pPr>
        <w:ind w:left="2400" w:hanging="798"/>
        <w:spacing w:after="0"/>
        <w:tabs>
          <w:tab w:leader="none" w:pos="240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Listing of Exhibits</w:t>
      </w:r>
    </w:p>
    <w:p>
      <w:pPr>
        <w:spacing w:after="0" w:line="175" w:lineRule="exact"/>
        <w:rPr>
          <w:rFonts w:ascii="Courier New" w:cs="Courier New" w:eastAsia="Courier New" w:hAnsi="Courier New"/>
          <w:sz w:val="15"/>
          <w:szCs w:val="15"/>
          <w:color w:val="auto"/>
        </w:rPr>
      </w:pPr>
    </w:p>
    <w:p>
      <w:pPr>
        <w:ind w:left="3220" w:right="3159" w:hanging="724"/>
        <w:spacing w:after="0" w:line="242" w:lineRule="auto"/>
        <w:tabs>
          <w:tab w:leader="none" w:pos="3220" w:val="left"/>
        </w:tabs>
        <w:numPr>
          <w:ilvl w:val="2"/>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Articles of Incorporation as amended and By Laws are incorporated herein by reference to Form 10-Q for the fiscal quarter ended February 28, 1994.</w:t>
      </w:r>
    </w:p>
    <w:p>
      <w:pPr>
        <w:spacing w:after="0" w:line="175" w:lineRule="exact"/>
        <w:rPr>
          <w:sz w:val="20"/>
          <w:szCs w:val="20"/>
          <w:color w:val="auto"/>
        </w:rPr>
      </w:pPr>
    </w:p>
    <w:p>
      <w:pPr>
        <w:ind w:left="3220" w:right="3439" w:hanging="813"/>
        <w:spacing w:after="0" w:line="241" w:lineRule="auto"/>
        <w:tabs>
          <w:tab w:leader="none" w:pos="32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Annual Report to Stockholders for the year ended November 30, 1995.*</w:t>
      </w:r>
    </w:p>
    <w:p>
      <w:pPr>
        <w:spacing w:after="0" w:line="174" w:lineRule="exact"/>
        <w:rPr>
          <w:sz w:val="20"/>
          <w:szCs w:val="20"/>
          <w:color w:val="auto"/>
        </w:rPr>
      </w:pPr>
    </w:p>
    <w:p>
      <w:pPr>
        <w:ind w:left="3220" w:hanging="813"/>
        <w:spacing w:after="0"/>
        <w:tabs>
          <w:tab w:leader="none" w:pos="32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of subsidiaries of the registrant</w:t>
      </w:r>
    </w:p>
    <w:p>
      <w:pPr>
        <w:spacing w:after="0" w:line="174" w:lineRule="exact"/>
        <w:rPr>
          <w:sz w:val="20"/>
          <w:szCs w:val="20"/>
          <w:color w:val="auto"/>
        </w:rPr>
      </w:pPr>
    </w:p>
    <w:p>
      <w:pPr>
        <w:ind w:left="3220" w:hanging="813"/>
        <w:spacing w:after="0"/>
        <w:tabs>
          <w:tab w:leader="none" w:pos="32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of experts and counsel</w:t>
      </w:r>
    </w:p>
    <w:p>
      <w:pPr>
        <w:spacing w:after="0" w:line="174" w:lineRule="exact"/>
        <w:rPr>
          <w:sz w:val="20"/>
          <w:szCs w:val="20"/>
          <w:color w:val="auto"/>
        </w:rPr>
      </w:pPr>
    </w:p>
    <w:p>
      <w:pPr>
        <w:ind w:left="3220" w:hanging="813"/>
        <w:spacing w:after="0"/>
        <w:tabs>
          <w:tab w:leader="none" w:pos="32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 (EDGAR filing only)</w:t>
      </w:r>
    </w:p>
    <w:p>
      <w:pPr>
        <w:spacing w:after="0" w:line="176" w:lineRule="exact"/>
        <w:rPr>
          <w:sz w:val="20"/>
          <w:szCs w:val="20"/>
          <w:color w:val="auto"/>
        </w:rPr>
      </w:pPr>
    </w:p>
    <w:p>
      <w:pPr>
        <w:jc w:val="both"/>
        <w:ind w:left="1600" w:right="3339"/>
        <w:spacing w:after="0" w:line="241" w:lineRule="auto"/>
        <w:rPr>
          <w:sz w:val="20"/>
          <w:szCs w:val="20"/>
          <w:color w:val="auto"/>
        </w:rPr>
      </w:pPr>
      <w:r>
        <w:rPr>
          <w:rFonts w:ascii="Courier New" w:cs="Courier New" w:eastAsia="Courier New" w:hAnsi="Courier New"/>
          <w:sz w:val="15"/>
          <w:szCs w:val="15"/>
          <w:color w:val="auto"/>
        </w:rPr>
        <w:t>*With the exception of the information incorporated in this Form 10-K by reference thereto, the Annual Report shall not be deemed "filed" as a part of this Form 10-K.</w:t>
      </w:r>
    </w:p>
    <w:p>
      <w:pPr>
        <w:spacing w:after="0" w:line="176" w:lineRule="exact"/>
        <w:rPr>
          <w:sz w:val="20"/>
          <w:szCs w:val="20"/>
          <w:color w:val="auto"/>
        </w:rPr>
      </w:pPr>
    </w:p>
    <w:p>
      <w:pPr>
        <w:ind w:left="1600" w:right="3779" w:hanging="803"/>
        <w:spacing w:after="0"/>
        <w:tabs>
          <w:tab w:leader="none" w:pos="16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reports on Form 8-K have been filed during the last quarter of the registrant's 1995 fiscal year.</w:t>
      </w:r>
    </w:p>
    <w:p>
      <w:pPr>
        <w:spacing w:after="0" w:line="176" w:lineRule="exact"/>
        <w:rPr>
          <w:rFonts w:ascii="Courier New" w:cs="Courier New" w:eastAsia="Courier New" w:hAnsi="Courier New"/>
          <w:sz w:val="15"/>
          <w:szCs w:val="15"/>
          <w:color w:val="auto"/>
        </w:rPr>
      </w:pPr>
    </w:p>
    <w:p>
      <w:pPr>
        <w:ind w:left="1600" w:right="3699" w:hanging="803"/>
        <w:spacing w:after="0"/>
        <w:tabs>
          <w:tab w:leader="none" w:pos="16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The response to this portion of Item 14. is submitted as a separate section of this report.</w:t>
      </w:r>
    </w:p>
    <w:p>
      <w:pPr>
        <w:spacing w:after="0" w:line="176" w:lineRule="exact"/>
        <w:rPr>
          <w:rFonts w:ascii="Courier New" w:cs="Courier New" w:eastAsia="Courier New" w:hAnsi="Courier New"/>
          <w:sz w:val="15"/>
          <w:szCs w:val="15"/>
          <w:color w:val="auto"/>
        </w:rPr>
      </w:pPr>
    </w:p>
    <w:p>
      <w:pPr>
        <w:ind w:left="1600" w:right="3159" w:hanging="803"/>
        <w:spacing w:after="0" w:line="242" w:lineRule="auto"/>
        <w:tabs>
          <w:tab w:leader="none" w:pos="16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 Schedules: All financial statement schedules for which provision is made in the applicable accounting regulations of the Securities and Exchange Commission are not required under the related instructions or are inapplicable and, therefore, have been omitted.</w:t>
      </w:r>
    </w:p>
    <w:p>
      <w:pPr>
        <w:sectPr>
          <w:pgSz w:w="11900" w:h="16838" w:orient="portrait"/>
          <w:cols w:equalWidth="0" w:num="1">
            <w:col w:w="10219"/>
          </w:cols>
          <w:pgMar w:left="240" w:top="289"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8</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Page 8 of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ANNUAL REPORT ON FORM 10-K</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ITEM 14(a)(1) AND (c)</w:t>
      </w:r>
    </w:p>
    <w:p>
      <w:pPr>
        <w:spacing w:after="0" w:line="17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LIST OF FINANCIAL STATEMENTS</w:t>
      </w:r>
    </w:p>
    <w:p>
      <w:pPr>
        <w:spacing w:after="0" w:line="17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CERTAIN EXHIBITS</w:t>
      </w:r>
    </w:p>
    <w:p>
      <w:pPr>
        <w:spacing w:after="0" w:line="174"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YEAR ENDED NOVEMBER 30, 1995</w:t>
      </w:r>
    </w:p>
    <w:p>
      <w:pPr>
        <w:spacing w:after="0" w:line="346"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BASSETT, VIRGINIA</w:t>
      </w:r>
    </w:p>
    <w:p>
      <w:pPr>
        <w:sectPr>
          <w:pgSz w:w="11900" w:h="16838" w:orient="portrait"/>
          <w:cols w:equalWidth="0" w:num="1">
            <w:col w:w="9959"/>
          </w:cols>
          <w:pgMar w:left="500" w:top="289"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Page 9 of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ITEM 14(a)(1)</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LIST OF FINANCIAL STATEMENTS AND FINANCIAL STATEMENT SCHEDULE</w:t>
      </w:r>
    </w:p>
    <w:p>
      <w:pPr>
        <w:spacing w:after="0" w:line="348" w:lineRule="exact"/>
        <w:rPr>
          <w:sz w:val="20"/>
          <w:szCs w:val="20"/>
          <w:color w:val="auto"/>
        </w:rPr>
      </w:pPr>
    </w:p>
    <w:p>
      <w:pPr>
        <w:ind w:right="3439"/>
        <w:spacing w:after="0" w:line="242" w:lineRule="auto"/>
        <w:rPr>
          <w:sz w:val="20"/>
          <w:szCs w:val="20"/>
          <w:color w:val="auto"/>
        </w:rPr>
      </w:pPr>
      <w:r>
        <w:rPr>
          <w:rFonts w:ascii="Courier New" w:cs="Courier New" w:eastAsia="Courier New" w:hAnsi="Courier New"/>
          <w:sz w:val="15"/>
          <w:szCs w:val="15"/>
          <w:color w:val="auto"/>
        </w:rPr>
        <w:t>The following consolidated financial statements of the registrant and its subsidiaries, included in the annual report of the registrant to its stockholders for the year ended November 30, 1995 are incorporated herein by reference:</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Consolidated Balance Sheet--November 30, 1995 and 1994</w:t>
      </w:r>
    </w:p>
    <w:p>
      <w:pPr>
        <w:spacing w:after="0" w:line="176" w:lineRule="exact"/>
        <w:rPr>
          <w:sz w:val="20"/>
          <w:szCs w:val="20"/>
          <w:color w:val="auto"/>
        </w:rPr>
      </w:pPr>
    </w:p>
    <w:p>
      <w:pPr>
        <w:ind w:left="800" w:right="3259"/>
        <w:spacing w:after="0"/>
        <w:rPr>
          <w:sz w:val="20"/>
          <w:szCs w:val="20"/>
          <w:color w:val="auto"/>
        </w:rPr>
      </w:pPr>
      <w:r>
        <w:rPr>
          <w:rFonts w:ascii="Courier New" w:cs="Courier New" w:eastAsia="Courier New" w:hAnsi="Courier New"/>
          <w:sz w:val="15"/>
          <w:szCs w:val="15"/>
          <w:color w:val="auto"/>
        </w:rPr>
        <w:t>Consolidated Statement of Income--Years Ended November 30, 1995, 1994 and 1993</w:t>
      </w:r>
    </w:p>
    <w:p>
      <w:pPr>
        <w:spacing w:after="0" w:line="176" w:lineRule="exact"/>
        <w:rPr>
          <w:sz w:val="20"/>
          <w:szCs w:val="20"/>
          <w:color w:val="auto"/>
        </w:rPr>
      </w:pPr>
    </w:p>
    <w:p>
      <w:pPr>
        <w:ind w:left="800" w:right="3339"/>
        <w:spacing w:after="0"/>
        <w:rPr>
          <w:sz w:val="20"/>
          <w:szCs w:val="20"/>
          <w:color w:val="auto"/>
        </w:rPr>
      </w:pPr>
      <w:r>
        <w:rPr>
          <w:rFonts w:ascii="Courier New" w:cs="Courier New" w:eastAsia="Courier New" w:hAnsi="Courier New"/>
          <w:sz w:val="15"/>
          <w:szCs w:val="15"/>
          <w:color w:val="auto"/>
        </w:rPr>
        <w:t>Consolidated Statement of Stockholders' Equity--Years Ended November 30, 1995, 1994 and 1993</w:t>
      </w:r>
    </w:p>
    <w:p>
      <w:pPr>
        <w:spacing w:after="0" w:line="176" w:lineRule="exact"/>
        <w:rPr>
          <w:sz w:val="20"/>
          <w:szCs w:val="20"/>
          <w:color w:val="auto"/>
        </w:rPr>
      </w:pPr>
    </w:p>
    <w:p>
      <w:pPr>
        <w:ind w:left="800" w:right="3339"/>
        <w:spacing w:after="0"/>
        <w:rPr>
          <w:sz w:val="20"/>
          <w:szCs w:val="20"/>
          <w:color w:val="auto"/>
        </w:rPr>
      </w:pPr>
      <w:r>
        <w:rPr>
          <w:rFonts w:ascii="Courier New" w:cs="Courier New" w:eastAsia="Courier New" w:hAnsi="Courier New"/>
          <w:sz w:val="15"/>
          <w:szCs w:val="15"/>
          <w:color w:val="auto"/>
        </w:rPr>
        <w:t>Consolidated Statement of Cash Flows--Years Ended November 30, 1995, 1994 and 1993</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Notes to Consolidated Financial Statements</w:t>
      </w:r>
    </w:p>
    <w:p>
      <w:pPr>
        <w:sectPr>
          <w:pgSz w:w="11900" w:h="16838" w:orient="portrait"/>
          <w:cols w:equalWidth="0" w:num="1">
            <w:col w:w="10219"/>
          </w:cols>
          <w:pgMar w:left="240" w:top="289"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4" w:lineRule="exact"/>
        <w:rPr>
          <w:sz w:val="20"/>
          <w:szCs w:val="20"/>
          <w:color w:val="auto"/>
        </w:rPr>
      </w:pPr>
    </w:p>
    <w:p>
      <w:pPr>
        <w:ind w:left="5980"/>
        <w:spacing w:after="0"/>
        <w:rPr>
          <w:sz w:val="20"/>
          <w:szCs w:val="20"/>
          <w:color w:val="auto"/>
        </w:rPr>
      </w:pPr>
      <w:r>
        <w:rPr>
          <w:rFonts w:ascii="Courier New" w:cs="Courier New" w:eastAsia="Courier New" w:hAnsi="Courier New"/>
          <w:sz w:val="14"/>
          <w:szCs w:val="14"/>
          <w:color w:val="auto"/>
        </w:rPr>
        <w:t>Page 10 of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SIGNATURES</w:t>
      </w:r>
    </w:p>
    <w:p>
      <w:pPr>
        <w:spacing w:after="0" w:line="176"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BASSETT FURNITURE INDUSTRIES, INCORPORATED (Registrant)</w:t>
      </w:r>
    </w:p>
    <w:p>
      <w:pPr>
        <w:sectPr>
          <w:pgSz w:w="11900" w:h="16838" w:orient="portrait"/>
          <w:cols w:equalWidth="0" w:num="1">
            <w:col w:w="10219"/>
          </w:cols>
          <w:pgMar w:left="240" w:top="289" w:right="1440" w:bottom="1440" w:gutter="0" w:footer="0" w:header="0"/>
        </w:sectPr>
      </w:pPr>
    </w:p>
    <w:p>
      <w:pPr>
        <w:spacing w:after="0" w:line="200" w:lineRule="exact"/>
        <w:rPr>
          <w:sz w:val="20"/>
          <w:szCs w:val="20"/>
          <w:color w:val="auto"/>
        </w:rPr>
      </w:pPr>
    </w:p>
    <w:p>
      <w:pPr>
        <w:spacing w:after="0" w:line="320" w:lineRule="exact"/>
        <w:rPr>
          <w:sz w:val="20"/>
          <w:szCs w:val="20"/>
          <w:color w:val="auto"/>
        </w:rPr>
      </w:pPr>
    </w:p>
    <w:p>
      <w:pPr>
        <w:ind w:left="15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ROBERT H. SPILMAN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jc w:val="both"/>
        <w:ind w:right="739"/>
        <w:spacing w:after="0" w:line="260" w:lineRule="auto"/>
        <w:rPr>
          <w:sz w:val="20"/>
          <w:szCs w:val="20"/>
          <w:color w:val="auto"/>
        </w:rPr>
      </w:pPr>
      <w:r>
        <w:rPr>
          <w:rFonts w:ascii="Courier New" w:cs="Courier New" w:eastAsia="Courier New" w:hAnsi="Courier New"/>
          <w:sz w:val="14"/>
          <w:szCs w:val="14"/>
          <w:color w:val="auto"/>
        </w:rPr>
        <w:t>February 21, 1996 -----------------</w:t>
      </w:r>
    </w:p>
    <w:p>
      <w:pPr>
        <w:spacing w:after="0" w:line="1" w:lineRule="exact"/>
        <w:rPr>
          <w:sz w:val="20"/>
          <w:szCs w:val="20"/>
          <w:color w:val="auto"/>
        </w:rPr>
      </w:pPr>
    </w:p>
    <w:p>
      <w:pPr>
        <w:sectPr>
          <w:pgSz w:w="11900" w:h="16838" w:orient="portrait"/>
          <w:cols w:equalWidth="0" w:num="4">
            <w:col w:w="1780" w:space="260"/>
            <w:col w:w="4480" w:space="720"/>
            <w:col w:w="440" w:space="280"/>
            <w:col w:w="2259"/>
          </w:cols>
          <w:pgMar w:left="240" w:top="289" w:right="1440" w:bottom="1440" w:gutter="0" w:footer="0" w:header="0"/>
          <w:type w:val="continuous"/>
        </w:sectPr>
      </w:pPr>
    </w:p>
    <w:p>
      <w:pPr>
        <w:ind w:left="2040"/>
        <w:spacing w:after="0" w:line="238" w:lineRule="auto"/>
        <w:rPr>
          <w:sz w:val="20"/>
          <w:szCs w:val="20"/>
          <w:color w:val="auto"/>
        </w:rPr>
      </w:pPr>
      <w:r>
        <w:rPr>
          <w:rFonts w:ascii="Courier New" w:cs="Courier New" w:eastAsia="Courier New" w:hAnsi="Courier New"/>
          <w:sz w:val="15"/>
          <w:szCs w:val="15"/>
          <w:color w:val="auto"/>
        </w:rPr>
        <w:t>Robert H. Spilman</w:t>
      </w:r>
    </w:p>
    <w:p>
      <w:pPr>
        <w:spacing w:after="0" w:line="4"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Chairman of the Board of Directors and</w:t>
      </w:r>
    </w:p>
    <w:p>
      <w:pPr>
        <w:spacing w:after="0" w:line="1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Chief Executive Officer</w:t>
      </w:r>
    </w:p>
    <w:p>
      <w:pPr>
        <w:sectPr>
          <w:pgSz w:w="11900" w:h="16838" w:orient="portrait"/>
          <w:cols w:equalWidth="0" w:num="1">
            <w:col w:w="10219"/>
          </w:cols>
          <w:pgMar w:left="240" w:top="289" w:right="1440" w:bottom="1440" w:gutter="0" w:footer="0" w:header="0"/>
          <w:type w:val="continuous"/>
        </w:sectPr>
      </w:pPr>
    </w:p>
    <w:p>
      <w:pPr>
        <w:spacing w:after="0" w:line="348"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Pursuant to the requirements of the Securities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152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4740" w:type="dxa"/>
            <w:vAlign w:val="bottom"/>
          </w:tcPr>
          <w:p>
            <w:pPr>
              <w:ind w:left="120"/>
              <w:spacing w:after="0"/>
              <w:rPr>
                <w:sz w:val="20"/>
                <w:szCs w:val="20"/>
                <w:color w:val="auto"/>
              </w:rPr>
            </w:pPr>
            <w:r>
              <w:rPr>
                <w:rFonts w:ascii="Courier New" w:cs="Courier New" w:eastAsia="Courier New" w:hAnsi="Courier New"/>
                <w:sz w:val="15"/>
                <w:szCs w:val="15"/>
                <w:color w:val="auto"/>
              </w:rPr>
              <w:t>/s/ PETER W. BROWN</w:t>
            </w:r>
          </w:p>
        </w:tc>
        <w:tc>
          <w:tcPr>
            <w:tcW w:w="1160" w:type="dxa"/>
            <w:vAlign w:val="bottom"/>
          </w:tcPr>
          <w:p>
            <w:pPr>
              <w:ind w:left="580"/>
              <w:spacing w:after="0"/>
              <w:rPr>
                <w:sz w:val="20"/>
                <w:szCs w:val="20"/>
                <w:color w:val="auto"/>
              </w:rPr>
            </w:pPr>
            <w:r>
              <w:rPr>
                <w:rFonts w:ascii="Courier New" w:cs="Courier New" w:eastAsia="Courier New" w:hAnsi="Courier New"/>
                <w:sz w:val="15"/>
                <w:szCs w:val="15"/>
                <w:color w:val="auto"/>
              </w:rPr>
              <w:t>Date:</w:t>
            </w: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w w:val="98"/>
              </w:rPr>
              <w:t>February 21, 1996</w:t>
            </w:r>
          </w:p>
        </w:tc>
      </w:tr>
      <w:tr>
        <w:trPr>
          <w:trHeight w:val="172"/>
        </w:trPr>
        <w:tc>
          <w:tcPr>
            <w:tcW w:w="400" w:type="dxa"/>
            <w:vAlign w:val="bottom"/>
          </w:tcPr>
          <w:p>
            <w:pPr>
              <w:spacing w:after="0"/>
              <w:rPr>
                <w:sz w:val="14"/>
                <w:szCs w:val="14"/>
                <w:color w:val="auto"/>
              </w:rPr>
            </w:pPr>
          </w:p>
        </w:tc>
        <w:tc>
          <w:tcPr>
            <w:tcW w:w="47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400" w:type="dxa"/>
            <w:vAlign w:val="bottom"/>
          </w:tcPr>
          <w:p>
            <w:pPr>
              <w:spacing w:after="0"/>
              <w:rPr>
                <w:sz w:val="14"/>
                <w:szCs w:val="14"/>
                <w:color w:val="auto"/>
              </w:rPr>
            </w:pPr>
          </w:p>
        </w:tc>
        <w:tc>
          <w:tcPr>
            <w:tcW w:w="4740" w:type="dxa"/>
            <w:vAlign w:val="bottom"/>
          </w:tcPr>
          <w:p>
            <w:pPr>
              <w:ind w:left="120"/>
              <w:spacing w:after="0"/>
              <w:rPr>
                <w:sz w:val="20"/>
                <w:szCs w:val="20"/>
                <w:color w:val="auto"/>
              </w:rPr>
            </w:pPr>
            <w:r>
              <w:rPr>
                <w:rFonts w:ascii="Courier New" w:cs="Courier New" w:eastAsia="Courier New" w:hAnsi="Courier New"/>
                <w:sz w:val="15"/>
                <w:szCs w:val="15"/>
                <w:color w:val="auto"/>
              </w:rPr>
              <w:t>Peter W. Brown</w:t>
            </w:r>
          </w:p>
        </w:tc>
        <w:tc>
          <w:tcPr>
            <w:tcW w:w="11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400" w:type="dxa"/>
            <w:vAlign w:val="bottom"/>
          </w:tcPr>
          <w:p>
            <w:pPr>
              <w:spacing w:after="0"/>
              <w:rPr>
                <w:sz w:val="14"/>
                <w:szCs w:val="14"/>
                <w:color w:val="auto"/>
              </w:rPr>
            </w:pPr>
          </w:p>
        </w:tc>
        <w:tc>
          <w:tcPr>
            <w:tcW w:w="4740" w:type="dxa"/>
            <w:vAlign w:val="bottom"/>
          </w:tcPr>
          <w:p>
            <w:pPr>
              <w:ind w:left="120"/>
              <w:spacing w:after="0"/>
              <w:rPr>
                <w:sz w:val="20"/>
                <w:szCs w:val="20"/>
                <w:color w:val="auto"/>
              </w:rPr>
            </w:pPr>
            <w:r>
              <w:rPr>
                <w:rFonts w:ascii="Courier New" w:cs="Courier New" w:eastAsia="Courier New" w:hAnsi="Courier New"/>
                <w:sz w:val="15"/>
                <w:szCs w:val="15"/>
                <w:color w:val="auto"/>
              </w:rPr>
              <w:t>Director</w:t>
            </w:r>
          </w:p>
        </w:tc>
        <w:tc>
          <w:tcPr>
            <w:tcW w:w="11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516"/>
        </w:trPr>
        <w:tc>
          <w:tcPr>
            <w:tcW w:w="40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4740" w:type="dxa"/>
            <w:vAlign w:val="bottom"/>
          </w:tcPr>
          <w:p>
            <w:pPr>
              <w:ind w:left="120"/>
              <w:spacing w:after="0"/>
              <w:rPr>
                <w:sz w:val="20"/>
                <w:szCs w:val="20"/>
                <w:color w:val="auto"/>
              </w:rPr>
            </w:pPr>
            <w:r>
              <w:rPr>
                <w:rFonts w:ascii="Courier New" w:cs="Courier New" w:eastAsia="Courier New" w:hAnsi="Courier New"/>
                <w:sz w:val="15"/>
                <w:szCs w:val="15"/>
                <w:color w:val="auto"/>
              </w:rPr>
              <w:t>/s/ THOMAS E. CAPPS</w:t>
            </w:r>
          </w:p>
        </w:tc>
        <w:tc>
          <w:tcPr>
            <w:tcW w:w="1160" w:type="dxa"/>
            <w:vAlign w:val="bottom"/>
          </w:tcPr>
          <w:p>
            <w:pPr>
              <w:ind w:left="580"/>
              <w:spacing w:after="0"/>
              <w:rPr>
                <w:sz w:val="20"/>
                <w:szCs w:val="20"/>
                <w:color w:val="auto"/>
              </w:rPr>
            </w:pPr>
            <w:r>
              <w:rPr>
                <w:rFonts w:ascii="Courier New" w:cs="Courier New" w:eastAsia="Courier New" w:hAnsi="Courier New"/>
                <w:sz w:val="15"/>
                <w:szCs w:val="15"/>
                <w:color w:val="auto"/>
              </w:rPr>
              <w:t>Date:</w:t>
            </w: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w w:val="98"/>
              </w:rPr>
              <w:t>February 21, 1996</w:t>
            </w:r>
          </w:p>
        </w:tc>
      </w:tr>
      <w:tr>
        <w:trPr>
          <w:trHeight w:val="172"/>
        </w:trPr>
        <w:tc>
          <w:tcPr>
            <w:tcW w:w="400" w:type="dxa"/>
            <w:vAlign w:val="bottom"/>
          </w:tcPr>
          <w:p>
            <w:pPr>
              <w:spacing w:after="0"/>
              <w:rPr>
                <w:sz w:val="14"/>
                <w:szCs w:val="14"/>
                <w:color w:val="auto"/>
              </w:rPr>
            </w:pPr>
          </w:p>
        </w:tc>
        <w:tc>
          <w:tcPr>
            <w:tcW w:w="47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400" w:type="dxa"/>
            <w:vAlign w:val="bottom"/>
          </w:tcPr>
          <w:p>
            <w:pPr>
              <w:spacing w:after="0"/>
              <w:rPr>
                <w:sz w:val="14"/>
                <w:szCs w:val="14"/>
                <w:color w:val="auto"/>
              </w:rPr>
            </w:pPr>
          </w:p>
        </w:tc>
        <w:tc>
          <w:tcPr>
            <w:tcW w:w="4740" w:type="dxa"/>
            <w:vAlign w:val="bottom"/>
          </w:tcPr>
          <w:p>
            <w:pPr>
              <w:ind w:left="120"/>
              <w:spacing w:after="0"/>
              <w:rPr>
                <w:sz w:val="20"/>
                <w:szCs w:val="20"/>
                <w:color w:val="auto"/>
              </w:rPr>
            </w:pPr>
            <w:r>
              <w:rPr>
                <w:rFonts w:ascii="Courier New" w:cs="Courier New" w:eastAsia="Courier New" w:hAnsi="Courier New"/>
                <w:sz w:val="15"/>
                <w:szCs w:val="15"/>
                <w:color w:val="auto"/>
              </w:rPr>
              <w:t>Thomas E. Capps</w:t>
            </w:r>
          </w:p>
        </w:tc>
        <w:tc>
          <w:tcPr>
            <w:tcW w:w="11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400" w:type="dxa"/>
            <w:vAlign w:val="bottom"/>
          </w:tcPr>
          <w:p>
            <w:pPr>
              <w:spacing w:after="0"/>
              <w:rPr>
                <w:sz w:val="14"/>
                <w:szCs w:val="14"/>
                <w:color w:val="auto"/>
              </w:rPr>
            </w:pPr>
          </w:p>
        </w:tc>
        <w:tc>
          <w:tcPr>
            <w:tcW w:w="4740" w:type="dxa"/>
            <w:vAlign w:val="bottom"/>
          </w:tcPr>
          <w:p>
            <w:pPr>
              <w:ind w:left="120"/>
              <w:spacing w:after="0"/>
              <w:rPr>
                <w:sz w:val="20"/>
                <w:szCs w:val="20"/>
                <w:color w:val="auto"/>
              </w:rPr>
            </w:pPr>
            <w:r>
              <w:rPr>
                <w:rFonts w:ascii="Courier New" w:cs="Courier New" w:eastAsia="Courier New" w:hAnsi="Courier New"/>
                <w:sz w:val="15"/>
                <w:szCs w:val="15"/>
                <w:color w:val="auto"/>
              </w:rPr>
              <w:t>Director</w:t>
            </w:r>
          </w:p>
        </w:tc>
        <w:tc>
          <w:tcPr>
            <w:tcW w:w="11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516"/>
        </w:trPr>
        <w:tc>
          <w:tcPr>
            <w:tcW w:w="40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4740" w:type="dxa"/>
            <w:vAlign w:val="bottom"/>
          </w:tcPr>
          <w:p>
            <w:pPr>
              <w:ind w:left="120"/>
              <w:spacing w:after="0"/>
              <w:rPr>
                <w:sz w:val="20"/>
                <w:szCs w:val="20"/>
                <w:color w:val="auto"/>
              </w:rPr>
            </w:pPr>
            <w:r>
              <w:rPr>
                <w:rFonts w:ascii="Courier New" w:cs="Courier New" w:eastAsia="Courier New" w:hAnsi="Courier New"/>
                <w:sz w:val="15"/>
                <w:szCs w:val="15"/>
                <w:color w:val="auto"/>
              </w:rPr>
              <w:t>/s/ ALAN T. DICKSON</w:t>
            </w:r>
          </w:p>
        </w:tc>
        <w:tc>
          <w:tcPr>
            <w:tcW w:w="1160" w:type="dxa"/>
            <w:vAlign w:val="bottom"/>
          </w:tcPr>
          <w:p>
            <w:pPr>
              <w:ind w:left="580"/>
              <w:spacing w:after="0"/>
              <w:rPr>
                <w:sz w:val="20"/>
                <w:szCs w:val="20"/>
                <w:color w:val="auto"/>
              </w:rPr>
            </w:pPr>
            <w:r>
              <w:rPr>
                <w:rFonts w:ascii="Courier New" w:cs="Courier New" w:eastAsia="Courier New" w:hAnsi="Courier New"/>
                <w:sz w:val="15"/>
                <w:szCs w:val="15"/>
                <w:color w:val="auto"/>
              </w:rPr>
              <w:t>Date:</w:t>
            </w: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w w:val="98"/>
              </w:rPr>
              <w:t>February 21, 1996</w:t>
            </w:r>
          </w:p>
        </w:tc>
      </w:tr>
      <w:tr>
        <w:trPr>
          <w:trHeight w:val="172"/>
        </w:trPr>
        <w:tc>
          <w:tcPr>
            <w:tcW w:w="400" w:type="dxa"/>
            <w:vAlign w:val="bottom"/>
          </w:tcPr>
          <w:p>
            <w:pPr>
              <w:spacing w:after="0"/>
              <w:rPr>
                <w:sz w:val="14"/>
                <w:szCs w:val="14"/>
                <w:color w:val="auto"/>
              </w:rPr>
            </w:pPr>
          </w:p>
        </w:tc>
        <w:tc>
          <w:tcPr>
            <w:tcW w:w="47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400" w:type="dxa"/>
            <w:vAlign w:val="bottom"/>
          </w:tcPr>
          <w:p>
            <w:pPr>
              <w:spacing w:after="0"/>
              <w:rPr>
                <w:sz w:val="14"/>
                <w:szCs w:val="14"/>
                <w:color w:val="auto"/>
              </w:rPr>
            </w:pPr>
          </w:p>
        </w:tc>
        <w:tc>
          <w:tcPr>
            <w:tcW w:w="4740" w:type="dxa"/>
            <w:vAlign w:val="bottom"/>
          </w:tcPr>
          <w:p>
            <w:pPr>
              <w:ind w:left="120"/>
              <w:spacing w:after="0"/>
              <w:rPr>
                <w:sz w:val="20"/>
                <w:szCs w:val="20"/>
                <w:color w:val="auto"/>
              </w:rPr>
            </w:pPr>
            <w:r>
              <w:rPr>
                <w:rFonts w:ascii="Courier New" w:cs="Courier New" w:eastAsia="Courier New" w:hAnsi="Courier New"/>
                <w:sz w:val="15"/>
                <w:szCs w:val="15"/>
                <w:color w:val="auto"/>
              </w:rPr>
              <w:t>Alan T. Dickson</w:t>
            </w:r>
          </w:p>
        </w:tc>
        <w:tc>
          <w:tcPr>
            <w:tcW w:w="11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400" w:type="dxa"/>
            <w:vAlign w:val="bottom"/>
          </w:tcPr>
          <w:p>
            <w:pPr>
              <w:spacing w:after="0"/>
              <w:rPr>
                <w:sz w:val="14"/>
                <w:szCs w:val="14"/>
                <w:color w:val="auto"/>
              </w:rPr>
            </w:pPr>
          </w:p>
        </w:tc>
        <w:tc>
          <w:tcPr>
            <w:tcW w:w="4740" w:type="dxa"/>
            <w:vAlign w:val="bottom"/>
          </w:tcPr>
          <w:p>
            <w:pPr>
              <w:ind w:left="120"/>
              <w:spacing w:after="0"/>
              <w:rPr>
                <w:sz w:val="20"/>
                <w:szCs w:val="20"/>
                <w:color w:val="auto"/>
              </w:rPr>
            </w:pPr>
            <w:r>
              <w:rPr>
                <w:rFonts w:ascii="Courier New" w:cs="Courier New" w:eastAsia="Courier New" w:hAnsi="Courier New"/>
                <w:sz w:val="15"/>
                <w:szCs w:val="15"/>
                <w:color w:val="auto"/>
              </w:rPr>
              <w:t>Director</w:t>
            </w:r>
          </w:p>
        </w:tc>
        <w:tc>
          <w:tcPr>
            <w:tcW w:w="11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344"/>
        </w:trPr>
        <w:tc>
          <w:tcPr>
            <w:tcW w:w="40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4740" w:type="dxa"/>
            <w:vAlign w:val="bottom"/>
          </w:tcPr>
          <w:p>
            <w:pPr>
              <w:ind w:left="120"/>
              <w:spacing w:after="0"/>
              <w:rPr>
                <w:sz w:val="20"/>
                <w:szCs w:val="20"/>
                <w:color w:val="auto"/>
              </w:rPr>
            </w:pPr>
            <w:r>
              <w:rPr>
                <w:rFonts w:ascii="Courier New" w:cs="Courier New" w:eastAsia="Courier New" w:hAnsi="Courier New"/>
                <w:sz w:val="15"/>
                <w:szCs w:val="15"/>
                <w:color w:val="auto"/>
              </w:rPr>
              <w:t>/s/ PAUL FULTON</w:t>
            </w:r>
          </w:p>
        </w:tc>
        <w:tc>
          <w:tcPr>
            <w:tcW w:w="1160" w:type="dxa"/>
            <w:vAlign w:val="bottom"/>
          </w:tcPr>
          <w:p>
            <w:pPr>
              <w:ind w:left="580"/>
              <w:spacing w:after="0"/>
              <w:rPr>
                <w:sz w:val="20"/>
                <w:szCs w:val="20"/>
                <w:color w:val="auto"/>
              </w:rPr>
            </w:pPr>
            <w:r>
              <w:rPr>
                <w:rFonts w:ascii="Courier New" w:cs="Courier New" w:eastAsia="Courier New" w:hAnsi="Courier New"/>
                <w:sz w:val="15"/>
                <w:szCs w:val="15"/>
                <w:color w:val="auto"/>
              </w:rPr>
              <w:t>Date:</w:t>
            </w: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w w:val="98"/>
              </w:rPr>
              <w:t>February 21, 1996</w:t>
            </w:r>
          </w:p>
        </w:tc>
      </w:tr>
      <w:tr>
        <w:trPr>
          <w:trHeight w:val="172"/>
        </w:trPr>
        <w:tc>
          <w:tcPr>
            <w:tcW w:w="400" w:type="dxa"/>
            <w:vAlign w:val="bottom"/>
          </w:tcPr>
          <w:p>
            <w:pPr>
              <w:spacing w:after="0"/>
              <w:rPr>
                <w:sz w:val="14"/>
                <w:szCs w:val="14"/>
                <w:color w:val="auto"/>
              </w:rPr>
            </w:pPr>
          </w:p>
        </w:tc>
        <w:tc>
          <w:tcPr>
            <w:tcW w:w="47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400" w:type="dxa"/>
            <w:vAlign w:val="bottom"/>
          </w:tcPr>
          <w:p>
            <w:pPr>
              <w:spacing w:after="0"/>
              <w:rPr>
                <w:sz w:val="14"/>
                <w:szCs w:val="14"/>
                <w:color w:val="auto"/>
              </w:rPr>
            </w:pPr>
          </w:p>
        </w:tc>
        <w:tc>
          <w:tcPr>
            <w:tcW w:w="4740" w:type="dxa"/>
            <w:vAlign w:val="bottom"/>
          </w:tcPr>
          <w:p>
            <w:pPr>
              <w:ind w:left="120"/>
              <w:spacing w:after="0"/>
              <w:rPr>
                <w:sz w:val="20"/>
                <w:szCs w:val="20"/>
                <w:color w:val="auto"/>
              </w:rPr>
            </w:pPr>
            <w:r>
              <w:rPr>
                <w:rFonts w:ascii="Courier New" w:cs="Courier New" w:eastAsia="Courier New" w:hAnsi="Courier New"/>
                <w:sz w:val="15"/>
                <w:szCs w:val="15"/>
                <w:color w:val="auto"/>
              </w:rPr>
              <w:t>Paul Fulton</w:t>
            </w:r>
          </w:p>
        </w:tc>
        <w:tc>
          <w:tcPr>
            <w:tcW w:w="11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400" w:type="dxa"/>
            <w:vAlign w:val="bottom"/>
          </w:tcPr>
          <w:p>
            <w:pPr>
              <w:spacing w:after="0"/>
              <w:rPr>
                <w:sz w:val="14"/>
                <w:szCs w:val="14"/>
                <w:color w:val="auto"/>
              </w:rPr>
            </w:pPr>
          </w:p>
        </w:tc>
        <w:tc>
          <w:tcPr>
            <w:tcW w:w="4740" w:type="dxa"/>
            <w:vAlign w:val="bottom"/>
          </w:tcPr>
          <w:p>
            <w:pPr>
              <w:ind w:left="120"/>
              <w:spacing w:after="0"/>
              <w:rPr>
                <w:sz w:val="20"/>
                <w:szCs w:val="20"/>
                <w:color w:val="auto"/>
              </w:rPr>
            </w:pPr>
            <w:r>
              <w:rPr>
                <w:rFonts w:ascii="Courier New" w:cs="Courier New" w:eastAsia="Courier New" w:hAnsi="Courier New"/>
                <w:sz w:val="15"/>
                <w:szCs w:val="15"/>
                <w:color w:val="auto"/>
              </w:rPr>
              <w:t>Director</w:t>
            </w:r>
          </w:p>
        </w:tc>
        <w:tc>
          <w:tcPr>
            <w:tcW w:w="11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344"/>
        </w:trPr>
        <w:tc>
          <w:tcPr>
            <w:tcW w:w="40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4740" w:type="dxa"/>
            <w:vAlign w:val="bottom"/>
          </w:tcPr>
          <w:p>
            <w:pPr>
              <w:ind w:left="120"/>
              <w:spacing w:after="0"/>
              <w:rPr>
                <w:sz w:val="20"/>
                <w:szCs w:val="20"/>
                <w:color w:val="auto"/>
              </w:rPr>
            </w:pPr>
            <w:r>
              <w:rPr>
                <w:rFonts w:ascii="Courier New" w:cs="Courier New" w:eastAsia="Courier New" w:hAnsi="Courier New"/>
                <w:sz w:val="15"/>
                <w:szCs w:val="15"/>
                <w:color w:val="auto"/>
              </w:rPr>
              <w:t>/s/ WILLIAM H. GOODWIN, JR.</w:t>
            </w:r>
          </w:p>
        </w:tc>
        <w:tc>
          <w:tcPr>
            <w:tcW w:w="1160" w:type="dxa"/>
            <w:vAlign w:val="bottom"/>
          </w:tcPr>
          <w:p>
            <w:pPr>
              <w:ind w:left="580"/>
              <w:spacing w:after="0"/>
              <w:rPr>
                <w:sz w:val="20"/>
                <w:szCs w:val="20"/>
                <w:color w:val="auto"/>
              </w:rPr>
            </w:pPr>
            <w:r>
              <w:rPr>
                <w:rFonts w:ascii="Courier New" w:cs="Courier New" w:eastAsia="Courier New" w:hAnsi="Courier New"/>
                <w:sz w:val="15"/>
                <w:szCs w:val="15"/>
                <w:color w:val="auto"/>
              </w:rPr>
              <w:t>Date:</w:t>
            </w: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w w:val="98"/>
              </w:rPr>
              <w:t>February 21, 1996</w:t>
            </w:r>
          </w:p>
        </w:tc>
      </w:tr>
      <w:tr>
        <w:trPr>
          <w:trHeight w:val="172"/>
        </w:trPr>
        <w:tc>
          <w:tcPr>
            <w:tcW w:w="400" w:type="dxa"/>
            <w:vAlign w:val="bottom"/>
          </w:tcPr>
          <w:p>
            <w:pPr>
              <w:spacing w:after="0"/>
              <w:rPr>
                <w:sz w:val="14"/>
                <w:szCs w:val="14"/>
                <w:color w:val="auto"/>
              </w:rPr>
            </w:pPr>
          </w:p>
        </w:tc>
        <w:tc>
          <w:tcPr>
            <w:tcW w:w="47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400" w:type="dxa"/>
            <w:vAlign w:val="bottom"/>
          </w:tcPr>
          <w:p>
            <w:pPr>
              <w:spacing w:after="0"/>
              <w:rPr>
                <w:sz w:val="14"/>
                <w:szCs w:val="14"/>
                <w:color w:val="auto"/>
              </w:rPr>
            </w:pPr>
          </w:p>
        </w:tc>
        <w:tc>
          <w:tcPr>
            <w:tcW w:w="4740" w:type="dxa"/>
            <w:vAlign w:val="bottom"/>
          </w:tcPr>
          <w:p>
            <w:pPr>
              <w:ind w:left="120"/>
              <w:spacing w:after="0"/>
              <w:rPr>
                <w:sz w:val="20"/>
                <w:szCs w:val="20"/>
                <w:color w:val="auto"/>
              </w:rPr>
            </w:pPr>
            <w:r>
              <w:rPr>
                <w:rFonts w:ascii="Courier New" w:cs="Courier New" w:eastAsia="Courier New" w:hAnsi="Courier New"/>
                <w:sz w:val="15"/>
                <w:szCs w:val="15"/>
                <w:color w:val="auto"/>
              </w:rPr>
              <w:t>William H. Goodwin, Jr.</w:t>
            </w:r>
          </w:p>
        </w:tc>
        <w:tc>
          <w:tcPr>
            <w:tcW w:w="11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400" w:type="dxa"/>
            <w:vAlign w:val="bottom"/>
          </w:tcPr>
          <w:p>
            <w:pPr>
              <w:spacing w:after="0"/>
              <w:rPr>
                <w:sz w:val="14"/>
                <w:szCs w:val="14"/>
                <w:color w:val="auto"/>
              </w:rPr>
            </w:pPr>
          </w:p>
        </w:tc>
        <w:tc>
          <w:tcPr>
            <w:tcW w:w="4740" w:type="dxa"/>
            <w:vAlign w:val="bottom"/>
          </w:tcPr>
          <w:p>
            <w:pPr>
              <w:ind w:left="120"/>
              <w:spacing w:after="0"/>
              <w:rPr>
                <w:sz w:val="20"/>
                <w:szCs w:val="20"/>
                <w:color w:val="auto"/>
              </w:rPr>
            </w:pPr>
            <w:r>
              <w:rPr>
                <w:rFonts w:ascii="Courier New" w:cs="Courier New" w:eastAsia="Courier New" w:hAnsi="Courier New"/>
                <w:sz w:val="15"/>
                <w:szCs w:val="15"/>
                <w:color w:val="auto"/>
              </w:rPr>
              <w:t>Director</w:t>
            </w:r>
          </w:p>
        </w:tc>
        <w:tc>
          <w:tcPr>
            <w:tcW w:w="11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516"/>
        </w:trPr>
        <w:tc>
          <w:tcPr>
            <w:tcW w:w="40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4740" w:type="dxa"/>
            <w:vAlign w:val="bottom"/>
          </w:tcPr>
          <w:p>
            <w:pPr>
              <w:ind w:left="120"/>
              <w:spacing w:after="0"/>
              <w:rPr>
                <w:sz w:val="20"/>
                <w:szCs w:val="20"/>
                <w:color w:val="auto"/>
              </w:rPr>
            </w:pPr>
            <w:r>
              <w:rPr>
                <w:rFonts w:ascii="Courier New" w:cs="Courier New" w:eastAsia="Courier New" w:hAnsi="Courier New"/>
                <w:sz w:val="15"/>
                <w:szCs w:val="15"/>
                <w:color w:val="auto"/>
              </w:rPr>
              <w:t>/s/ GLENN A. HUNSUCKER</w:t>
            </w:r>
          </w:p>
        </w:tc>
        <w:tc>
          <w:tcPr>
            <w:tcW w:w="1160" w:type="dxa"/>
            <w:vAlign w:val="bottom"/>
          </w:tcPr>
          <w:p>
            <w:pPr>
              <w:ind w:left="580"/>
              <w:spacing w:after="0"/>
              <w:rPr>
                <w:sz w:val="20"/>
                <w:szCs w:val="20"/>
                <w:color w:val="auto"/>
              </w:rPr>
            </w:pPr>
            <w:r>
              <w:rPr>
                <w:rFonts w:ascii="Courier New" w:cs="Courier New" w:eastAsia="Courier New" w:hAnsi="Courier New"/>
                <w:sz w:val="15"/>
                <w:szCs w:val="15"/>
                <w:color w:val="auto"/>
              </w:rPr>
              <w:t>Date:</w:t>
            </w: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w w:val="98"/>
              </w:rPr>
              <w:t>February 21, 1996</w:t>
            </w:r>
          </w:p>
        </w:tc>
      </w:tr>
      <w:tr>
        <w:trPr>
          <w:trHeight w:val="172"/>
        </w:trPr>
        <w:tc>
          <w:tcPr>
            <w:tcW w:w="400" w:type="dxa"/>
            <w:vAlign w:val="bottom"/>
          </w:tcPr>
          <w:p>
            <w:pPr>
              <w:spacing w:after="0"/>
              <w:rPr>
                <w:sz w:val="14"/>
                <w:szCs w:val="14"/>
                <w:color w:val="auto"/>
              </w:rPr>
            </w:pPr>
          </w:p>
        </w:tc>
        <w:tc>
          <w:tcPr>
            <w:tcW w:w="47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400" w:type="dxa"/>
            <w:vAlign w:val="bottom"/>
          </w:tcPr>
          <w:p>
            <w:pPr>
              <w:spacing w:after="0"/>
              <w:rPr>
                <w:sz w:val="14"/>
                <w:szCs w:val="14"/>
                <w:color w:val="auto"/>
              </w:rPr>
            </w:pPr>
          </w:p>
        </w:tc>
        <w:tc>
          <w:tcPr>
            <w:tcW w:w="4740" w:type="dxa"/>
            <w:vAlign w:val="bottom"/>
          </w:tcPr>
          <w:p>
            <w:pPr>
              <w:ind w:left="120"/>
              <w:spacing w:after="0"/>
              <w:rPr>
                <w:sz w:val="20"/>
                <w:szCs w:val="20"/>
                <w:color w:val="auto"/>
              </w:rPr>
            </w:pPr>
            <w:r>
              <w:rPr>
                <w:rFonts w:ascii="Courier New" w:cs="Courier New" w:eastAsia="Courier New" w:hAnsi="Courier New"/>
                <w:sz w:val="15"/>
                <w:szCs w:val="15"/>
                <w:color w:val="auto"/>
              </w:rPr>
              <w:t>Glenn A. Hunsucker</w:t>
            </w:r>
          </w:p>
        </w:tc>
        <w:tc>
          <w:tcPr>
            <w:tcW w:w="11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400" w:type="dxa"/>
            <w:vAlign w:val="bottom"/>
          </w:tcPr>
          <w:p>
            <w:pPr>
              <w:spacing w:after="0"/>
              <w:rPr>
                <w:sz w:val="14"/>
                <w:szCs w:val="14"/>
                <w:color w:val="auto"/>
              </w:rPr>
            </w:pPr>
          </w:p>
        </w:tc>
        <w:tc>
          <w:tcPr>
            <w:tcW w:w="4740" w:type="dxa"/>
            <w:vAlign w:val="bottom"/>
          </w:tcPr>
          <w:p>
            <w:pPr>
              <w:ind w:left="120"/>
              <w:spacing w:after="0"/>
              <w:rPr>
                <w:sz w:val="20"/>
                <w:szCs w:val="20"/>
                <w:color w:val="auto"/>
              </w:rPr>
            </w:pPr>
            <w:r>
              <w:rPr>
                <w:rFonts w:ascii="Courier New" w:cs="Courier New" w:eastAsia="Courier New" w:hAnsi="Courier New"/>
                <w:sz w:val="15"/>
                <w:szCs w:val="15"/>
                <w:color w:val="auto"/>
              </w:rPr>
              <w:t>President and Chief Operating Officer</w:t>
            </w:r>
          </w:p>
        </w:tc>
        <w:tc>
          <w:tcPr>
            <w:tcW w:w="11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400" w:type="dxa"/>
            <w:vAlign w:val="bottom"/>
          </w:tcPr>
          <w:p>
            <w:pPr>
              <w:spacing w:after="0"/>
              <w:rPr>
                <w:sz w:val="14"/>
                <w:szCs w:val="14"/>
                <w:color w:val="auto"/>
              </w:rPr>
            </w:pPr>
          </w:p>
        </w:tc>
        <w:tc>
          <w:tcPr>
            <w:tcW w:w="4740" w:type="dxa"/>
            <w:vAlign w:val="bottom"/>
          </w:tcPr>
          <w:p>
            <w:pPr>
              <w:ind w:left="400"/>
              <w:spacing w:after="0"/>
              <w:rPr>
                <w:sz w:val="20"/>
                <w:szCs w:val="20"/>
                <w:color w:val="auto"/>
              </w:rPr>
            </w:pPr>
            <w:r>
              <w:rPr>
                <w:rFonts w:ascii="Courier New" w:cs="Courier New" w:eastAsia="Courier New" w:hAnsi="Courier New"/>
                <w:sz w:val="15"/>
                <w:szCs w:val="15"/>
                <w:color w:val="auto"/>
              </w:rPr>
              <w:t>and Director</w:t>
            </w:r>
          </w:p>
        </w:tc>
        <w:tc>
          <w:tcPr>
            <w:tcW w:w="11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516"/>
        </w:trPr>
        <w:tc>
          <w:tcPr>
            <w:tcW w:w="40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4740" w:type="dxa"/>
            <w:vAlign w:val="bottom"/>
          </w:tcPr>
          <w:p>
            <w:pPr>
              <w:ind w:left="120"/>
              <w:spacing w:after="0"/>
              <w:rPr>
                <w:sz w:val="20"/>
                <w:szCs w:val="20"/>
                <w:color w:val="auto"/>
              </w:rPr>
            </w:pPr>
            <w:r>
              <w:rPr>
                <w:rFonts w:ascii="Courier New" w:cs="Courier New" w:eastAsia="Courier New" w:hAnsi="Courier New"/>
                <w:sz w:val="15"/>
                <w:szCs w:val="15"/>
                <w:color w:val="auto"/>
              </w:rPr>
              <w:t>/s/ JAMES W. MCGLOTHLIN</w:t>
            </w:r>
          </w:p>
        </w:tc>
        <w:tc>
          <w:tcPr>
            <w:tcW w:w="1160" w:type="dxa"/>
            <w:vAlign w:val="bottom"/>
          </w:tcPr>
          <w:p>
            <w:pPr>
              <w:ind w:left="580"/>
              <w:spacing w:after="0"/>
              <w:rPr>
                <w:sz w:val="20"/>
                <w:szCs w:val="20"/>
                <w:color w:val="auto"/>
              </w:rPr>
            </w:pPr>
            <w:r>
              <w:rPr>
                <w:rFonts w:ascii="Courier New" w:cs="Courier New" w:eastAsia="Courier New" w:hAnsi="Courier New"/>
                <w:sz w:val="15"/>
                <w:szCs w:val="15"/>
                <w:color w:val="auto"/>
              </w:rPr>
              <w:t>Date:</w:t>
            </w: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w w:val="98"/>
              </w:rPr>
              <w:t>February 21, 1996</w:t>
            </w:r>
          </w:p>
        </w:tc>
      </w:tr>
      <w:tr>
        <w:trPr>
          <w:trHeight w:val="172"/>
        </w:trPr>
        <w:tc>
          <w:tcPr>
            <w:tcW w:w="400" w:type="dxa"/>
            <w:vAlign w:val="bottom"/>
          </w:tcPr>
          <w:p>
            <w:pPr>
              <w:spacing w:after="0"/>
              <w:rPr>
                <w:sz w:val="14"/>
                <w:szCs w:val="14"/>
                <w:color w:val="auto"/>
              </w:rPr>
            </w:pPr>
          </w:p>
        </w:tc>
        <w:tc>
          <w:tcPr>
            <w:tcW w:w="47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400" w:type="dxa"/>
            <w:vAlign w:val="bottom"/>
          </w:tcPr>
          <w:p>
            <w:pPr>
              <w:spacing w:after="0"/>
              <w:rPr>
                <w:sz w:val="14"/>
                <w:szCs w:val="14"/>
                <w:color w:val="auto"/>
              </w:rPr>
            </w:pPr>
          </w:p>
        </w:tc>
        <w:tc>
          <w:tcPr>
            <w:tcW w:w="4740" w:type="dxa"/>
            <w:vAlign w:val="bottom"/>
          </w:tcPr>
          <w:p>
            <w:pPr>
              <w:ind w:left="120"/>
              <w:spacing w:after="0"/>
              <w:rPr>
                <w:sz w:val="20"/>
                <w:szCs w:val="20"/>
                <w:color w:val="auto"/>
              </w:rPr>
            </w:pPr>
            <w:r>
              <w:rPr>
                <w:rFonts w:ascii="Courier New" w:cs="Courier New" w:eastAsia="Courier New" w:hAnsi="Courier New"/>
                <w:sz w:val="15"/>
                <w:szCs w:val="15"/>
                <w:color w:val="auto"/>
              </w:rPr>
              <w:t>James W. McGlothlin</w:t>
            </w:r>
          </w:p>
        </w:tc>
        <w:tc>
          <w:tcPr>
            <w:tcW w:w="11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400" w:type="dxa"/>
            <w:vAlign w:val="bottom"/>
          </w:tcPr>
          <w:p>
            <w:pPr>
              <w:spacing w:after="0"/>
              <w:rPr>
                <w:sz w:val="14"/>
                <w:szCs w:val="14"/>
                <w:color w:val="auto"/>
              </w:rPr>
            </w:pPr>
          </w:p>
        </w:tc>
        <w:tc>
          <w:tcPr>
            <w:tcW w:w="4740" w:type="dxa"/>
            <w:vAlign w:val="bottom"/>
          </w:tcPr>
          <w:p>
            <w:pPr>
              <w:ind w:left="120"/>
              <w:spacing w:after="0"/>
              <w:rPr>
                <w:sz w:val="20"/>
                <w:szCs w:val="20"/>
                <w:color w:val="auto"/>
              </w:rPr>
            </w:pPr>
            <w:r>
              <w:rPr>
                <w:rFonts w:ascii="Courier New" w:cs="Courier New" w:eastAsia="Courier New" w:hAnsi="Courier New"/>
                <w:sz w:val="15"/>
                <w:szCs w:val="15"/>
                <w:color w:val="auto"/>
              </w:rPr>
              <w:t>Director</w:t>
            </w:r>
          </w:p>
        </w:tc>
        <w:tc>
          <w:tcPr>
            <w:tcW w:w="1160" w:type="dxa"/>
            <w:vAlign w:val="bottom"/>
          </w:tcPr>
          <w:p>
            <w:pPr>
              <w:spacing w:after="0"/>
              <w:rPr>
                <w:sz w:val="14"/>
                <w:szCs w:val="14"/>
                <w:color w:val="auto"/>
              </w:rPr>
            </w:pPr>
          </w:p>
        </w:tc>
        <w:tc>
          <w:tcPr>
            <w:tcW w:w="1660" w:type="dxa"/>
            <w:vAlign w:val="bottom"/>
          </w:tcPr>
          <w:p>
            <w:pPr>
              <w:spacing w:after="0"/>
              <w:rPr>
                <w:sz w:val="14"/>
                <w:szCs w:val="14"/>
                <w:color w:val="auto"/>
              </w:rPr>
            </w:pPr>
          </w:p>
        </w:tc>
      </w:tr>
    </w:tbl>
    <w:p>
      <w:pPr>
        <w:sectPr>
          <w:pgSz w:w="11900" w:h="16838" w:orient="portrait"/>
          <w:cols w:equalWidth="0" w:num="1">
            <w:col w:w="10219"/>
          </w:cols>
          <w:pgMar w:left="240" w:top="289" w:right="1440" w:bottom="1440" w:gutter="0" w:footer="0" w:header="0"/>
          <w:type w:val="continuous"/>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11</w:t>
      </w:r>
    </w:p>
    <w:p>
      <w:pPr>
        <w:spacing w:after="0" w:line="2"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Page 11 of 23</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SIGNATURES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26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4740" w:type="dxa"/>
            <w:vAlign w:val="bottom"/>
          </w:tcPr>
          <w:p>
            <w:pPr>
              <w:ind w:left="120"/>
              <w:spacing w:after="0"/>
              <w:rPr>
                <w:sz w:val="20"/>
                <w:szCs w:val="20"/>
                <w:color w:val="auto"/>
              </w:rPr>
            </w:pPr>
            <w:r>
              <w:rPr>
                <w:rFonts w:ascii="Courier New" w:cs="Courier New" w:eastAsia="Courier New" w:hAnsi="Courier New"/>
                <w:sz w:val="15"/>
                <w:szCs w:val="15"/>
                <w:color w:val="auto"/>
              </w:rPr>
              <w:t>/s/ THOMAS W. MOSS, JR.</w:t>
            </w:r>
          </w:p>
        </w:tc>
        <w:tc>
          <w:tcPr>
            <w:tcW w:w="1160" w:type="dxa"/>
            <w:vAlign w:val="bottom"/>
          </w:tcPr>
          <w:p>
            <w:pPr>
              <w:ind w:left="580"/>
              <w:spacing w:after="0"/>
              <w:rPr>
                <w:sz w:val="20"/>
                <w:szCs w:val="20"/>
                <w:color w:val="auto"/>
              </w:rPr>
            </w:pPr>
            <w:r>
              <w:rPr>
                <w:rFonts w:ascii="Courier New" w:cs="Courier New" w:eastAsia="Courier New" w:hAnsi="Courier New"/>
                <w:sz w:val="15"/>
                <w:szCs w:val="15"/>
                <w:color w:val="auto"/>
              </w:rPr>
              <w:t>Date:</w:t>
            </w: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w w:val="98"/>
              </w:rPr>
              <w:t>February 21, 1996</w:t>
            </w:r>
          </w:p>
        </w:tc>
      </w:tr>
      <w:tr>
        <w:trPr>
          <w:trHeight w:val="172"/>
        </w:trPr>
        <w:tc>
          <w:tcPr>
            <w:tcW w:w="400" w:type="dxa"/>
            <w:vAlign w:val="bottom"/>
          </w:tcPr>
          <w:p>
            <w:pPr>
              <w:spacing w:after="0"/>
              <w:rPr>
                <w:sz w:val="14"/>
                <w:szCs w:val="14"/>
                <w:color w:val="auto"/>
              </w:rPr>
            </w:pPr>
          </w:p>
        </w:tc>
        <w:tc>
          <w:tcPr>
            <w:tcW w:w="47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400" w:type="dxa"/>
            <w:vAlign w:val="bottom"/>
          </w:tcPr>
          <w:p>
            <w:pPr>
              <w:spacing w:after="0"/>
              <w:rPr>
                <w:sz w:val="14"/>
                <w:szCs w:val="14"/>
                <w:color w:val="auto"/>
              </w:rPr>
            </w:pPr>
          </w:p>
        </w:tc>
        <w:tc>
          <w:tcPr>
            <w:tcW w:w="4740" w:type="dxa"/>
            <w:vAlign w:val="bottom"/>
          </w:tcPr>
          <w:p>
            <w:pPr>
              <w:ind w:left="120"/>
              <w:spacing w:after="0"/>
              <w:rPr>
                <w:sz w:val="20"/>
                <w:szCs w:val="20"/>
                <w:color w:val="auto"/>
              </w:rPr>
            </w:pPr>
            <w:r>
              <w:rPr>
                <w:rFonts w:ascii="Courier New" w:cs="Courier New" w:eastAsia="Courier New" w:hAnsi="Courier New"/>
                <w:sz w:val="15"/>
                <w:szCs w:val="15"/>
                <w:color w:val="auto"/>
              </w:rPr>
              <w:t>Thomas W. Moss, Jr.</w:t>
            </w:r>
          </w:p>
        </w:tc>
        <w:tc>
          <w:tcPr>
            <w:tcW w:w="11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400" w:type="dxa"/>
            <w:vAlign w:val="bottom"/>
          </w:tcPr>
          <w:p>
            <w:pPr>
              <w:spacing w:after="0"/>
              <w:rPr>
                <w:sz w:val="14"/>
                <w:szCs w:val="14"/>
                <w:color w:val="auto"/>
              </w:rPr>
            </w:pPr>
          </w:p>
        </w:tc>
        <w:tc>
          <w:tcPr>
            <w:tcW w:w="4740" w:type="dxa"/>
            <w:vAlign w:val="bottom"/>
          </w:tcPr>
          <w:p>
            <w:pPr>
              <w:ind w:left="120"/>
              <w:spacing w:after="0"/>
              <w:rPr>
                <w:sz w:val="20"/>
                <w:szCs w:val="20"/>
                <w:color w:val="auto"/>
              </w:rPr>
            </w:pPr>
            <w:r>
              <w:rPr>
                <w:rFonts w:ascii="Courier New" w:cs="Courier New" w:eastAsia="Courier New" w:hAnsi="Courier New"/>
                <w:sz w:val="15"/>
                <w:szCs w:val="15"/>
                <w:color w:val="auto"/>
              </w:rPr>
              <w:t>Director</w:t>
            </w:r>
          </w:p>
        </w:tc>
        <w:tc>
          <w:tcPr>
            <w:tcW w:w="11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516"/>
        </w:trPr>
        <w:tc>
          <w:tcPr>
            <w:tcW w:w="40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4740" w:type="dxa"/>
            <w:vAlign w:val="bottom"/>
          </w:tcPr>
          <w:p>
            <w:pPr>
              <w:ind w:left="120"/>
              <w:spacing w:after="0"/>
              <w:rPr>
                <w:sz w:val="20"/>
                <w:szCs w:val="20"/>
                <w:color w:val="auto"/>
              </w:rPr>
            </w:pPr>
            <w:r>
              <w:rPr>
                <w:rFonts w:ascii="Courier New" w:cs="Courier New" w:eastAsia="Courier New" w:hAnsi="Courier New"/>
                <w:sz w:val="15"/>
                <w:szCs w:val="15"/>
                <w:color w:val="auto"/>
              </w:rPr>
              <w:t>/s/ ALBERT F. SLOAN</w:t>
            </w:r>
          </w:p>
        </w:tc>
        <w:tc>
          <w:tcPr>
            <w:tcW w:w="1160" w:type="dxa"/>
            <w:vAlign w:val="bottom"/>
          </w:tcPr>
          <w:p>
            <w:pPr>
              <w:ind w:left="580"/>
              <w:spacing w:after="0"/>
              <w:rPr>
                <w:sz w:val="20"/>
                <w:szCs w:val="20"/>
                <w:color w:val="auto"/>
              </w:rPr>
            </w:pPr>
            <w:r>
              <w:rPr>
                <w:rFonts w:ascii="Courier New" w:cs="Courier New" w:eastAsia="Courier New" w:hAnsi="Courier New"/>
                <w:sz w:val="15"/>
                <w:szCs w:val="15"/>
                <w:color w:val="auto"/>
              </w:rPr>
              <w:t>Date:</w:t>
            </w: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w w:val="98"/>
              </w:rPr>
              <w:t>February 21, 1996</w:t>
            </w:r>
          </w:p>
        </w:tc>
      </w:tr>
      <w:tr>
        <w:trPr>
          <w:trHeight w:val="172"/>
        </w:trPr>
        <w:tc>
          <w:tcPr>
            <w:tcW w:w="400" w:type="dxa"/>
            <w:vAlign w:val="bottom"/>
          </w:tcPr>
          <w:p>
            <w:pPr>
              <w:spacing w:after="0"/>
              <w:rPr>
                <w:sz w:val="14"/>
                <w:szCs w:val="14"/>
                <w:color w:val="auto"/>
              </w:rPr>
            </w:pPr>
          </w:p>
        </w:tc>
        <w:tc>
          <w:tcPr>
            <w:tcW w:w="47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400" w:type="dxa"/>
            <w:vAlign w:val="bottom"/>
          </w:tcPr>
          <w:p>
            <w:pPr>
              <w:spacing w:after="0"/>
              <w:rPr>
                <w:sz w:val="14"/>
                <w:szCs w:val="14"/>
                <w:color w:val="auto"/>
              </w:rPr>
            </w:pPr>
          </w:p>
        </w:tc>
        <w:tc>
          <w:tcPr>
            <w:tcW w:w="4740" w:type="dxa"/>
            <w:vAlign w:val="bottom"/>
          </w:tcPr>
          <w:p>
            <w:pPr>
              <w:ind w:left="120"/>
              <w:spacing w:after="0"/>
              <w:rPr>
                <w:sz w:val="20"/>
                <w:szCs w:val="20"/>
                <w:color w:val="auto"/>
              </w:rPr>
            </w:pPr>
            <w:r>
              <w:rPr>
                <w:rFonts w:ascii="Courier New" w:cs="Courier New" w:eastAsia="Courier New" w:hAnsi="Courier New"/>
                <w:sz w:val="15"/>
                <w:szCs w:val="15"/>
                <w:color w:val="auto"/>
              </w:rPr>
              <w:t>Albert F. Sloan</w:t>
            </w:r>
          </w:p>
        </w:tc>
        <w:tc>
          <w:tcPr>
            <w:tcW w:w="11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400" w:type="dxa"/>
            <w:vAlign w:val="bottom"/>
          </w:tcPr>
          <w:p>
            <w:pPr>
              <w:spacing w:after="0"/>
              <w:rPr>
                <w:sz w:val="14"/>
                <w:szCs w:val="14"/>
                <w:color w:val="auto"/>
              </w:rPr>
            </w:pPr>
          </w:p>
        </w:tc>
        <w:tc>
          <w:tcPr>
            <w:tcW w:w="4740" w:type="dxa"/>
            <w:vAlign w:val="bottom"/>
          </w:tcPr>
          <w:p>
            <w:pPr>
              <w:ind w:left="120"/>
              <w:spacing w:after="0"/>
              <w:rPr>
                <w:sz w:val="20"/>
                <w:szCs w:val="20"/>
                <w:color w:val="auto"/>
              </w:rPr>
            </w:pPr>
            <w:r>
              <w:rPr>
                <w:rFonts w:ascii="Courier New" w:cs="Courier New" w:eastAsia="Courier New" w:hAnsi="Courier New"/>
                <w:sz w:val="15"/>
                <w:szCs w:val="15"/>
                <w:color w:val="auto"/>
              </w:rPr>
              <w:t>Director</w:t>
            </w:r>
          </w:p>
        </w:tc>
        <w:tc>
          <w:tcPr>
            <w:tcW w:w="11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516"/>
        </w:trPr>
        <w:tc>
          <w:tcPr>
            <w:tcW w:w="40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4740" w:type="dxa"/>
            <w:vAlign w:val="bottom"/>
          </w:tcPr>
          <w:p>
            <w:pPr>
              <w:ind w:left="120"/>
              <w:spacing w:after="0"/>
              <w:rPr>
                <w:sz w:val="20"/>
                <w:szCs w:val="20"/>
                <w:color w:val="auto"/>
              </w:rPr>
            </w:pPr>
            <w:r>
              <w:rPr>
                <w:rFonts w:ascii="Courier New" w:cs="Courier New" w:eastAsia="Courier New" w:hAnsi="Courier New"/>
                <w:sz w:val="15"/>
                <w:szCs w:val="15"/>
                <w:color w:val="auto"/>
              </w:rPr>
              <w:t>/s/ JOHN W. SNOW</w:t>
            </w:r>
          </w:p>
        </w:tc>
        <w:tc>
          <w:tcPr>
            <w:tcW w:w="1160" w:type="dxa"/>
            <w:vAlign w:val="bottom"/>
          </w:tcPr>
          <w:p>
            <w:pPr>
              <w:ind w:left="580"/>
              <w:spacing w:after="0"/>
              <w:rPr>
                <w:sz w:val="20"/>
                <w:szCs w:val="20"/>
                <w:color w:val="auto"/>
              </w:rPr>
            </w:pPr>
            <w:r>
              <w:rPr>
                <w:rFonts w:ascii="Courier New" w:cs="Courier New" w:eastAsia="Courier New" w:hAnsi="Courier New"/>
                <w:sz w:val="15"/>
                <w:szCs w:val="15"/>
                <w:color w:val="auto"/>
              </w:rPr>
              <w:t>Date:</w:t>
            </w: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w w:val="98"/>
              </w:rPr>
              <w:t>February 21, 1996</w:t>
            </w:r>
          </w:p>
        </w:tc>
      </w:tr>
      <w:tr>
        <w:trPr>
          <w:trHeight w:val="172"/>
        </w:trPr>
        <w:tc>
          <w:tcPr>
            <w:tcW w:w="400" w:type="dxa"/>
            <w:vAlign w:val="bottom"/>
          </w:tcPr>
          <w:p>
            <w:pPr>
              <w:spacing w:after="0"/>
              <w:rPr>
                <w:sz w:val="14"/>
                <w:szCs w:val="14"/>
                <w:color w:val="auto"/>
              </w:rPr>
            </w:pPr>
          </w:p>
        </w:tc>
        <w:tc>
          <w:tcPr>
            <w:tcW w:w="47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400" w:type="dxa"/>
            <w:vAlign w:val="bottom"/>
          </w:tcPr>
          <w:p>
            <w:pPr>
              <w:spacing w:after="0"/>
              <w:rPr>
                <w:sz w:val="14"/>
                <w:szCs w:val="14"/>
                <w:color w:val="auto"/>
              </w:rPr>
            </w:pPr>
          </w:p>
        </w:tc>
        <w:tc>
          <w:tcPr>
            <w:tcW w:w="4740" w:type="dxa"/>
            <w:vAlign w:val="bottom"/>
          </w:tcPr>
          <w:p>
            <w:pPr>
              <w:ind w:left="120"/>
              <w:spacing w:after="0"/>
              <w:rPr>
                <w:sz w:val="20"/>
                <w:szCs w:val="20"/>
                <w:color w:val="auto"/>
              </w:rPr>
            </w:pPr>
            <w:r>
              <w:rPr>
                <w:rFonts w:ascii="Courier New" w:cs="Courier New" w:eastAsia="Courier New" w:hAnsi="Courier New"/>
                <w:sz w:val="15"/>
                <w:szCs w:val="15"/>
                <w:color w:val="auto"/>
              </w:rPr>
              <w:t>John W. Snow</w:t>
            </w:r>
          </w:p>
        </w:tc>
        <w:tc>
          <w:tcPr>
            <w:tcW w:w="11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400" w:type="dxa"/>
            <w:vAlign w:val="bottom"/>
          </w:tcPr>
          <w:p>
            <w:pPr>
              <w:spacing w:after="0"/>
              <w:rPr>
                <w:sz w:val="14"/>
                <w:szCs w:val="14"/>
                <w:color w:val="auto"/>
              </w:rPr>
            </w:pPr>
          </w:p>
        </w:tc>
        <w:tc>
          <w:tcPr>
            <w:tcW w:w="4740" w:type="dxa"/>
            <w:vAlign w:val="bottom"/>
          </w:tcPr>
          <w:p>
            <w:pPr>
              <w:ind w:left="120"/>
              <w:spacing w:after="0"/>
              <w:rPr>
                <w:sz w:val="20"/>
                <w:szCs w:val="20"/>
                <w:color w:val="auto"/>
              </w:rPr>
            </w:pPr>
            <w:r>
              <w:rPr>
                <w:rFonts w:ascii="Courier New" w:cs="Courier New" w:eastAsia="Courier New" w:hAnsi="Courier New"/>
                <w:sz w:val="15"/>
                <w:szCs w:val="15"/>
                <w:color w:val="auto"/>
              </w:rPr>
              <w:t>Director</w:t>
            </w:r>
          </w:p>
        </w:tc>
        <w:tc>
          <w:tcPr>
            <w:tcW w:w="11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516"/>
        </w:trPr>
        <w:tc>
          <w:tcPr>
            <w:tcW w:w="40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4740" w:type="dxa"/>
            <w:vAlign w:val="bottom"/>
          </w:tcPr>
          <w:p>
            <w:pPr>
              <w:ind w:left="120"/>
              <w:spacing w:after="0"/>
              <w:rPr>
                <w:sz w:val="20"/>
                <w:szCs w:val="20"/>
                <w:color w:val="auto"/>
              </w:rPr>
            </w:pPr>
            <w:r>
              <w:rPr>
                <w:rFonts w:ascii="Courier New" w:cs="Courier New" w:eastAsia="Courier New" w:hAnsi="Courier New"/>
                <w:sz w:val="15"/>
                <w:szCs w:val="15"/>
                <w:color w:val="auto"/>
              </w:rPr>
              <w:t>/s/ PHILIP E. BOOKER</w:t>
            </w:r>
          </w:p>
        </w:tc>
        <w:tc>
          <w:tcPr>
            <w:tcW w:w="1160" w:type="dxa"/>
            <w:vAlign w:val="bottom"/>
          </w:tcPr>
          <w:p>
            <w:pPr>
              <w:ind w:left="580"/>
              <w:spacing w:after="0"/>
              <w:rPr>
                <w:sz w:val="20"/>
                <w:szCs w:val="20"/>
                <w:color w:val="auto"/>
              </w:rPr>
            </w:pPr>
            <w:r>
              <w:rPr>
                <w:rFonts w:ascii="Courier New" w:cs="Courier New" w:eastAsia="Courier New" w:hAnsi="Courier New"/>
                <w:sz w:val="15"/>
                <w:szCs w:val="15"/>
                <w:color w:val="auto"/>
              </w:rPr>
              <w:t>Date:</w:t>
            </w: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w w:val="98"/>
              </w:rPr>
              <w:t>February 21, 1996</w:t>
            </w:r>
          </w:p>
        </w:tc>
      </w:tr>
      <w:tr>
        <w:trPr>
          <w:trHeight w:val="172"/>
        </w:trPr>
        <w:tc>
          <w:tcPr>
            <w:tcW w:w="400" w:type="dxa"/>
            <w:vAlign w:val="bottom"/>
          </w:tcPr>
          <w:p>
            <w:pPr>
              <w:spacing w:after="0"/>
              <w:rPr>
                <w:sz w:val="14"/>
                <w:szCs w:val="14"/>
                <w:color w:val="auto"/>
              </w:rPr>
            </w:pPr>
          </w:p>
        </w:tc>
        <w:tc>
          <w:tcPr>
            <w:tcW w:w="47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400" w:type="dxa"/>
            <w:vAlign w:val="bottom"/>
          </w:tcPr>
          <w:p>
            <w:pPr>
              <w:spacing w:after="0"/>
              <w:rPr>
                <w:sz w:val="14"/>
                <w:szCs w:val="14"/>
                <w:color w:val="auto"/>
              </w:rPr>
            </w:pPr>
          </w:p>
        </w:tc>
        <w:tc>
          <w:tcPr>
            <w:tcW w:w="4740" w:type="dxa"/>
            <w:vAlign w:val="bottom"/>
          </w:tcPr>
          <w:p>
            <w:pPr>
              <w:ind w:left="120"/>
              <w:spacing w:after="0"/>
              <w:rPr>
                <w:sz w:val="20"/>
                <w:szCs w:val="20"/>
                <w:color w:val="auto"/>
              </w:rPr>
            </w:pPr>
            <w:r>
              <w:rPr>
                <w:rFonts w:ascii="Courier New" w:cs="Courier New" w:eastAsia="Courier New" w:hAnsi="Courier New"/>
                <w:sz w:val="15"/>
                <w:szCs w:val="15"/>
                <w:color w:val="auto"/>
              </w:rPr>
              <w:t>Philip E. Booker</w:t>
            </w:r>
          </w:p>
        </w:tc>
        <w:tc>
          <w:tcPr>
            <w:tcW w:w="11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400" w:type="dxa"/>
            <w:vAlign w:val="bottom"/>
          </w:tcPr>
          <w:p>
            <w:pPr>
              <w:spacing w:after="0"/>
              <w:rPr>
                <w:sz w:val="14"/>
                <w:szCs w:val="14"/>
                <w:color w:val="auto"/>
              </w:rPr>
            </w:pPr>
          </w:p>
        </w:tc>
        <w:tc>
          <w:tcPr>
            <w:tcW w:w="4740" w:type="dxa"/>
            <w:vAlign w:val="bottom"/>
          </w:tcPr>
          <w:p>
            <w:pPr>
              <w:ind w:left="120"/>
              <w:spacing w:after="0"/>
              <w:rPr>
                <w:sz w:val="20"/>
                <w:szCs w:val="20"/>
                <w:color w:val="auto"/>
              </w:rPr>
            </w:pPr>
            <w:r>
              <w:rPr>
                <w:rFonts w:ascii="Courier New" w:cs="Courier New" w:eastAsia="Courier New" w:hAnsi="Courier New"/>
                <w:sz w:val="15"/>
                <w:szCs w:val="15"/>
                <w:color w:val="auto"/>
              </w:rPr>
              <w:t>Vice President and Controller</w:t>
            </w:r>
          </w:p>
        </w:tc>
        <w:tc>
          <w:tcPr>
            <w:tcW w:w="1160" w:type="dxa"/>
            <w:vAlign w:val="bottom"/>
          </w:tcPr>
          <w:p>
            <w:pPr>
              <w:spacing w:after="0"/>
              <w:rPr>
                <w:sz w:val="14"/>
                <w:szCs w:val="14"/>
                <w:color w:val="auto"/>
              </w:rPr>
            </w:pPr>
          </w:p>
        </w:tc>
        <w:tc>
          <w:tcPr>
            <w:tcW w:w="1660" w:type="dxa"/>
            <w:vAlign w:val="bottom"/>
          </w:tcPr>
          <w:p>
            <w:pPr>
              <w:spacing w:after="0"/>
              <w:rPr>
                <w:sz w:val="14"/>
                <w:szCs w:val="14"/>
                <w:color w:val="auto"/>
              </w:rPr>
            </w:pPr>
          </w:p>
        </w:tc>
      </w:tr>
    </w:tbl>
    <w:p>
      <w:pPr>
        <w:sectPr>
          <w:pgSz w:w="11900" w:h="16838" w:orient="portrait"/>
          <w:cols w:equalWidth="0" w:num="1">
            <w:col w:w="9959"/>
          </w:cols>
          <w:pgMar w:left="500" w:top="289"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12</w:t>
      </w:r>
    </w:p>
    <w:p>
      <w:pPr>
        <w:spacing w:after="0" w:line="4" w:lineRule="exact"/>
        <w:rPr>
          <w:sz w:val="20"/>
          <w:szCs w:val="20"/>
          <w:color w:val="auto"/>
        </w:rPr>
      </w:pPr>
    </w:p>
    <w:p>
      <w:pPr>
        <w:ind w:left="5720"/>
        <w:spacing w:after="0"/>
        <w:rPr>
          <w:sz w:val="20"/>
          <w:szCs w:val="20"/>
          <w:color w:val="auto"/>
        </w:rPr>
      </w:pPr>
      <w:r>
        <w:rPr>
          <w:rFonts w:ascii="Courier New" w:cs="Courier New" w:eastAsia="Courier New" w:hAnsi="Courier New"/>
          <w:sz w:val="14"/>
          <w:szCs w:val="14"/>
          <w:color w:val="auto"/>
        </w:rPr>
        <w:t>Page 12 of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Index to Exhibits</w:t>
      </w:r>
    </w:p>
    <w:p>
      <w:pPr>
        <w:sectPr>
          <w:pgSz w:w="11900" w:h="16838" w:orient="portrait"/>
          <w:cols w:equalWidth="0" w:num="1">
            <w:col w:w="9959"/>
          </w:cols>
          <w:pgMar w:left="500" w:top="289" w:right="1440" w:bottom="1440" w:gutter="0" w:footer="0" w:header="0"/>
        </w:sectPr>
      </w:pPr>
    </w:p>
    <w:p>
      <w:pPr>
        <w:spacing w:after="0" w:line="200" w:lineRule="exact"/>
        <w:rPr>
          <w:sz w:val="20"/>
          <w:szCs w:val="20"/>
          <w:color w:val="auto"/>
        </w:rPr>
      </w:pPr>
    </w:p>
    <w:p>
      <w:pPr>
        <w:spacing w:after="0" w:line="32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Exhibit</w:t>
      </w:r>
    </w:p>
    <w:p>
      <w:pPr>
        <w:spacing w:after="0" w:line="1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No.</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No.</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9" w:lineRule="exact"/>
        <w:rPr>
          <w:sz w:val="20"/>
          <w:szCs w:val="20"/>
          <w:color w:val="auto"/>
        </w:rPr>
      </w:pPr>
    </w:p>
    <w:p>
      <w:pPr>
        <w:sectPr>
          <w:pgSz w:w="11900" w:h="16838" w:orient="portrait"/>
          <w:cols w:equalWidth="0" w:num="2">
            <w:col w:w="7600" w:space="720"/>
            <w:col w:w="1639"/>
          </w:cols>
          <w:pgMar w:left="500" w:top="289" w:right="1440" w:bottom="1440" w:gutter="0" w:footer="0" w:header="0"/>
          <w:type w:val="continuous"/>
        </w:sectPr>
      </w:pPr>
    </w:p>
    <w:p>
      <w:pPr>
        <w:spacing w:after="0" w:line="14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right="1500"/>
        <w:spacing w:after="0" w:line="241" w:lineRule="auto"/>
        <w:rPr>
          <w:sz w:val="20"/>
          <w:szCs w:val="20"/>
          <w:color w:val="auto"/>
        </w:rPr>
      </w:pPr>
      <w:r>
        <w:rPr>
          <w:rFonts w:ascii="Courier New" w:cs="Courier New" w:eastAsia="Courier New" w:hAnsi="Courier New"/>
          <w:sz w:val="15"/>
          <w:szCs w:val="15"/>
          <w:color w:val="auto"/>
        </w:rPr>
        <w:t>Articles of Incorporation as amended and Bylaws - incorporated by reference to Form 10-Q for the fiscal quarter ended February 28, 1994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w:t>
      </w:r>
    </w:p>
    <w:p>
      <w:pPr>
        <w:spacing w:after="0" w:line="174" w:lineRule="exact"/>
        <w:rPr>
          <w:sz w:val="20"/>
          <w:szCs w:val="20"/>
          <w:color w:val="auto"/>
        </w:rPr>
      </w:pPr>
    </w:p>
    <w:p>
      <w:pPr>
        <w:sectPr>
          <w:pgSz w:w="11900" w:h="16838" w:orient="portrait"/>
          <w:cols w:equalWidth="0" w:num="3">
            <w:col w:w="900" w:space="720"/>
            <w:col w:w="6240" w:space="720"/>
            <w:col w:w="1379"/>
          </w:cols>
          <w:pgMar w:left="500" w:top="289" w:right="1440" w:bottom="1440" w:gutter="0" w:footer="0" w:header="0"/>
          <w:type w:val="continuous"/>
        </w:sectPr>
      </w:pPr>
    </w:p>
    <w:p>
      <w:pPr>
        <w:ind w:left="1620" w:hanging="1262"/>
        <w:spacing w:after="0"/>
        <w:tabs>
          <w:tab w:leader="none" w:pos="1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Bassett Furniture Industries, Inc. Annual Report to</w:t>
      </w:r>
    </w:p>
    <w:p>
      <w:pPr>
        <w:spacing w:after="0" w:line="2"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760" w:type="dxa"/>
            <w:vAlign w:val="bottom"/>
          </w:tcPr>
          <w:p>
            <w:pPr>
              <w:spacing w:after="0"/>
              <w:rPr>
                <w:sz w:val="14"/>
                <w:szCs w:val="14"/>
                <w:color w:val="auto"/>
              </w:rPr>
            </w:pPr>
          </w:p>
        </w:tc>
        <w:tc>
          <w:tcPr>
            <w:tcW w:w="6080" w:type="dxa"/>
            <w:vAlign w:val="bottom"/>
          </w:tcPr>
          <w:p>
            <w:pPr>
              <w:ind w:left="500"/>
              <w:spacing w:after="0"/>
              <w:rPr>
                <w:sz w:val="20"/>
                <w:szCs w:val="20"/>
                <w:color w:val="auto"/>
              </w:rPr>
            </w:pPr>
            <w:r>
              <w:rPr>
                <w:rFonts w:ascii="Courier New" w:cs="Courier New" w:eastAsia="Courier New" w:hAnsi="Courier New"/>
                <w:sz w:val="15"/>
                <w:szCs w:val="15"/>
                <w:color w:val="auto"/>
              </w:rPr>
              <w:t>Stockholders for the year ended November 30, 1995</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13 - 21</w:t>
            </w:r>
          </w:p>
        </w:tc>
      </w:tr>
      <w:tr>
        <w:trPr>
          <w:trHeight w:val="344"/>
        </w:trPr>
        <w:tc>
          <w:tcPr>
            <w:tcW w:w="76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88"/>
              </w:rPr>
              <w:t>21.</w:t>
            </w:r>
          </w:p>
        </w:tc>
        <w:tc>
          <w:tcPr>
            <w:tcW w:w="6080" w:type="dxa"/>
            <w:vAlign w:val="bottom"/>
          </w:tcPr>
          <w:p>
            <w:pPr>
              <w:ind w:left="500"/>
              <w:spacing w:after="0"/>
              <w:rPr>
                <w:sz w:val="20"/>
                <w:szCs w:val="20"/>
                <w:color w:val="auto"/>
              </w:rPr>
            </w:pPr>
            <w:r>
              <w:rPr>
                <w:rFonts w:ascii="Courier New" w:cs="Courier New" w:eastAsia="Courier New" w:hAnsi="Courier New"/>
                <w:sz w:val="15"/>
                <w:szCs w:val="15"/>
                <w:color w:val="auto"/>
              </w:rPr>
              <w:t>List of subsidiaries of registrant</w:t>
            </w:r>
          </w:p>
        </w:tc>
        <w:tc>
          <w:tcPr>
            <w:tcW w:w="1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w:t>
            </w:r>
          </w:p>
        </w:tc>
      </w:tr>
      <w:tr>
        <w:trPr>
          <w:trHeight w:val="344"/>
        </w:trPr>
        <w:tc>
          <w:tcPr>
            <w:tcW w:w="76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88"/>
              </w:rPr>
              <w:t>23.</w:t>
            </w:r>
          </w:p>
        </w:tc>
        <w:tc>
          <w:tcPr>
            <w:tcW w:w="6080" w:type="dxa"/>
            <w:vAlign w:val="bottom"/>
          </w:tcPr>
          <w:p>
            <w:pPr>
              <w:ind w:left="500"/>
              <w:spacing w:after="0"/>
              <w:rPr>
                <w:sz w:val="20"/>
                <w:szCs w:val="20"/>
                <w:color w:val="auto"/>
              </w:rPr>
            </w:pPr>
            <w:r>
              <w:rPr>
                <w:rFonts w:ascii="Courier New" w:cs="Courier New" w:eastAsia="Courier New" w:hAnsi="Courier New"/>
                <w:sz w:val="15"/>
                <w:szCs w:val="15"/>
                <w:color w:val="auto"/>
              </w:rPr>
              <w:t>Consent of Independent Auditors</w:t>
            </w:r>
          </w:p>
        </w:tc>
        <w:tc>
          <w:tcPr>
            <w:tcW w:w="1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w:t>
            </w:r>
          </w:p>
        </w:tc>
      </w:tr>
      <w:tr>
        <w:trPr>
          <w:trHeight w:val="344"/>
        </w:trPr>
        <w:tc>
          <w:tcPr>
            <w:tcW w:w="76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88"/>
              </w:rPr>
              <w:t>27.</w:t>
            </w:r>
          </w:p>
        </w:tc>
        <w:tc>
          <w:tcPr>
            <w:tcW w:w="6080" w:type="dxa"/>
            <w:vAlign w:val="bottom"/>
          </w:tcPr>
          <w:p>
            <w:pPr>
              <w:ind w:left="500"/>
              <w:spacing w:after="0"/>
              <w:rPr>
                <w:sz w:val="20"/>
                <w:szCs w:val="20"/>
                <w:color w:val="auto"/>
              </w:rPr>
            </w:pPr>
            <w:r>
              <w:rPr>
                <w:rFonts w:ascii="Courier New" w:cs="Courier New" w:eastAsia="Courier New" w:hAnsi="Courier New"/>
                <w:sz w:val="15"/>
                <w:szCs w:val="15"/>
                <w:color w:val="auto"/>
              </w:rPr>
              <w:t>Financial Data Schedule (EDGAR filing only)</w:t>
            </w:r>
          </w:p>
        </w:tc>
        <w:tc>
          <w:tcPr>
            <w:tcW w:w="1840" w:type="dxa"/>
            <w:vAlign w:val="bottom"/>
          </w:tcPr>
          <w:p>
            <w:pPr>
              <w:spacing w:after="0"/>
              <w:rPr>
                <w:sz w:val="24"/>
                <w:szCs w:val="24"/>
                <w:color w:val="auto"/>
              </w:rPr>
            </w:pPr>
          </w:p>
        </w:tc>
      </w:tr>
    </w:tbl>
    <w:p>
      <w:pPr>
        <w:sectPr>
          <w:pgSz w:w="11900" w:h="16838" w:orient="portrait"/>
          <w:cols w:equalWidth="0" w:num="1">
            <w:col w:w="9959"/>
          </w:cols>
          <w:pgMar w:left="500" w:top="289" w:right="1440" w:bottom="1440" w:gutter="0" w:footer="0" w:header="0"/>
          <w:type w:val="continuous"/>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ind w:left="5980"/>
        <w:spacing w:after="0"/>
        <w:rPr>
          <w:sz w:val="20"/>
          <w:szCs w:val="20"/>
          <w:color w:val="auto"/>
        </w:rPr>
      </w:pPr>
      <w:r>
        <w:rPr>
          <w:rFonts w:ascii="Courier New" w:cs="Courier New" w:eastAsia="Courier New" w:hAnsi="Courier New"/>
          <w:sz w:val="15"/>
          <w:szCs w:val="15"/>
          <w:color w:val="auto"/>
        </w:rPr>
        <w:t>Page 13 of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BALANCE SHEET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9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2"/>
        </w:trPr>
        <w:tc>
          <w:tcPr>
            <w:tcW w:w="7540" w:type="dxa"/>
            <w:vAlign w:val="bottom"/>
          </w:tcPr>
          <w:p>
            <w:pPr>
              <w:spacing w:after="0"/>
              <w:rPr>
                <w:sz w:val="14"/>
                <w:szCs w:val="14"/>
                <w:color w:val="auto"/>
              </w:rPr>
            </w:pPr>
          </w:p>
        </w:tc>
        <w:tc>
          <w:tcPr>
            <w:tcW w:w="3360" w:type="dxa"/>
            <w:vAlign w:val="bottom"/>
            <w:gridSpan w:val="2"/>
          </w:tcPr>
          <w:p>
            <w:pPr>
              <w:jc w:val="right"/>
              <w:ind w:right="825"/>
              <w:spacing w:after="0"/>
              <w:rPr>
                <w:sz w:val="20"/>
                <w:szCs w:val="20"/>
                <w:color w:val="auto"/>
              </w:rPr>
            </w:pPr>
            <w:r>
              <w:rPr>
                <w:rFonts w:ascii="Courier New" w:cs="Courier New" w:eastAsia="Courier New" w:hAnsi="Courier New"/>
                <w:sz w:val="15"/>
                <w:szCs w:val="15"/>
                <w:color w:val="auto"/>
              </w:rPr>
              <w:t>NOVEMBER 30,</w:t>
            </w:r>
          </w:p>
        </w:tc>
      </w:tr>
      <w:tr>
        <w:trPr>
          <w:trHeight w:val="172"/>
        </w:trPr>
        <w:tc>
          <w:tcPr>
            <w:tcW w:w="7540" w:type="dxa"/>
            <w:vAlign w:val="bottom"/>
          </w:tcPr>
          <w:p>
            <w:pPr>
              <w:spacing w:after="0"/>
              <w:rPr>
                <w:sz w:val="14"/>
                <w:szCs w:val="14"/>
                <w:color w:val="auto"/>
              </w:rPr>
            </w:pPr>
          </w:p>
        </w:tc>
        <w:tc>
          <w:tcPr>
            <w:tcW w:w="3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7540" w:type="dxa"/>
            <w:vAlign w:val="bottom"/>
          </w:tcPr>
          <w:p>
            <w:pPr>
              <w:spacing w:after="0"/>
              <w:rPr>
                <w:sz w:val="14"/>
                <w:szCs w:val="14"/>
                <w:color w:val="auto"/>
              </w:rPr>
            </w:pPr>
          </w:p>
        </w:tc>
        <w:tc>
          <w:tcPr>
            <w:tcW w:w="19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1995</w:t>
            </w:r>
          </w:p>
        </w:tc>
        <w:tc>
          <w:tcPr>
            <w:tcW w:w="14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7540" w:type="dxa"/>
            <w:vAlign w:val="bottom"/>
          </w:tcPr>
          <w:p>
            <w:pPr>
              <w:spacing w:after="0"/>
              <w:rPr>
                <w:sz w:val="14"/>
                <w:szCs w:val="14"/>
                <w:color w:val="auto"/>
              </w:rPr>
            </w:pP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75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9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2"/>
        </w:trPr>
        <w:tc>
          <w:tcPr>
            <w:tcW w:w="7540" w:type="dxa"/>
            <w:vAlign w:val="bottom"/>
          </w:tcPr>
          <w:p>
            <w:pPr>
              <w:ind w:left="440"/>
              <w:spacing w:after="0"/>
              <w:rPr>
                <w:sz w:val="20"/>
                <w:szCs w:val="20"/>
                <w:color w:val="auto"/>
              </w:rPr>
            </w:pPr>
            <w:r>
              <w:rPr>
                <w:rFonts w:ascii="Courier New" w:cs="Courier New" w:eastAsia="Courier New" w:hAnsi="Courier New"/>
                <w:sz w:val="15"/>
                <w:szCs w:val="15"/>
                <w:color w:val="auto"/>
              </w:rPr>
              <w:t>Cash and cash equivalents  . . . . . . . . . . . . . . . . . . . . . . . .</w:t>
            </w: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$ 51,331,119</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$ 42,314,957</w:t>
            </w:r>
          </w:p>
        </w:tc>
      </w:tr>
      <w:tr>
        <w:trPr>
          <w:trHeight w:val="172"/>
        </w:trPr>
        <w:tc>
          <w:tcPr>
            <w:tcW w:w="7540" w:type="dxa"/>
            <w:vAlign w:val="bottom"/>
          </w:tcPr>
          <w:p>
            <w:pPr>
              <w:ind w:left="440"/>
              <w:spacing w:after="0"/>
              <w:rPr>
                <w:sz w:val="20"/>
                <w:szCs w:val="20"/>
                <w:color w:val="auto"/>
              </w:rPr>
            </w:pPr>
            <w:r>
              <w:rPr>
                <w:rFonts w:ascii="Courier New" w:cs="Courier New" w:eastAsia="Courier New" w:hAnsi="Courier New"/>
                <w:sz w:val="15"/>
                <w:szCs w:val="15"/>
                <w:color w:val="auto"/>
              </w:rPr>
              <w:t>Trade accounts receivable, less allowances for doubtful</w:t>
            </w:r>
          </w:p>
        </w:tc>
        <w:tc>
          <w:tcPr>
            <w:tcW w:w="19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2"/>
        </w:trPr>
        <w:tc>
          <w:tcPr>
            <w:tcW w:w="7540" w:type="dxa"/>
            <w:vAlign w:val="bottom"/>
          </w:tcPr>
          <w:p>
            <w:pPr>
              <w:ind w:left="700"/>
              <w:spacing w:after="0"/>
              <w:rPr>
                <w:sz w:val="20"/>
                <w:szCs w:val="20"/>
                <w:color w:val="auto"/>
              </w:rPr>
            </w:pPr>
            <w:r>
              <w:rPr>
                <w:rFonts w:ascii="Courier New" w:cs="Courier New" w:eastAsia="Courier New" w:hAnsi="Courier New"/>
                <w:sz w:val="15"/>
                <w:szCs w:val="15"/>
                <w:color w:val="auto"/>
              </w:rPr>
              <w:t>accounts (1995- $1,470,000; 1994 - $1,115,000) and discounts  . . . . .</w:t>
            </w: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68,591,514</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71,936,750</w:t>
            </w:r>
          </w:p>
        </w:tc>
      </w:tr>
      <w:tr>
        <w:trPr>
          <w:trHeight w:val="172"/>
        </w:trPr>
        <w:tc>
          <w:tcPr>
            <w:tcW w:w="7540" w:type="dxa"/>
            <w:vAlign w:val="bottom"/>
          </w:tcPr>
          <w:p>
            <w:pPr>
              <w:ind w:left="440"/>
              <w:spacing w:after="0"/>
              <w:rPr>
                <w:sz w:val="20"/>
                <w:szCs w:val="20"/>
                <w:color w:val="auto"/>
              </w:rPr>
            </w:pPr>
            <w:r>
              <w:rPr>
                <w:rFonts w:ascii="Courier New" w:cs="Courier New" w:eastAsia="Courier New" w:hAnsi="Courier New"/>
                <w:sz w:val="15"/>
                <w:szCs w:val="15"/>
                <w:color w:val="auto"/>
              </w:rPr>
              <w:t>Inventories  . . . . . . . . . . . . . . . . . . . . . . . . . . . . . . .</w:t>
            </w: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81,226,607</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80,074,811</w:t>
            </w:r>
          </w:p>
        </w:tc>
      </w:tr>
      <w:tr>
        <w:trPr>
          <w:trHeight w:val="172"/>
        </w:trPr>
        <w:tc>
          <w:tcPr>
            <w:tcW w:w="7540" w:type="dxa"/>
            <w:vAlign w:val="bottom"/>
          </w:tcPr>
          <w:p>
            <w:pPr>
              <w:ind w:left="440"/>
              <w:spacing w:after="0"/>
              <w:rPr>
                <w:sz w:val="20"/>
                <w:szCs w:val="20"/>
                <w:color w:val="auto"/>
              </w:rPr>
            </w:pPr>
            <w:r>
              <w:rPr>
                <w:rFonts w:ascii="Courier New" w:cs="Courier New" w:eastAsia="Courier New" w:hAnsi="Courier New"/>
                <w:sz w:val="15"/>
                <w:szCs w:val="15"/>
                <w:color w:val="auto"/>
              </w:rPr>
              <w:t>Prepaid expenses   . . . . . . . . . . . . . . . . . . . . . . . . . . . .</w:t>
            </w: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1,757,658</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2,206,736</w:t>
            </w:r>
          </w:p>
        </w:tc>
      </w:tr>
      <w:tr>
        <w:trPr>
          <w:trHeight w:val="172"/>
        </w:trPr>
        <w:tc>
          <w:tcPr>
            <w:tcW w:w="7540" w:type="dxa"/>
            <w:vAlign w:val="bottom"/>
          </w:tcPr>
          <w:p>
            <w:pPr>
              <w:ind w:left="440"/>
              <w:spacing w:after="0"/>
              <w:rPr>
                <w:sz w:val="20"/>
                <w:szCs w:val="20"/>
                <w:color w:val="auto"/>
              </w:rPr>
            </w:pPr>
            <w:r>
              <w:rPr>
                <w:rFonts w:ascii="Courier New" w:cs="Courier New" w:eastAsia="Courier New" w:hAnsi="Courier New"/>
                <w:sz w:val="15"/>
                <w:szCs w:val="15"/>
                <w:color w:val="auto"/>
              </w:rPr>
              <w:t>Prepaid income taxes   . . . . . . . . . . . . . . . . . . . . . . . . . .</w:t>
            </w: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274,675</w:t>
            </w:r>
          </w:p>
        </w:tc>
      </w:tr>
      <w:tr>
        <w:trPr>
          <w:trHeight w:val="172"/>
        </w:trPr>
        <w:tc>
          <w:tcPr>
            <w:tcW w:w="7540" w:type="dxa"/>
            <w:vAlign w:val="bottom"/>
          </w:tcPr>
          <w:p>
            <w:pPr>
              <w:ind w:left="440"/>
              <w:spacing w:after="0"/>
              <w:rPr>
                <w:sz w:val="20"/>
                <w:szCs w:val="20"/>
                <w:color w:val="auto"/>
              </w:rPr>
            </w:pPr>
            <w:r>
              <w:rPr>
                <w:rFonts w:ascii="Courier New" w:cs="Courier New" w:eastAsia="Courier New" w:hAnsi="Courier New"/>
                <w:sz w:val="15"/>
                <w:szCs w:val="15"/>
                <w:color w:val="auto"/>
              </w:rPr>
              <w:t>Deferred income taxes  . . . . . . . . . . . . . . . . . . . . . . . . . .</w:t>
            </w: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2,008,000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1,823,000</w:t>
            </w:r>
          </w:p>
        </w:tc>
      </w:tr>
      <w:tr>
        <w:trPr>
          <w:trHeight w:val="172"/>
        </w:trPr>
        <w:tc>
          <w:tcPr>
            <w:tcW w:w="7540" w:type="dxa"/>
            <w:vAlign w:val="bottom"/>
          </w:tcPr>
          <w:p>
            <w:pPr>
              <w:spacing w:after="0"/>
              <w:rPr>
                <w:sz w:val="14"/>
                <w:szCs w:val="14"/>
                <w:color w:val="auto"/>
              </w:rPr>
            </w:pP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7540" w:type="dxa"/>
            <w:vAlign w:val="bottom"/>
          </w:tcPr>
          <w:p>
            <w:pPr>
              <w:spacing w:after="0"/>
              <w:rPr>
                <w:sz w:val="14"/>
                <w:szCs w:val="14"/>
                <w:color w:val="auto"/>
              </w:rPr>
            </w:pP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204,914,898</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198,630,929</w:t>
            </w:r>
          </w:p>
        </w:tc>
      </w:tr>
      <w:tr>
        <w:trPr>
          <w:trHeight w:val="344"/>
        </w:trPr>
        <w:tc>
          <w:tcPr>
            <w:tcW w:w="754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19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2"/>
        </w:trPr>
        <w:tc>
          <w:tcPr>
            <w:tcW w:w="7540" w:type="dxa"/>
            <w:vAlign w:val="bottom"/>
          </w:tcPr>
          <w:p>
            <w:pPr>
              <w:ind w:left="440"/>
              <w:spacing w:after="0"/>
              <w:rPr>
                <w:sz w:val="20"/>
                <w:szCs w:val="20"/>
                <w:color w:val="auto"/>
              </w:rPr>
            </w:pPr>
            <w:r>
              <w:rPr>
                <w:rFonts w:ascii="Courier New" w:cs="Courier New" w:eastAsia="Courier New" w:hAnsi="Courier New"/>
                <w:sz w:val="15"/>
                <w:szCs w:val="15"/>
                <w:color w:val="auto"/>
              </w:rPr>
              <w:t>Buildings  . . . . . . . . . . . . . . . . . . . . . . . . . . . . . . . .</w:t>
            </w: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73,478,686</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71,859,549</w:t>
            </w:r>
          </w:p>
        </w:tc>
      </w:tr>
      <w:tr>
        <w:trPr>
          <w:trHeight w:val="172"/>
        </w:trPr>
        <w:tc>
          <w:tcPr>
            <w:tcW w:w="7540" w:type="dxa"/>
            <w:vAlign w:val="bottom"/>
          </w:tcPr>
          <w:p>
            <w:pPr>
              <w:ind w:left="440"/>
              <w:spacing w:after="0"/>
              <w:rPr>
                <w:sz w:val="20"/>
                <w:szCs w:val="20"/>
                <w:color w:val="auto"/>
              </w:rPr>
            </w:pPr>
            <w:r>
              <w:rPr>
                <w:rFonts w:ascii="Courier New" w:cs="Courier New" w:eastAsia="Courier New" w:hAnsi="Courier New"/>
                <w:sz w:val="15"/>
                <w:szCs w:val="15"/>
                <w:color w:val="auto"/>
              </w:rPr>
              <w:t>Machinery and equipment  . . . . . . . . . . . . . . . . . . . . . . . . .</w:t>
            </w: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133,933,234</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130,218,793</w:t>
            </w:r>
          </w:p>
        </w:tc>
      </w:tr>
      <w:tr>
        <w:trPr>
          <w:trHeight w:val="172"/>
        </w:trPr>
        <w:tc>
          <w:tcPr>
            <w:tcW w:w="7540" w:type="dxa"/>
            <w:vAlign w:val="bottom"/>
          </w:tcPr>
          <w:p>
            <w:pPr>
              <w:ind w:left="440"/>
              <w:spacing w:after="0"/>
              <w:rPr>
                <w:sz w:val="20"/>
                <w:szCs w:val="20"/>
                <w:color w:val="auto"/>
              </w:rPr>
            </w:pPr>
            <w:r>
              <w:rPr>
                <w:rFonts w:ascii="Courier New" w:cs="Courier New" w:eastAsia="Courier New" w:hAnsi="Courier New"/>
                <w:sz w:val="15"/>
                <w:szCs w:val="15"/>
                <w:color w:val="auto"/>
              </w:rPr>
              <w:t>Other  . . . . . . . . . . . . . . . . . . . . . . . . . . . . . . . . . .</w:t>
            </w: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745,477</w:t>
            </w:r>
          </w:p>
        </w:tc>
      </w:tr>
      <w:tr>
        <w:trPr>
          <w:trHeight w:val="172"/>
        </w:trPr>
        <w:tc>
          <w:tcPr>
            <w:tcW w:w="7540" w:type="dxa"/>
            <w:vAlign w:val="bottom"/>
          </w:tcPr>
          <w:p>
            <w:pPr>
              <w:spacing w:after="0"/>
              <w:rPr>
                <w:sz w:val="14"/>
                <w:szCs w:val="14"/>
                <w:color w:val="auto"/>
              </w:rPr>
            </w:pP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7540" w:type="dxa"/>
            <w:vAlign w:val="bottom"/>
          </w:tcPr>
          <w:p>
            <w:pPr>
              <w:spacing w:after="0"/>
              <w:rPr>
                <w:sz w:val="14"/>
                <w:szCs w:val="14"/>
                <w:color w:val="auto"/>
              </w:rPr>
            </w:pP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207,411,920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202,823,819</w:t>
            </w:r>
          </w:p>
        </w:tc>
      </w:tr>
      <w:tr>
        <w:trPr>
          <w:trHeight w:val="172"/>
        </w:trPr>
        <w:tc>
          <w:tcPr>
            <w:tcW w:w="7540" w:type="dxa"/>
            <w:vAlign w:val="bottom"/>
          </w:tcPr>
          <w:p>
            <w:pPr>
              <w:ind w:left="440"/>
              <w:spacing w:after="0"/>
              <w:rPr>
                <w:sz w:val="20"/>
                <w:szCs w:val="20"/>
                <w:color w:val="auto"/>
              </w:rPr>
            </w:pPr>
            <w:r>
              <w:rPr>
                <w:rFonts w:ascii="Courier New" w:cs="Courier New" w:eastAsia="Courier New" w:hAnsi="Courier New"/>
                <w:sz w:val="15"/>
                <w:szCs w:val="15"/>
                <w:color w:val="auto"/>
              </w:rPr>
              <w:t>Less allowances for depreciation   . . . . . . . . . . . . . . . . . . . .</w:t>
            </w: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158,665,871</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152,673,335</w:t>
            </w:r>
          </w:p>
        </w:tc>
      </w:tr>
      <w:tr>
        <w:trPr>
          <w:trHeight w:val="172"/>
        </w:trPr>
        <w:tc>
          <w:tcPr>
            <w:tcW w:w="7540" w:type="dxa"/>
            <w:vAlign w:val="bottom"/>
          </w:tcPr>
          <w:p>
            <w:pPr>
              <w:spacing w:after="0"/>
              <w:rPr>
                <w:sz w:val="14"/>
                <w:szCs w:val="14"/>
                <w:color w:val="auto"/>
              </w:rPr>
            </w:pP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7540" w:type="dxa"/>
            <w:vAlign w:val="bottom"/>
          </w:tcPr>
          <w:p>
            <w:pPr>
              <w:spacing w:after="0"/>
              <w:rPr>
                <w:sz w:val="14"/>
                <w:szCs w:val="14"/>
                <w:color w:val="auto"/>
              </w:rPr>
            </w:pP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48,746,049</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50,150,484</w:t>
            </w:r>
          </w:p>
        </w:tc>
      </w:tr>
      <w:tr>
        <w:trPr>
          <w:trHeight w:val="172"/>
        </w:trPr>
        <w:tc>
          <w:tcPr>
            <w:tcW w:w="7540" w:type="dxa"/>
            <w:vAlign w:val="bottom"/>
          </w:tcPr>
          <w:p>
            <w:pPr>
              <w:ind w:left="440"/>
              <w:spacing w:after="0"/>
              <w:rPr>
                <w:sz w:val="20"/>
                <w:szCs w:val="20"/>
                <w:color w:val="auto"/>
              </w:rPr>
            </w:pPr>
            <w:r>
              <w:rPr>
                <w:rFonts w:ascii="Courier New" w:cs="Courier New" w:eastAsia="Courier New" w:hAnsi="Courier New"/>
                <w:sz w:val="15"/>
                <w:szCs w:val="15"/>
                <w:color w:val="auto"/>
              </w:rPr>
              <w:t>Land   . . . . . . . . . . . . . . . . . . . . . . . . . . . . . . . . . .</w:t>
            </w: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4,378,297</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4,403,422</w:t>
            </w:r>
          </w:p>
        </w:tc>
      </w:tr>
      <w:tr>
        <w:trPr>
          <w:trHeight w:val="172"/>
        </w:trPr>
        <w:tc>
          <w:tcPr>
            <w:tcW w:w="7540" w:type="dxa"/>
            <w:vAlign w:val="bottom"/>
          </w:tcPr>
          <w:p>
            <w:pPr>
              <w:spacing w:after="0"/>
              <w:rPr>
                <w:sz w:val="14"/>
                <w:szCs w:val="14"/>
                <w:color w:val="auto"/>
              </w:rPr>
            </w:pP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7540" w:type="dxa"/>
            <w:vAlign w:val="bottom"/>
          </w:tcPr>
          <w:p>
            <w:pPr>
              <w:spacing w:after="0"/>
              <w:rPr>
                <w:sz w:val="14"/>
                <w:szCs w:val="14"/>
                <w:color w:val="auto"/>
              </w:rPr>
            </w:pP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53,124,346</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54,553,906</w:t>
            </w:r>
          </w:p>
        </w:tc>
      </w:tr>
      <w:tr>
        <w:trPr>
          <w:trHeight w:val="344"/>
        </w:trPr>
        <w:tc>
          <w:tcPr>
            <w:tcW w:w="754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9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2"/>
        </w:trPr>
        <w:tc>
          <w:tcPr>
            <w:tcW w:w="7540" w:type="dxa"/>
            <w:vAlign w:val="bottom"/>
          </w:tcPr>
          <w:p>
            <w:pPr>
              <w:ind w:left="440"/>
              <w:spacing w:after="0"/>
              <w:rPr>
                <w:sz w:val="20"/>
                <w:szCs w:val="20"/>
                <w:color w:val="auto"/>
              </w:rPr>
            </w:pPr>
            <w:r>
              <w:rPr>
                <w:rFonts w:ascii="Courier New" w:cs="Courier New" w:eastAsia="Courier New" w:hAnsi="Courier New"/>
                <w:sz w:val="15"/>
                <w:szCs w:val="15"/>
                <w:color w:val="auto"/>
              </w:rPr>
              <w:t>Investment in securities   . . . . . . . . . . . . . . . . . . . . . . . .</w:t>
            </w: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39,055,319</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43,638,983</w:t>
            </w:r>
          </w:p>
        </w:tc>
      </w:tr>
      <w:tr>
        <w:trPr>
          <w:trHeight w:val="172"/>
        </w:trPr>
        <w:tc>
          <w:tcPr>
            <w:tcW w:w="7540" w:type="dxa"/>
            <w:vAlign w:val="bottom"/>
          </w:tcPr>
          <w:p>
            <w:pPr>
              <w:ind w:left="440"/>
              <w:spacing w:after="0"/>
              <w:rPr>
                <w:sz w:val="20"/>
                <w:szCs w:val="20"/>
                <w:color w:val="auto"/>
              </w:rPr>
            </w:pPr>
            <w:r>
              <w:rPr>
                <w:rFonts w:ascii="Courier New" w:cs="Courier New" w:eastAsia="Courier New" w:hAnsi="Courier New"/>
                <w:sz w:val="15"/>
                <w:szCs w:val="15"/>
                <w:color w:val="auto"/>
              </w:rPr>
              <w:t>Investment in affiliated companies   . . . . . . . . . . . . . . . . . . .</w:t>
            </w: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40,398,574</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35,080,525</w:t>
            </w:r>
          </w:p>
        </w:tc>
      </w:tr>
      <w:tr>
        <w:trPr>
          <w:trHeight w:val="172"/>
        </w:trPr>
        <w:tc>
          <w:tcPr>
            <w:tcW w:w="7540" w:type="dxa"/>
            <w:vAlign w:val="bottom"/>
          </w:tcPr>
          <w:p>
            <w:pPr>
              <w:ind w:left="440"/>
              <w:spacing w:after="0"/>
              <w:rPr>
                <w:sz w:val="20"/>
                <w:szCs w:val="20"/>
                <w:color w:val="auto"/>
              </w:rPr>
            </w:pPr>
            <w:r>
              <w:rPr>
                <w:rFonts w:ascii="Courier New" w:cs="Courier New" w:eastAsia="Courier New" w:hAnsi="Courier New"/>
                <w:sz w:val="15"/>
                <w:szCs w:val="15"/>
                <w:color w:val="auto"/>
              </w:rPr>
              <w:t>Other  . . . . . . . . . . . . . . . . . . . . . . . . . . . . . . . . . .</w:t>
            </w: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9,227,317</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8,593,887</w:t>
            </w:r>
          </w:p>
        </w:tc>
      </w:tr>
      <w:tr>
        <w:trPr>
          <w:trHeight w:val="172"/>
        </w:trPr>
        <w:tc>
          <w:tcPr>
            <w:tcW w:w="7540" w:type="dxa"/>
            <w:vAlign w:val="bottom"/>
          </w:tcPr>
          <w:p>
            <w:pPr>
              <w:spacing w:after="0"/>
              <w:rPr>
                <w:sz w:val="14"/>
                <w:szCs w:val="14"/>
                <w:color w:val="auto"/>
              </w:rPr>
            </w:pP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7540" w:type="dxa"/>
            <w:vAlign w:val="bottom"/>
          </w:tcPr>
          <w:p>
            <w:pPr>
              <w:spacing w:after="0"/>
              <w:rPr>
                <w:sz w:val="14"/>
                <w:szCs w:val="14"/>
                <w:color w:val="auto"/>
              </w:rPr>
            </w:pP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88,681,210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87,313,395</w:t>
            </w:r>
          </w:p>
        </w:tc>
      </w:tr>
      <w:tr>
        <w:trPr>
          <w:trHeight w:val="172"/>
        </w:trPr>
        <w:tc>
          <w:tcPr>
            <w:tcW w:w="7540" w:type="dxa"/>
            <w:vAlign w:val="bottom"/>
          </w:tcPr>
          <w:p>
            <w:pPr>
              <w:spacing w:after="0"/>
              <w:rPr>
                <w:sz w:val="14"/>
                <w:szCs w:val="14"/>
                <w:color w:val="auto"/>
              </w:rPr>
            </w:pP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7540" w:type="dxa"/>
            <w:vAlign w:val="bottom"/>
          </w:tcPr>
          <w:p>
            <w:pPr>
              <w:spacing w:after="0"/>
              <w:rPr>
                <w:sz w:val="14"/>
                <w:szCs w:val="14"/>
                <w:color w:val="auto"/>
              </w:rPr>
            </w:pP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$346,720,454</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$340,498,230</w:t>
            </w:r>
          </w:p>
        </w:tc>
      </w:tr>
      <w:tr>
        <w:trPr>
          <w:trHeight w:val="172"/>
        </w:trPr>
        <w:tc>
          <w:tcPr>
            <w:tcW w:w="7540" w:type="dxa"/>
            <w:vAlign w:val="bottom"/>
          </w:tcPr>
          <w:p>
            <w:pPr>
              <w:spacing w:after="0"/>
              <w:rPr>
                <w:sz w:val="14"/>
                <w:szCs w:val="14"/>
                <w:color w:val="auto"/>
              </w:rPr>
            </w:pP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75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9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44"/>
        </w:trPr>
        <w:tc>
          <w:tcPr>
            <w:tcW w:w="75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9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2"/>
        </w:trPr>
        <w:tc>
          <w:tcPr>
            <w:tcW w:w="7540" w:type="dxa"/>
            <w:vAlign w:val="bottom"/>
          </w:tcPr>
          <w:p>
            <w:pPr>
              <w:ind w:left="440"/>
              <w:spacing w:after="0"/>
              <w:rPr>
                <w:sz w:val="20"/>
                <w:szCs w:val="20"/>
                <w:color w:val="auto"/>
              </w:rPr>
            </w:pPr>
            <w:r>
              <w:rPr>
                <w:rFonts w:ascii="Courier New" w:cs="Courier New" w:eastAsia="Courier New" w:hAnsi="Courier New"/>
                <w:sz w:val="15"/>
                <w:szCs w:val="15"/>
                <w:color w:val="auto"/>
              </w:rPr>
              <w:t>Accounts payable   . . . . . . . . . . . . . . . . . . . . . . . . . . . .</w:t>
            </w: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$ 29,710,299</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$ 29,786,395</w:t>
            </w:r>
          </w:p>
        </w:tc>
      </w:tr>
      <w:tr>
        <w:trPr>
          <w:trHeight w:val="172"/>
        </w:trPr>
        <w:tc>
          <w:tcPr>
            <w:tcW w:w="7540" w:type="dxa"/>
            <w:vAlign w:val="bottom"/>
          </w:tcPr>
          <w:p>
            <w:pPr>
              <w:ind w:left="440"/>
              <w:spacing w:after="0"/>
              <w:rPr>
                <w:sz w:val="20"/>
                <w:szCs w:val="20"/>
                <w:color w:val="auto"/>
              </w:rPr>
            </w:pPr>
            <w:r>
              <w:rPr>
                <w:rFonts w:ascii="Courier New" w:cs="Courier New" w:eastAsia="Courier New" w:hAnsi="Courier New"/>
                <w:sz w:val="15"/>
                <w:szCs w:val="15"/>
                <w:color w:val="auto"/>
              </w:rPr>
              <w:t>Accrued compensation   . . . . . . . . . . . . . . . . . . . . . . . . . .</w:t>
            </w: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4,778,966</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5,215,159</w:t>
            </w:r>
          </w:p>
        </w:tc>
      </w:tr>
      <w:tr>
        <w:trPr>
          <w:trHeight w:val="172"/>
        </w:trPr>
        <w:tc>
          <w:tcPr>
            <w:tcW w:w="7540" w:type="dxa"/>
            <w:vAlign w:val="bottom"/>
          </w:tcPr>
          <w:p>
            <w:pPr>
              <w:ind w:left="440"/>
              <w:spacing w:after="0"/>
              <w:rPr>
                <w:sz w:val="20"/>
                <w:szCs w:val="20"/>
                <w:color w:val="auto"/>
              </w:rPr>
            </w:pPr>
            <w:r>
              <w:rPr>
                <w:rFonts w:ascii="Courier New" w:cs="Courier New" w:eastAsia="Courier New" w:hAnsi="Courier New"/>
                <w:sz w:val="15"/>
                <w:szCs w:val="15"/>
                <w:color w:val="auto"/>
              </w:rPr>
              <w:t>Income taxes   . . . . . . . . . . . . . . . . . . . . . . . . . . . . . .</w:t>
            </w: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902,476</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7540" w:type="dxa"/>
            <w:vAlign w:val="bottom"/>
          </w:tcPr>
          <w:p>
            <w:pPr>
              <w:spacing w:after="0"/>
              <w:rPr>
                <w:sz w:val="14"/>
                <w:szCs w:val="14"/>
                <w:color w:val="auto"/>
              </w:rPr>
            </w:pP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7540" w:type="dxa"/>
            <w:vAlign w:val="bottom"/>
          </w:tcPr>
          <w:p>
            <w:pPr>
              <w:spacing w:after="0"/>
              <w:rPr>
                <w:sz w:val="14"/>
                <w:szCs w:val="14"/>
                <w:color w:val="auto"/>
              </w:rPr>
            </w:pP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35,391,741</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35,001,554</w:t>
            </w:r>
          </w:p>
        </w:tc>
      </w:tr>
      <w:tr>
        <w:trPr>
          <w:trHeight w:val="344"/>
        </w:trPr>
        <w:tc>
          <w:tcPr>
            <w:tcW w:w="7540" w:type="dxa"/>
            <w:vAlign w:val="bottom"/>
          </w:tcPr>
          <w:p>
            <w:pPr>
              <w:spacing w:after="0"/>
              <w:rPr>
                <w:sz w:val="20"/>
                <w:szCs w:val="20"/>
                <w:color w:val="auto"/>
              </w:rPr>
            </w:pPr>
            <w:r>
              <w:rPr>
                <w:rFonts w:ascii="Courier New" w:cs="Courier New" w:eastAsia="Courier New" w:hAnsi="Courier New"/>
                <w:sz w:val="15"/>
                <w:szCs w:val="15"/>
                <w:color w:val="auto"/>
              </w:rPr>
              <w:t>DEFERRALS</w:t>
            </w:r>
          </w:p>
        </w:tc>
        <w:tc>
          <w:tcPr>
            <w:tcW w:w="19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2"/>
        </w:trPr>
        <w:tc>
          <w:tcPr>
            <w:tcW w:w="7540" w:type="dxa"/>
            <w:vAlign w:val="bottom"/>
          </w:tcPr>
          <w:p>
            <w:pPr>
              <w:ind w:left="440"/>
              <w:spacing w:after="0"/>
              <w:rPr>
                <w:sz w:val="20"/>
                <w:szCs w:val="20"/>
                <w:color w:val="auto"/>
              </w:rPr>
            </w:pPr>
            <w:r>
              <w:rPr>
                <w:rFonts w:ascii="Courier New" w:cs="Courier New" w:eastAsia="Courier New" w:hAnsi="Courier New"/>
                <w:sz w:val="15"/>
                <w:szCs w:val="15"/>
                <w:color w:val="auto"/>
              </w:rPr>
              <w:t>Deferred liabilities   . . . . . . . . . . . . . . . . . . . . . . . . . .</w:t>
            </w: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10,296,244</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9,529,784</w:t>
            </w:r>
          </w:p>
        </w:tc>
      </w:tr>
      <w:tr>
        <w:trPr>
          <w:trHeight w:val="172"/>
        </w:trPr>
        <w:tc>
          <w:tcPr>
            <w:tcW w:w="7540" w:type="dxa"/>
            <w:vAlign w:val="bottom"/>
          </w:tcPr>
          <w:p>
            <w:pPr>
              <w:ind w:left="440"/>
              <w:spacing w:after="0"/>
              <w:rPr>
                <w:sz w:val="20"/>
                <w:szCs w:val="20"/>
                <w:color w:val="auto"/>
              </w:rPr>
            </w:pPr>
            <w:r>
              <w:rPr>
                <w:rFonts w:ascii="Courier New" w:cs="Courier New" w:eastAsia="Courier New" w:hAnsi="Courier New"/>
                <w:sz w:val="15"/>
                <w:szCs w:val="15"/>
                <w:color w:val="auto"/>
              </w:rPr>
              <w:t>Deferred income taxes  . . . . . . . . . . . . . . . . . . . . . . . . . .</w:t>
            </w: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2,129,000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774,000</w:t>
            </w:r>
          </w:p>
        </w:tc>
      </w:tr>
      <w:tr>
        <w:trPr>
          <w:trHeight w:val="172"/>
        </w:trPr>
        <w:tc>
          <w:tcPr>
            <w:tcW w:w="7540" w:type="dxa"/>
            <w:vAlign w:val="bottom"/>
          </w:tcPr>
          <w:p>
            <w:pPr>
              <w:spacing w:after="0"/>
              <w:rPr>
                <w:sz w:val="14"/>
                <w:szCs w:val="14"/>
                <w:color w:val="auto"/>
              </w:rPr>
            </w:pP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7540" w:type="dxa"/>
            <w:vAlign w:val="bottom"/>
          </w:tcPr>
          <w:p>
            <w:pPr>
              <w:spacing w:after="0"/>
              <w:rPr>
                <w:sz w:val="14"/>
                <w:szCs w:val="14"/>
                <w:color w:val="auto"/>
              </w:rPr>
            </w:pP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12,425,244</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10,303,784</w:t>
            </w:r>
          </w:p>
        </w:tc>
      </w:tr>
      <w:tr>
        <w:trPr>
          <w:trHeight w:val="344"/>
        </w:trPr>
        <w:tc>
          <w:tcPr>
            <w:tcW w:w="75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9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2"/>
        </w:trPr>
        <w:tc>
          <w:tcPr>
            <w:tcW w:w="7540" w:type="dxa"/>
            <w:vAlign w:val="bottom"/>
          </w:tcPr>
          <w:p>
            <w:pPr>
              <w:ind w:left="440"/>
              <w:spacing w:after="0"/>
              <w:rPr>
                <w:sz w:val="20"/>
                <w:szCs w:val="20"/>
                <w:color w:val="auto"/>
              </w:rPr>
            </w:pPr>
            <w:r>
              <w:rPr>
                <w:rFonts w:ascii="Courier New" w:cs="Courier New" w:eastAsia="Courier New" w:hAnsi="Courier New"/>
                <w:sz w:val="15"/>
                <w:szCs w:val="15"/>
                <w:color w:val="auto"/>
              </w:rPr>
              <w:t>Common stock, par value $5 a share, 50,000,000 shares authorized   . . . .</w:t>
            </w: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68,294,765</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70,434,075</w:t>
            </w:r>
          </w:p>
        </w:tc>
      </w:tr>
      <w:tr>
        <w:trPr>
          <w:trHeight w:val="172"/>
        </w:trPr>
        <w:tc>
          <w:tcPr>
            <w:tcW w:w="7540" w:type="dxa"/>
            <w:vAlign w:val="bottom"/>
          </w:tcPr>
          <w:p>
            <w:pPr>
              <w:ind w:left="440"/>
              <w:spacing w:after="0"/>
              <w:rPr>
                <w:sz w:val="20"/>
                <w:szCs w:val="20"/>
                <w:color w:val="auto"/>
              </w:rPr>
            </w:pPr>
            <w:r>
              <w:rPr>
                <w:rFonts w:ascii="Courier New" w:cs="Courier New" w:eastAsia="Courier New" w:hAnsi="Courier New"/>
                <w:sz w:val="15"/>
                <w:szCs w:val="15"/>
                <w:color w:val="auto"/>
              </w:rPr>
              <w:t>Retained earnings  . . . . . . . . . . . . . . . . . . . . . . . . . . . .</w:t>
            </w: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225,718,704</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221,949,817</w:t>
            </w:r>
          </w:p>
        </w:tc>
      </w:tr>
      <w:tr>
        <w:trPr>
          <w:trHeight w:val="172"/>
        </w:trPr>
        <w:tc>
          <w:tcPr>
            <w:tcW w:w="7540" w:type="dxa"/>
            <w:vAlign w:val="bottom"/>
          </w:tcPr>
          <w:p>
            <w:pPr>
              <w:ind w:left="440"/>
              <w:spacing w:after="0"/>
              <w:rPr>
                <w:sz w:val="20"/>
                <w:szCs w:val="20"/>
                <w:color w:val="auto"/>
              </w:rPr>
            </w:pPr>
            <w:r>
              <w:rPr>
                <w:rFonts w:ascii="Courier New" w:cs="Courier New" w:eastAsia="Courier New" w:hAnsi="Courier New"/>
                <w:sz w:val="15"/>
                <w:szCs w:val="15"/>
                <w:color w:val="auto"/>
              </w:rPr>
              <w:t>Unrealized holding gains, net of tax   . . . . . . . . . . . . . . . . . .</w:t>
            </w: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4,890,000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2,809,000</w:t>
            </w:r>
          </w:p>
        </w:tc>
      </w:tr>
      <w:tr>
        <w:trPr>
          <w:trHeight w:val="172"/>
        </w:trPr>
        <w:tc>
          <w:tcPr>
            <w:tcW w:w="7540" w:type="dxa"/>
            <w:vAlign w:val="bottom"/>
          </w:tcPr>
          <w:p>
            <w:pPr>
              <w:spacing w:after="0"/>
              <w:rPr>
                <w:sz w:val="14"/>
                <w:szCs w:val="14"/>
                <w:color w:val="auto"/>
              </w:rPr>
            </w:pP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7540" w:type="dxa"/>
            <w:vAlign w:val="bottom"/>
          </w:tcPr>
          <w:p>
            <w:pPr>
              <w:spacing w:after="0"/>
              <w:rPr>
                <w:sz w:val="14"/>
                <w:szCs w:val="14"/>
                <w:color w:val="auto"/>
              </w:rPr>
            </w:pP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298,903,469</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295,192,892</w:t>
            </w:r>
          </w:p>
        </w:tc>
      </w:tr>
      <w:tr>
        <w:trPr>
          <w:trHeight w:val="172"/>
        </w:trPr>
        <w:tc>
          <w:tcPr>
            <w:tcW w:w="7540" w:type="dxa"/>
            <w:vAlign w:val="bottom"/>
          </w:tcPr>
          <w:p>
            <w:pPr>
              <w:spacing w:after="0"/>
              <w:rPr>
                <w:sz w:val="14"/>
                <w:szCs w:val="14"/>
                <w:color w:val="auto"/>
              </w:rPr>
            </w:pP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7540" w:type="dxa"/>
            <w:vAlign w:val="bottom"/>
          </w:tcPr>
          <w:p>
            <w:pPr>
              <w:spacing w:after="0"/>
              <w:rPr>
                <w:sz w:val="14"/>
                <w:szCs w:val="14"/>
                <w:color w:val="auto"/>
              </w:rPr>
            </w:pP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$346,720,454</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$340,498,230</w:t>
            </w:r>
          </w:p>
        </w:tc>
      </w:tr>
      <w:tr>
        <w:trPr>
          <w:trHeight w:val="172"/>
        </w:trPr>
        <w:tc>
          <w:tcPr>
            <w:tcW w:w="7540" w:type="dxa"/>
            <w:vAlign w:val="bottom"/>
          </w:tcPr>
          <w:p>
            <w:pPr>
              <w:spacing w:after="0"/>
              <w:rPr>
                <w:sz w:val="14"/>
                <w:szCs w:val="14"/>
                <w:color w:val="auto"/>
              </w:rPr>
            </w:pP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900"/>
          </w:cols>
          <w:pgMar w:left="240" w:top="140" w:right="759" w:bottom="1440" w:gutter="0" w:footer="0" w:header="0"/>
        </w:sectPr>
      </w:pP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 financial statements.</w:t>
      </w:r>
    </w:p>
    <w:p>
      <w:pPr>
        <w:sectPr>
          <w:pgSz w:w="11900" w:h="16838" w:orient="portrait"/>
          <w:cols w:equalWidth="0" w:num="1">
            <w:col w:w="10900"/>
          </w:cols>
          <w:pgMar w:left="240" w:top="140" w:right="759" w:bottom="1440" w:gutter="0" w:footer="0" w:header="0"/>
          <w:type w:val="continuous"/>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2</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Page 14 of 23</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516"/>
        </w:trPr>
        <w:tc>
          <w:tcPr>
            <w:tcW w:w="5100" w:type="dxa"/>
            <w:vAlign w:val="bottom"/>
          </w:tcPr>
          <w:p>
            <w:pPr>
              <w:spacing w:after="0"/>
              <w:rPr>
                <w:sz w:val="20"/>
                <w:szCs w:val="20"/>
                <w:color w:val="auto"/>
              </w:rPr>
            </w:pPr>
            <w:r>
              <w:rPr>
                <w:rFonts w:ascii="Courier New" w:cs="Courier New" w:eastAsia="Courier New" w:hAnsi="Courier New"/>
                <w:sz w:val="15"/>
                <w:szCs w:val="15"/>
                <w:color w:val="auto"/>
              </w:rPr>
              <w:t>CONSOLIDATED STATEMENT OF INCOME</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w w:val="98"/>
              </w:rPr>
              <w:t>Bassett Furniture Industries, Incorporated and Subsidiaries</w:t>
            </w:r>
          </w:p>
        </w:tc>
        <w:tc>
          <w:tcPr>
            <w:tcW w:w="1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88"/>
        </w:trPr>
        <w:tc>
          <w:tcPr>
            <w:tcW w:w="5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 ENDED NOVEMBER 30,</w:t>
            </w:r>
          </w:p>
        </w:tc>
        <w:tc>
          <w:tcPr>
            <w:tcW w:w="980" w:type="dxa"/>
            <w:vAlign w:val="bottom"/>
          </w:tcPr>
          <w:p>
            <w:pPr>
              <w:spacing w:after="0"/>
              <w:rPr>
                <w:sz w:val="24"/>
                <w:szCs w:val="24"/>
                <w:color w:val="auto"/>
              </w:rPr>
            </w:pP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320" w:type="dxa"/>
            <w:vAlign w:val="bottom"/>
            <w:gridSpan w:val="6"/>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1995</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1994</w:t>
            </w:r>
          </w:p>
        </w:tc>
        <w:tc>
          <w:tcPr>
            <w:tcW w:w="300" w:type="dxa"/>
            <w:vAlign w:val="bottom"/>
          </w:tcPr>
          <w:p>
            <w:pPr>
              <w:spacing w:after="0"/>
              <w:rPr>
                <w:sz w:val="14"/>
                <w:szCs w:val="14"/>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1993</w:t>
            </w: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5"/>
              </w:rPr>
              <w:t>------------</w:t>
            </w:r>
          </w:p>
        </w:tc>
        <w:tc>
          <w:tcPr>
            <w:tcW w:w="760" w:type="dxa"/>
            <w:vAlign w:val="bottom"/>
          </w:tcPr>
          <w:p>
            <w:pPr>
              <w:spacing w:after="0"/>
              <w:rPr>
                <w:sz w:val="14"/>
                <w:szCs w:val="14"/>
                <w:color w:val="auto"/>
              </w:rPr>
            </w:pP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344"/>
        </w:trPr>
        <w:tc>
          <w:tcPr>
            <w:tcW w:w="5100" w:type="dxa"/>
            <w:vAlign w:val="bottom"/>
          </w:tcPr>
          <w:p>
            <w:pPr>
              <w:spacing w:after="0"/>
              <w:rPr>
                <w:sz w:val="20"/>
                <w:szCs w:val="20"/>
                <w:color w:val="auto"/>
              </w:rPr>
            </w:pPr>
            <w:r>
              <w:rPr>
                <w:rFonts w:ascii="Courier New" w:cs="Courier New" w:eastAsia="Courier New" w:hAnsi="Courier New"/>
                <w:sz w:val="15"/>
                <w:szCs w:val="15"/>
                <w:color w:val="auto"/>
                <w:w w:val="99"/>
              </w:rPr>
              <w:t>NET SALES   . . . . . . . . . . . . . . . . . . . . . . .</w:t>
            </w:r>
          </w:p>
        </w:tc>
        <w:tc>
          <w:tcPr>
            <w:tcW w:w="160" w:type="dxa"/>
            <w:vAlign w:val="bottom"/>
          </w:tcPr>
          <w:p>
            <w:pPr>
              <w:jc w:val="center"/>
              <w:ind w:left="5"/>
              <w:spacing w:after="0"/>
              <w:rPr>
                <w:sz w:val="20"/>
                <w:szCs w:val="20"/>
                <w:color w:val="auto"/>
              </w:rPr>
            </w:pPr>
            <w:r>
              <w:rPr>
                <w:rFonts w:ascii="Courier New" w:cs="Courier New" w:eastAsia="Courier New" w:hAnsi="Courier New"/>
                <w:sz w:val="15"/>
                <w:szCs w:val="15"/>
                <w:color w:val="auto"/>
                <w:w w:val="88"/>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 . . . . . . .</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w:t>
            </w:r>
          </w:p>
        </w:tc>
        <w:tc>
          <w:tcPr>
            <w:tcW w:w="1700" w:type="dxa"/>
            <w:vAlign w:val="bottom"/>
            <w:gridSpan w:val="3"/>
          </w:tcPr>
          <w:p>
            <w:pPr>
              <w:jc w:val="right"/>
              <w:ind w:right="165"/>
              <w:spacing w:after="0"/>
              <w:rPr>
                <w:sz w:val="20"/>
                <w:szCs w:val="20"/>
                <w:color w:val="auto"/>
              </w:rPr>
            </w:pPr>
            <w:r>
              <w:rPr>
                <w:rFonts w:ascii="Courier New" w:cs="Courier New" w:eastAsia="Courier New" w:hAnsi="Courier New"/>
                <w:sz w:val="15"/>
                <w:szCs w:val="15"/>
                <w:color w:val="auto"/>
              </w:rPr>
              <w:t>$490,816,681</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9"/>
              </w:rPr>
              <w:t>$510,560,858</w:t>
            </w:r>
          </w:p>
        </w:tc>
        <w:tc>
          <w:tcPr>
            <w:tcW w:w="128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$503,770,060</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100" w:type="dxa"/>
            <w:vAlign w:val="bottom"/>
          </w:tcPr>
          <w:p>
            <w:pPr>
              <w:ind w:left="440"/>
              <w:spacing w:after="0"/>
              <w:rPr>
                <w:sz w:val="20"/>
                <w:szCs w:val="20"/>
                <w:color w:val="auto"/>
              </w:rPr>
            </w:pPr>
            <w:r>
              <w:rPr>
                <w:rFonts w:ascii="Courier New" w:cs="Courier New" w:eastAsia="Courier New" w:hAnsi="Courier New"/>
                <w:sz w:val="15"/>
                <w:szCs w:val="15"/>
                <w:color w:val="auto"/>
                <w:w w:val="99"/>
              </w:rPr>
              <w:t>COST OF SALES  . . . . . . . . . . . . . . . . . . .</w:t>
            </w:r>
          </w:p>
        </w:tc>
        <w:tc>
          <w:tcPr>
            <w:tcW w:w="160" w:type="dxa"/>
            <w:vAlign w:val="bottom"/>
          </w:tcPr>
          <w:p>
            <w:pPr>
              <w:jc w:val="center"/>
              <w:ind w:left="5"/>
              <w:spacing w:after="0"/>
              <w:rPr>
                <w:sz w:val="20"/>
                <w:szCs w:val="20"/>
                <w:color w:val="auto"/>
              </w:rPr>
            </w:pPr>
            <w:r>
              <w:rPr>
                <w:rFonts w:ascii="Courier New" w:cs="Courier New" w:eastAsia="Courier New" w:hAnsi="Courier New"/>
                <w:sz w:val="15"/>
                <w:szCs w:val="15"/>
                <w:color w:val="auto"/>
                <w:w w:val="88"/>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 . . . . . . .</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w:t>
            </w:r>
          </w:p>
        </w:tc>
        <w:tc>
          <w:tcPr>
            <w:tcW w:w="1700" w:type="dxa"/>
            <w:vAlign w:val="bottom"/>
            <w:gridSpan w:val="3"/>
          </w:tcPr>
          <w:p>
            <w:pPr>
              <w:jc w:val="right"/>
              <w:ind w:right="165"/>
              <w:spacing w:after="0"/>
              <w:rPr>
                <w:sz w:val="20"/>
                <w:szCs w:val="20"/>
                <w:color w:val="auto"/>
              </w:rPr>
            </w:pPr>
            <w:r>
              <w:rPr>
                <w:rFonts w:ascii="Courier New" w:cs="Courier New" w:eastAsia="Courier New" w:hAnsi="Courier New"/>
                <w:sz w:val="15"/>
                <w:szCs w:val="15"/>
                <w:color w:val="auto"/>
              </w:rPr>
              <w:t>407,749,396</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419,393,531</w:t>
            </w:r>
          </w:p>
        </w:tc>
        <w:tc>
          <w:tcPr>
            <w:tcW w:w="128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413,055,371</w:t>
            </w:r>
          </w:p>
        </w:tc>
      </w:tr>
      <w:tr>
        <w:trPr>
          <w:trHeight w:val="172"/>
        </w:trPr>
        <w:tc>
          <w:tcPr>
            <w:tcW w:w="5100" w:type="dxa"/>
            <w:vAlign w:val="bottom"/>
          </w:tcPr>
          <w:p>
            <w:pPr>
              <w:ind w:left="440"/>
              <w:spacing w:after="0"/>
              <w:rPr>
                <w:sz w:val="20"/>
                <w:szCs w:val="20"/>
                <w:color w:val="auto"/>
              </w:rPr>
            </w:pPr>
            <w:r>
              <w:rPr>
                <w:rFonts w:ascii="Courier New" w:cs="Courier New" w:eastAsia="Courier New" w:hAnsi="Courier New"/>
                <w:sz w:val="15"/>
                <w:szCs w:val="15"/>
                <w:color w:val="auto"/>
                <w:w w:val="99"/>
              </w:rPr>
              <w:t>SELLING, GENERAL AND ADMINISTRATIVE  . . . . . . . .</w:t>
            </w:r>
          </w:p>
        </w:tc>
        <w:tc>
          <w:tcPr>
            <w:tcW w:w="160" w:type="dxa"/>
            <w:vAlign w:val="bottom"/>
          </w:tcPr>
          <w:p>
            <w:pPr>
              <w:jc w:val="center"/>
              <w:ind w:left="5"/>
              <w:spacing w:after="0"/>
              <w:rPr>
                <w:sz w:val="20"/>
                <w:szCs w:val="20"/>
                <w:color w:val="auto"/>
              </w:rPr>
            </w:pPr>
            <w:r>
              <w:rPr>
                <w:rFonts w:ascii="Courier New" w:cs="Courier New" w:eastAsia="Courier New" w:hAnsi="Courier New"/>
                <w:sz w:val="15"/>
                <w:szCs w:val="15"/>
                <w:color w:val="auto"/>
                <w:w w:val="88"/>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 . . . . . . .</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w:t>
            </w:r>
          </w:p>
        </w:tc>
        <w:tc>
          <w:tcPr>
            <w:tcW w:w="580" w:type="dxa"/>
            <w:vAlign w:val="bottom"/>
          </w:tcPr>
          <w:p>
            <w:pPr>
              <w:spacing w:after="0"/>
              <w:rPr>
                <w:sz w:val="14"/>
                <w:szCs w:val="14"/>
                <w:color w:val="auto"/>
              </w:rPr>
            </w:pPr>
          </w:p>
        </w:tc>
        <w:tc>
          <w:tcPr>
            <w:tcW w:w="11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w w:val="95"/>
              </w:rPr>
              <w:t>65,938,061</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66,044,399</w:t>
            </w:r>
          </w:p>
        </w:tc>
        <w:tc>
          <w:tcPr>
            <w:tcW w:w="128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63,472,078</w:t>
            </w: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5"/>
              </w:rPr>
              <w:t>------------</w:t>
            </w:r>
          </w:p>
        </w:tc>
        <w:tc>
          <w:tcPr>
            <w:tcW w:w="760" w:type="dxa"/>
            <w:vAlign w:val="bottom"/>
          </w:tcPr>
          <w:p>
            <w:pPr>
              <w:spacing w:after="0"/>
              <w:rPr>
                <w:sz w:val="14"/>
                <w:szCs w:val="14"/>
                <w:color w:val="auto"/>
              </w:rPr>
            </w:pP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00" w:type="dxa"/>
            <w:vAlign w:val="bottom"/>
            <w:gridSpan w:val="3"/>
          </w:tcPr>
          <w:p>
            <w:pPr>
              <w:jc w:val="right"/>
              <w:ind w:right="165"/>
              <w:spacing w:after="0"/>
              <w:rPr>
                <w:sz w:val="20"/>
                <w:szCs w:val="20"/>
                <w:color w:val="auto"/>
              </w:rPr>
            </w:pPr>
            <w:r>
              <w:rPr>
                <w:rFonts w:ascii="Courier New" w:cs="Courier New" w:eastAsia="Courier New" w:hAnsi="Courier New"/>
                <w:sz w:val="15"/>
                <w:szCs w:val="15"/>
                <w:color w:val="auto"/>
              </w:rPr>
              <w:t>473,687,457</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485,437,930</w:t>
            </w:r>
          </w:p>
        </w:tc>
        <w:tc>
          <w:tcPr>
            <w:tcW w:w="128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476,527,449</w:t>
            </w: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5"/>
              </w:rPr>
              <w:t>------------</w:t>
            </w:r>
          </w:p>
        </w:tc>
        <w:tc>
          <w:tcPr>
            <w:tcW w:w="760" w:type="dxa"/>
            <w:vAlign w:val="bottom"/>
          </w:tcPr>
          <w:p>
            <w:pPr>
              <w:spacing w:after="0"/>
              <w:rPr>
                <w:sz w:val="14"/>
                <w:szCs w:val="14"/>
                <w:color w:val="auto"/>
              </w:rPr>
            </w:pP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210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w w:val="97"/>
              </w:rPr>
              <w:t>INCOME FROM OPERATIONS</w:t>
            </w:r>
          </w:p>
        </w:tc>
        <w:tc>
          <w:tcPr>
            <w:tcW w:w="580" w:type="dxa"/>
            <w:vAlign w:val="bottom"/>
          </w:tcPr>
          <w:p>
            <w:pPr>
              <w:spacing w:after="0"/>
              <w:rPr>
                <w:sz w:val="14"/>
                <w:szCs w:val="14"/>
                <w:color w:val="auto"/>
              </w:rPr>
            </w:pPr>
          </w:p>
        </w:tc>
        <w:tc>
          <w:tcPr>
            <w:tcW w:w="11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w w:val="95"/>
              </w:rPr>
              <w:t>17,129,224</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25,122,928</w:t>
            </w:r>
          </w:p>
        </w:tc>
        <w:tc>
          <w:tcPr>
            <w:tcW w:w="128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27,242,611</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w w:val="99"/>
              </w:rPr>
              <w:t>OTHER INCOME, NET . . . . . . . . . . . . . . . . . . . .</w:t>
            </w:r>
          </w:p>
        </w:tc>
        <w:tc>
          <w:tcPr>
            <w:tcW w:w="160" w:type="dxa"/>
            <w:vAlign w:val="bottom"/>
          </w:tcPr>
          <w:p>
            <w:pPr>
              <w:jc w:val="center"/>
              <w:ind w:left="5"/>
              <w:spacing w:after="0"/>
              <w:rPr>
                <w:sz w:val="20"/>
                <w:szCs w:val="20"/>
                <w:color w:val="auto"/>
              </w:rPr>
            </w:pPr>
            <w:r>
              <w:rPr>
                <w:rFonts w:ascii="Courier New" w:cs="Courier New" w:eastAsia="Courier New" w:hAnsi="Courier New"/>
                <w:sz w:val="15"/>
                <w:szCs w:val="15"/>
                <w:color w:val="auto"/>
                <w:w w:val="88"/>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 . . . . . . .</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w:t>
            </w:r>
          </w:p>
        </w:tc>
        <w:tc>
          <w:tcPr>
            <w:tcW w:w="580" w:type="dxa"/>
            <w:vAlign w:val="bottom"/>
          </w:tcPr>
          <w:p>
            <w:pPr>
              <w:spacing w:after="0"/>
              <w:rPr>
                <w:sz w:val="14"/>
                <w:szCs w:val="14"/>
                <w:color w:val="auto"/>
              </w:rPr>
            </w:pPr>
          </w:p>
        </w:tc>
        <w:tc>
          <w:tcPr>
            <w:tcW w:w="11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w w:val="95"/>
              </w:rPr>
              <w:t>12,999,562</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9,657,476</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w w:val="98"/>
              </w:rPr>
              <w:t>9,270,219</w:t>
            </w: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5"/>
              </w:rPr>
              <w:t>------------</w:t>
            </w:r>
          </w:p>
        </w:tc>
        <w:tc>
          <w:tcPr>
            <w:tcW w:w="760" w:type="dxa"/>
            <w:vAlign w:val="bottom"/>
          </w:tcPr>
          <w:p>
            <w:pPr>
              <w:spacing w:after="0"/>
              <w:rPr>
                <w:sz w:val="14"/>
                <w:szCs w:val="14"/>
                <w:color w:val="auto"/>
              </w:rPr>
            </w:pP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7200" w:type="dxa"/>
            <w:vAlign w:val="bottom"/>
            <w:gridSpan w:val="4"/>
          </w:tcPr>
          <w:p>
            <w:pPr>
              <w:jc w:val="center"/>
              <w:ind w:left="3185"/>
              <w:spacing w:after="0"/>
              <w:rPr>
                <w:sz w:val="20"/>
                <w:szCs w:val="20"/>
                <w:color w:val="auto"/>
              </w:rPr>
            </w:pPr>
            <w:r>
              <w:rPr>
                <w:rFonts w:ascii="Courier New" w:cs="Courier New" w:eastAsia="Courier New" w:hAnsi="Courier New"/>
                <w:sz w:val="15"/>
                <w:szCs w:val="15"/>
                <w:color w:val="auto"/>
                <w:w w:val="99"/>
              </w:rPr>
              <w:t>Income before income taxes and cumulative</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7200" w:type="dxa"/>
            <w:vAlign w:val="bottom"/>
            <w:gridSpan w:val="4"/>
          </w:tcPr>
          <w:p>
            <w:pPr>
              <w:jc w:val="right"/>
              <w:ind w:right="65"/>
              <w:spacing w:after="0"/>
              <w:rPr>
                <w:sz w:val="20"/>
                <w:szCs w:val="20"/>
                <w:color w:val="auto"/>
              </w:rPr>
            </w:pPr>
            <w:r>
              <w:rPr>
                <w:rFonts w:ascii="Courier New" w:cs="Courier New" w:eastAsia="Courier New" w:hAnsi="Courier New"/>
                <w:sz w:val="15"/>
                <w:szCs w:val="15"/>
                <w:color w:val="auto"/>
              </w:rPr>
              <w:t>effect of a change in accounting principle</w:t>
            </w:r>
          </w:p>
        </w:tc>
        <w:tc>
          <w:tcPr>
            <w:tcW w:w="580" w:type="dxa"/>
            <w:vAlign w:val="bottom"/>
          </w:tcPr>
          <w:p>
            <w:pPr>
              <w:spacing w:after="0"/>
              <w:rPr>
                <w:sz w:val="14"/>
                <w:szCs w:val="14"/>
                <w:color w:val="auto"/>
              </w:rPr>
            </w:pPr>
          </w:p>
        </w:tc>
        <w:tc>
          <w:tcPr>
            <w:tcW w:w="11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w w:val="95"/>
              </w:rPr>
              <w:t>30,128,786</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34,780,404</w:t>
            </w:r>
          </w:p>
        </w:tc>
        <w:tc>
          <w:tcPr>
            <w:tcW w:w="128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36,512,830</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100" w:type="dxa"/>
            <w:vAlign w:val="bottom"/>
          </w:tcPr>
          <w:p>
            <w:pPr>
              <w:ind w:left="440"/>
              <w:spacing w:after="0"/>
              <w:rPr>
                <w:sz w:val="20"/>
                <w:szCs w:val="20"/>
                <w:color w:val="auto"/>
              </w:rPr>
            </w:pPr>
            <w:r>
              <w:rPr>
                <w:rFonts w:ascii="Courier New" w:cs="Courier New" w:eastAsia="Courier New" w:hAnsi="Courier New"/>
                <w:sz w:val="15"/>
                <w:szCs w:val="15"/>
                <w:color w:val="auto"/>
                <w:w w:val="99"/>
              </w:rPr>
              <w:t>FEDERAL  . . . . . . . . . . . . . . . . . . . . . .</w:t>
            </w:r>
          </w:p>
        </w:tc>
        <w:tc>
          <w:tcPr>
            <w:tcW w:w="160" w:type="dxa"/>
            <w:vAlign w:val="bottom"/>
          </w:tcPr>
          <w:p>
            <w:pPr>
              <w:jc w:val="center"/>
              <w:ind w:left="5"/>
              <w:spacing w:after="0"/>
              <w:rPr>
                <w:sz w:val="20"/>
                <w:szCs w:val="20"/>
                <w:color w:val="auto"/>
              </w:rPr>
            </w:pPr>
            <w:r>
              <w:rPr>
                <w:rFonts w:ascii="Courier New" w:cs="Courier New" w:eastAsia="Courier New" w:hAnsi="Courier New"/>
                <w:sz w:val="15"/>
                <w:szCs w:val="15"/>
                <w:color w:val="auto"/>
                <w:w w:val="88"/>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 . . . . . . .</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w:t>
            </w:r>
          </w:p>
        </w:tc>
        <w:tc>
          <w:tcPr>
            <w:tcW w:w="580" w:type="dxa"/>
            <w:vAlign w:val="bottom"/>
          </w:tcPr>
          <w:p>
            <w:pPr>
              <w:spacing w:after="0"/>
              <w:rPr>
                <w:sz w:val="14"/>
                <w:szCs w:val="14"/>
                <w:color w:val="auto"/>
              </w:rPr>
            </w:pPr>
          </w:p>
        </w:tc>
        <w:tc>
          <w:tcPr>
            <w:tcW w:w="11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6,455,000</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8,521,000</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w w:val="98"/>
              </w:rPr>
              <w:t>9,223,000</w:t>
            </w:r>
          </w:p>
        </w:tc>
      </w:tr>
      <w:tr>
        <w:trPr>
          <w:trHeight w:val="172"/>
        </w:trPr>
        <w:tc>
          <w:tcPr>
            <w:tcW w:w="5100" w:type="dxa"/>
            <w:vAlign w:val="bottom"/>
          </w:tcPr>
          <w:p>
            <w:pPr>
              <w:ind w:left="440"/>
              <w:spacing w:after="0"/>
              <w:rPr>
                <w:sz w:val="20"/>
                <w:szCs w:val="20"/>
                <w:color w:val="auto"/>
              </w:rPr>
            </w:pPr>
            <w:r>
              <w:rPr>
                <w:rFonts w:ascii="Courier New" w:cs="Courier New" w:eastAsia="Courier New" w:hAnsi="Courier New"/>
                <w:sz w:val="15"/>
                <w:szCs w:val="15"/>
                <w:color w:val="auto"/>
                <w:w w:val="99"/>
              </w:rPr>
              <w:t>STATE  . . . . . . . . . . . . . . . . . . . . . . .</w:t>
            </w:r>
          </w:p>
        </w:tc>
        <w:tc>
          <w:tcPr>
            <w:tcW w:w="160" w:type="dxa"/>
            <w:vAlign w:val="bottom"/>
          </w:tcPr>
          <w:p>
            <w:pPr>
              <w:jc w:val="center"/>
              <w:ind w:left="5"/>
              <w:spacing w:after="0"/>
              <w:rPr>
                <w:sz w:val="20"/>
                <w:szCs w:val="20"/>
                <w:color w:val="auto"/>
              </w:rPr>
            </w:pPr>
            <w:r>
              <w:rPr>
                <w:rFonts w:ascii="Courier New" w:cs="Courier New" w:eastAsia="Courier New" w:hAnsi="Courier New"/>
                <w:sz w:val="15"/>
                <w:szCs w:val="15"/>
                <w:color w:val="auto"/>
                <w:w w:val="88"/>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 . . . . . . .</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w:t>
            </w:r>
          </w:p>
        </w:tc>
        <w:tc>
          <w:tcPr>
            <w:tcW w:w="580" w:type="dxa"/>
            <w:vAlign w:val="bottom"/>
          </w:tcPr>
          <w:p>
            <w:pPr>
              <w:spacing w:after="0"/>
              <w:rPr>
                <w:sz w:val="14"/>
                <w:szCs w:val="14"/>
                <w:color w:val="auto"/>
              </w:rPr>
            </w:pPr>
          </w:p>
        </w:tc>
        <w:tc>
          <w:tcPr>
            <w:tcW w:w="11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879,000</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1,361,000</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w w:val="98"/>
              </w:rPr>
              <w:t>1,077,000</w:t>
            </w:r>
          </w:p>
        </w:tc>
      </w:tr>
      <w:tr>
        <w:trPr>
          <w:trHeight w:val="172"/>
        </w:trPr>
        <w:tc>
          <w:tcPr>
            <w:tcW w:w="5100" w:type="dxa"/>
            <w:vAlign w:val="bottom"/>
          </w:tcPr>
          <w:p>
            <w:pPr>
              <w:ind w:left="440"/>
              <w:spacing w:after="0"/>
              <w:rPr>
                <w:sz w:val="20"/>
                <w:szCs w:val="20"/>
                <w:color w:val="auto"/>
              </w:rPr>
            </w:pPr>
            <w:r>
              <w:rPr>
                <w:rFonts w:ascii="Courier New" w:cs="Courier New" w:eastAsia="Courier New" w:hAnsi="Courier New"/>
                <w:sz w:val="15"/>
                <w:szCs w:val="15"/>
                <w:color w:val="auto"/>
                <w:w w:val="99"/>
              </w:rPr>
              <w:t>DEFERRED   . . . . . . . . . . . . . . . . . . . . .</w:t>
            </w:r>
          </w:p>
        </w:tc>
        <w:tc>
          <w:tcPr>
            <w:tcW w:w="160" w:type="dxa"/>
            <w:vAlign w:val="bottom"/>
          </w:tcPr>
          <w:p>
            <w:pPr>
              <w:jc w:val="center"/>
              <w:ind w:left="5"/>
              <w:spacing w:after="0"/>
              <w:rPr>
                <w:sz w:val="20"/>
                <w:szCs w:val="20"/>
                <w:color w:val="auto"/>
              </w:rPr>
            </w:pPr>
            <w:r>
              <w:rPr>
                <w:rFonts w:ascii="Courier New" w:cs="Courier New" w:eastAsia="Courier New" w:hAnsi="Courier New"/>
                <w:sz w:val="15"/>
                <w:szCs w:val="15"/>
                <w:color w:val="auto"/>
                <w:w w:val="88"/>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 . . . . . . .</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w:t>
            </w:r>
          </w:p>
        </w:tc>
        <w:tc>
          <w:tcPr>
            <w:tcW w:w="58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(108,000)</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(78,000)</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344,000</w:t>
            </w: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5"/>
              </w:rPr>
              <w:t>------------</w:t>
            </w:r>
          </w:p>
        </w:tc>
        <w:tc>
          <w:tcPr>
            <w:tcW w:w="760" w:type="dxa"/>
            <w:vAlign w:val="bottom"/>
          </w:tcPr>
          <w:p>
            <w:pPr>
              <w:spacing w:after="0"/>
              <w:rPr>
                <w:sz w:val="14"/>
                <w:szCs w:val="14"/>
                <w:color w:val="auto"/>
              </w:rPr>
            </w:pP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7,226,000</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9,804,000</w:t>
            </w:r>
          </w:p>
        </w:tc>
        <w:tc>
          <w:tcPr>
            <w:tcW w:w="128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10,644,000</w:t>
            </w: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5"/>
              </w:rPr>
              <w:t>------------</w:t>
            </w:r>
          </w:p>
        </w:tc>
        <w:tc>
          <w:tcPr>
            <w:tcW w:w="760" w:type="dxa"/>
            <w:vAlign w:val="bottom"/>
          </w:tcPr>
          <w:p>
            <w:pPr>
              <w:spacing w:after="0"/>
              <w:rPr>
                <w:sz w:val="14"/>
                <w:szCs w:val="14"/>
                <w:color w:val="auto"/>
              </w:rPr>
            </w:pP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7200" w:type="dxa"/>
            <w:vAlign w:val="bottom"/>
            <w:gridSpan w:val="4"/>
          </w:tcPr>
          <w:p>
            <w:pPr>
              <w:jc w:val="right"/>
              <w:ind w:right="65"/>
              <w:spacing w:after="0"/>
              <w:rPr>
                <w:sz w:val="20"/>
                <w:szCs w:val="20"/>
                <w:color w:val="auto"/>
              </w:rPr>
            </w:pPr>
            <w:r>
              <w:rPr>
                <w:rFonts w:ascii="Courier New" w:cs="Courier New" w:eastAsia="Courier New" w:hAnsi="Courier New"/>
                <w:sz w:val="15"/>
                <w:szCs w:val="15"/>
                <w:color w:val="auto"/>
              </w:rPr>
              <w:t>Income before cumulative effect of a change in accounting principle</w:t>
            </w:r>
          </w:p>
        </w:tc>
        <w:tc>
          <w:tcPr>
            <w:tcW w:w="580" w:type="dxa"/>
            <w:vAlign w:val="bottom"/>
          </w:tcPr>
          <w:p>
            <w:pPr>
              <w:spacing w:after="0"/>
              <w:rPr>
                <w:sz w:val="14"/>
                <w:szCs w:val="14"/>
                <w:color w:val="auto"/>
              </w:rPr>
            </w:pPr>
          </w:p>
        </w:tc>
        <w:tc>
          <w:tcPr>
            <w:tcW w:w="11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w w:val="95"/>
              </w:rPr>
              <w:t>22,902,786</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24,976,404</w:t>
            </w:r>
          </w:p>
        </w:tc>
        <w:tc>
          <w:tcPr>
            <w:tcW w:w="128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25,868,830</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w w:val="99"/>
              </w:rPr>
              <w:t>CUMULATIVE EFFECT OF A CHANGE IN ACCOUNTING PRINCIPLE . .</w:t>
            </w:r>
          </w:p>
        </w:tc>
        <w:tc>
          <w:tcPr>
            <w:tcW w:w="160" w:type="dxa"/>
            <w:vAlign w:val="bottom"/>
          </w:tcPr>
          <w:p>
            <w:pPr>
              <w:jc w:val="center"/>
              <w:ind w:left="5"/>
              <w:spacing w:after="0"/>
              <w:rPr>
                <w:sz w:val="20"/>
                <w:szCs w:val="20"/>
                <w:color w:val="auto"/>
              </w:rPr>
            </w:pPr>
            <w:r>
              <w:rPr>
                <w:rFonts w:ascii="Courier New" w:cs="Courier New" w:eastAsia="Courier New" w:hAnsi="Courier New"/>
                <w:sz w:val="15"/>
                <w:szCs w:val="15"/>
                <w:color w:val="auto"/>
                <w:w w:val="88"/>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 . . . . . . .</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(510,200)</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-0-</w:t>
            </w: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5"/>
              </w:rPr>
              <w:t>------------</w:t>
            </w:r>
          </w:p>
        </w:tc>
        <w:tc>
          <w:tcPr>
            <w:tcW w:w="760" w:type="dxa"/>
            <w:vAlign w:val="bottom"/>
          </w:tcPr>
          <w:p>
            <w:pPr>
              <w:spacing w:after="0"/>
              <w:rPr>
                <w:sz w:val="14"/>
                <w:szCs w:val="14"/>
                <w:color w:val="auto"/>
              </w:rPr>
            </w:pP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NET INCOME</w:t>
            </w:r>
          </w:p>
        </w:tc>
        <w:tc>
          <w:tcPr>
            <w:tcW w:w="1700" w:type="dxa"/>
            <w:vAlign w:val="bottom"/>
            <w:gridSpan w:val="3"/>
          </w:tcPr>
          <w:p>
            <w:pPr>
              <w:jc w:val="right"/>
              <w:ind w:right="165"/>
              <w:spacing w:after="0"/>
              <w:rPr>
                <w:sz w:val="20"/>
                <w:szCs w:val="20"/>
                <w:color w:val="auto"/>
              </w:rPr>
            </w:pPr>
            <w:r>
              <w:rPr>
                <w:rFonts w:ascii="Courier New" w:cs="Courier New" w:eastAsia="Courier New" w:hAnsi="Courier New"/>
                <w:sz w:val="15"/>
                <w:szCs w:val="15"/>
                <w:color w:val="auto"/>
              </w:rPr>
              <w:t>$ 22,902,786</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9"/>
              </w:rPr>
              <w:t>$ 24,466,204</w:t>
            </w:r>
          </w:p>
        </w:tc>
        <w:tc>
          <w:tcPr>
            <w:tcW w:w="128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$ 25,868,830</w:t>
            </w: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00" w:type="dxa"/>
            <w:vAlign w:val="bottom"/>
            <w:gridSpan w:val="3"/>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ind w:left="440"/>
              <w:spacing w:after="0"/>
              <w:rPr>
                <w:sz w:val="20"/>
                <w:szCs w:val="20"/>
                <w:color w:val="auto"/>
              </w:rPr>
            </w:pPr>
            <w:r>
              <w:rPr>
                <w:rFonts w:ascii="Courier New" w:cs="Courier New" w:eastAsia="Courier New" w:hAnsi="Courier New"/>
                <w:sz w:val="15"/>
                <w:szCs w:val="15"/>
                <w:color w:val="auto"/>
              </w:rPr>
              <w:t>EARNINGS PER SHARE:</w:t>
            </w: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7200" w:type="dxa"/>
            <w:vAlign w:val="bottom"/>
            <w:gridSpan w:val="4"/>
          </w:tcPr>
          <w:p>
            <w:pPr>
              <w:jc w:val="right"/>
              <w:ind w:right="65"/>
              <w:spacing w:after="0"/>
              <w:rPr>
                <w:sz w:val="20"/>
                <w:szCs w:val="20"/>
                <w:color w:val="auto"/>
              </w:rPr>
            </w:pPr>
            <w:r>
              <w:rPr>
                <w:rFonts w:ascii="Courier New" w:cs="Courier New" w:eastAsia="Courier New" w:hAnsi="Courier New"/>
                <w:sz w:val="15"/>
                <w:szCs w:val="15"/>
                <w:color w:val="auto"/>
              </w:rPr>
              <w:t>Income before cumulative effect of a change in accounting principle.</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$1.63</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$1.75</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$1.79</w:t>
            </w:r>
          </w:p>
        </w:tc>
      </w:tr>
      <w:tr>
        <w:trPr>
          <w:trHeight w:val="172"/>
        </w:trPr>
        <w:tc>
          <w:tcPr>
            <w:tcW w:w="67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Cumulative effect of a change in accounting principle  . . . . .</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-0-</w:t>
            </w: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5"/>
              </w:rPr>
              <w:t>------------</w:t>
            </w:r>
          </w:p>
        </w:tc>
        <w:tc>
          <w:tcPr>
            <w:tcW w:w="760" w:type="dxa"/>
            <w:vAlign w:val="bottom"/>
          </w:tcPr>
          <w:p>
            <w:pPr>
              <w:spacing w:after="0"/>
              <w:rPr>
                <w:sz w:val="14"/>
                <w:szCs w:val="14"/>
                <w:color w:val="auto"/>
              </w:rPr>
            </w:pP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8"/>
              </w:rPr>
              <w:t>NET INCOME PER SHARE</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$1.63</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$1.71</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$1.79</w:t>
            </w: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00" w:type="dxa"/>
            <w:vAlign w:val="bottom"/>
            <w:gridSpan w:val="3"/>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688"/>
        </w:trPr>
        <w:tc>
          <w:tcPr>
            <w:tcW w:w="5100" w:type="dxa"/>
            <w:vAlign w:val="bottom"/>
          </w:tcPr>
          <w:p>
            <w:pPr>
              <w:spacing w:after="0"/>
              <w:rPr>
                <w:sz w:val="20"/>
                <w:szCs w:val="20"/>
                <w:color w:val="auto"/>
              </w:rPr>
            </w:pPr>
            <w:r>
              <w:rPr>
                <w:rFonts w:ascii="Courier New" w:cs="Courier New" w:eastAsia="Courier New" w:hAnsi="Courier New"/>
                <w:sz w:val="15"/>
                <w:szCs w:val="15"/>
                <w:color w:val="auto"/>
              </w:rPr>
              <w:t>CONSOLIDATED STATEMENT OF STOCKHOLDERS' EQUITY</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w w:val="98"/>
              </w:rPr>
              <w:t>Bassett Furniture Industries, Incorporated and Subsidiaries</w:t>
            </w:r>
          </w:p>
        </w:tc>
        <w:tc>
          <w:tcPr>
            <w:tcW w:w="1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88"/>
        </w:trPr>
        <w:tc>
          <w:tcPr>
            <w:tcW w:w="5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COMMON STOCK</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spacing w:after="0"/>
              <w:rPr>
                <w:sz w:val="14"/>
                <w:szCs w:val="14"/>
                <w:color w:val="auto"/>
              </w:rPr>
            </w:pPr>
          </w:p>
        </w:tc>
        <w:tc>
          <w:tcPr>
            <w:tcW w:w="11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ADDITIONAL</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RETAINED</w:t>
            </w:r>
          </w:p>
        </w:tc>
        <w:tc>
          <w:tcPr>
            <w:tcW w:w="128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UNREALIZED</w:t>
            </w: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SHARES</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AMOUNT</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CAPITAL</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EARNINGS</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HOLDING GAINS</w:t>
            </w: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6"/>
              </w:rPr>
              <w:t>-----------</w:t>
            </w: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100" w:type="dxa"/>
            <w:vAlign w:val="bottom"/>
          </w:tcPr>
          <w:p>
            <w:pPr>
              <w:spacing w:after="0"/>
              <w:rPr>
                <w:sz w:val="20"/>
                <w:szCs w:val="20"/>
                <w:color w:val="auto"/>
              </w:rPr>
            </w:pPr>
            <w:r>
              <w:rPr>
                <w:rFonts w:ascii="Courier New" w:cs="Courier New" w:eastAsia="Courier New" w:hAnsi="Courier New"/>
                <w:sz w:val="15"/>
                <w:szCs w:val="15"/>
                <w:color w:val="auto"/>
                <w:w w:val="99"/>
              </w:rPr>
              <w:t>BALANCE, DECEMBER 1, 1992 . . . . . . . . . . . . . . . .</w:t>
            </w:r>
          </w:p>
        </w:tc>
        <w:tc>
          <w:tcPr>
            <w:tcW w:w="160" w:type="dxa"/>
            <w:vAlign w:val="bottom"/>
          </w:tcPr>
          <w:p>
            <w:pPr>
              <w:jc w:val="center"/>
              <w:ind w:left="5"/>
              <w:spacing w:after="0"/>
              <w:rPr>
                <w:sz w:val="20"/>
                <w:szCs w:val="20"/>
                <w:color w:val="auto"/>
              </w:rPr>
            </w:pPr>
            <w:r>
              <w:rPr>
                <w:rFonts w:ascii="Courier New" w:cs="Courier New" w:eastAsia="Courier New" w:hAnsi="Courier New"/>
                <w:sz w:val="15"/>
                <w:szCs w:val="15"/>
                <w:color w:val="auto"/>
                <w:w w:val="88"/>
              </w:rPr>
              <w:t>.</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11,535,342</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6"/>
              </w:rPr>
              <w:t>$57,676,710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$216,144,734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-0-</w:t>
            </w:r>
          </w:p>
        </w:tc>
      </w:tr>
      <w:tr>
        <w:trPr>
          <w:trHeight w:val="172"/>
        </w:trPr>
        <w:tc>
          <w:tcPr>
            <w:tcW w:w="5100" w:type="dxa"/>
            <w:vAlign w:val="bottom"/>
          </w:tcPr>
          <w:p>
            <w:pPr>
              <w:ind w:left="440"/>
              <w:spacing w:after="0"/>
              <w:rPr>
                <w:sz w:val="20"/>
                <w:szCs w:val="20"/>
                <w:color w:val="auto"/>
              </w:rPr>
            </w:pPr>
            <w:r>
              <w:rPr>
                <w:rFonts w:ascii="Courier New" w:cs="Courier New" w:eastAsia="Courier New" w:hAnsi="Courier New"/>
                <w:sz w:val="15"/>
                <w:szCs w:val="15"/>
                <w:color w:val="auto"/>
                <w:w w:val="99"/>
              </w:rPr>
              <w:t>Net income   . . . . . . . . . . . . . . . . . . . .</w:t>
            </w:r>
          </w:p>
        </w:tc>
        <w:tc>
          <w:tcPr>
            <w:tcW w:w="160" w:type="dxa"/>
            <w:vAlign w:val="bottom"/>
          </w:tcPr>
          <w:p>
            <w:pPr>
              <w:jc w:val="center"/>
              <w:ind w:left="5"/>
              <w:spacing w:after="0"/>
              <w:rPr>
                <w:sz w:val="20"/>
                <w:szCs w:val="20"/>
                <w:color w:val="auto"/>
              </w:rPr>
            </w:pPr>
            <w:r>
              <w:rPr>
                <w:rFonts w:ascii="Courier New" w:cs="Courier New" w:eastAsia="Courier New" w:hAnsi="Courier New"/>
                <w:sz w:val="15"/>
                <w:szCs w:val="15"/>
                <w:color w:val="auto"/>
                <w:w w:val="88"/>
              </w:rPr>
              <w:t>.</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25,868,830</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ind w:left="440"/>
              <w:spacing w:after="0"/>
              <w:rPr>
                <w:sz w:val="20"/>
                <w:szCs w:val="20"/>
                <w:color w:val="auto"/>
              </w:rPr>
            </w:pPr>
            <w:r>
              <w:rPr>
                <w:rFonts w:ascii="Courier New" w:cs="Courier New" w:eastAsia="Courier New" w:hAnsi="Courier New"/>
                <w:sz w:val="15"/>
                <w:szCs w:val="15"/>
                <w:color w:val="auto"/>
                <w:w w:val="99"/>
              </w:rPr>
              <w:t>Cash dividends   . . . . . . . . . . . . . . . . . .</w:t>
            </w:r>
          </w:p>
        </w:tc>
        <w:tc>
          <w:tcPr>
            <w:tcW w:w="160" w:type="dxa"/>
            <w:vAlign w:val="bottom"/>
          </w:tcPr>
          <w:p>
            <w:pPr>
              <w:jc w:val="center"/>
              <w:ind w:left="5"/>
              <w:spacing w:after="0"/>
              <w:rPr>
                <w:sz w:val="20"/>
                <w:szCs w:val="20"/>
                <w:color w:val="auto"/>
              </w:rPr>
            </w:pPr>
            <w:r>
              <w:rPr>
                <w:rFonts w:ascii="Courier New" w:cs="Courier New" w:eastAsia="Courier New" w:hAnsi="Courier New"/>
                <w:sz w:val="15"/>
                <w:szCs w:val="15"/>
                <w:color w:val="auto"/>
                <w:w w:val="88"/>
              </w:rPr>
              <w:t>.</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(11,358,213)</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ind w:left="440"/>
              <w:spacing w:after="0"/>
              <w:rPr>
                <w:sz w:val="20"/>
                <w:szCs w:val="20"/>
                <w:color w:val="auto"/>
              </w:rPr>
            </w:pPr>
            <w:r>
              <w:rPr>
                <w:rFonts w:ascii="Courier New" w:cs="Courier New" w:eastAsia="Courier New" w:hAnsi="Courier New"/>
                <w:sz w:val="15"/>
                <w:szCs w:val="15"/>
                <w:color w:val="auto"/>
                <w:w w:val="99"/>
              </w:rPr>
              <w:t>Exercise of stock options  . . . . . . . . . . . . .</w:t>
            </w:r>
          </w:p>
        </w:tc>
        <w:tc>
          <w:tcPr>
            <w:tcW w:w="160" w:type="dxa"/>
            <w:vAlign w:val="bottom"/>
          </w:tcPr>
          <w:p>
            <w:pPr>
              <w:jc w:val="center"/>
              <w:ind w:left="5"/>
              <w:spacing w:after="0"/>
              <w:rPr>
                <w:sz w:val="20"/>
                <w:szCs w:val="20"/>
                <w:color w:val="auto"/>
              </w:rPr>
            </w:pPr>
            <w:r>
              <w:rPr>
                <w:rFonts w:ascii="Courier New" w:cs="Courier New" w:eastAsia="Courier New" w:hAnsi="Courier New"/>
                <w:sz w:val="15"/>
                <w:szCs w:val="15"/>
                <w:color w:val="auto"/>
                <w:w w:val="88"/>
              </w:rPr>
              <w:t>.</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24,124</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120,620</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422,784</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ind w:left="440"/>
              <w:spacing w:after="0"/>
              <w:rPr>
                <w:sz w:val="20"/>
                <w:szCs w:val="20"/>
                <w:color w:val="auto"/>
              </w:rPr>
            </w:pPr>
            <w:r>
              <w:rPr>
                <w:rFonts w:ascii="Courier New" w:cs="Courier New" w:eastAsia="Courier New" w:hAnsi="Courier New"/>
                <w:sz w:val="15"/>
                <w:szCs w:val="15"/>
                <w:color w:val="auto"/>
                <w:w w:val="99"/>
              </w:rPr>
              <w:t>5 for 4 stock split distributed May, 1993  . . . . .</w:t>
            </w:r>
          </w:p>
        </w:tc>
        <w:tc>
          <w:tcPr>
            <w:tcW w:w="160" w:type="dxa"/>
            <w:vAlign w:val="bottom"/>
          </w:tcPr>
          <w:p>
            <w:pPr>
              <w:jc w:val="center"/>
              <w:ind w:left="5"/>
              <w:spacing w:after="0"/>
              <w:rPr>
                <w:sz w:val="20"/>
                <w:szCs w:val="20"/>
                <w:color w:val="auto"/>
              </w:rPr>
            </w:pPr>
            <w:r>
              <w:rPr>
                <w:rFonts w:ascii="Courier New" w:cs="Courier New" w:eastAsia="Courier New" w:hAnsi="Courier New"/>
                <w:sz w:val="15"/>
                <w:szCs w:val="15"/>
                <w:color w:val="auto"/>
                <w:w w:val="88"/>
              </w:rPr>
              <w:t>.</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2,888,735</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14,443,675</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(14,443,675)</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6"/>
              </w:rPr>
              <w:t>-----------</w:t>
            </w: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w w:val="99"/>
              </w:rPr>
              <w:t>BALANCE, NOVEMBER 30, 1993  . . . . . . . . . . . . . . .</w:t>
            </w:r>
          </w:p>
        </w:tc>
        <w:tc>
          <w:tcPr>
            <w:tcW w:w="160" w:type="dxa"/>
            <w:vAlign w:val="bottom"/>
          </w:tcPr>
          <w:p>
            <w:pPr>
              <w:jc w:val="center"/>
              <w:ind w:left="5"/>
              <w:spacing w:after="0"/>
              <w:rPr>
                <w:sz w:val="20"/>
                <w:szCs w:val="20"/>
                <w:color w:val="auto"/>
              </w:rPr>
            </w:pPr>
            <w:r>
              <w:rPr>
                <w:rFonts w:ascii="Courier New" w:cs="Courier New" w:eastAsia="Courier New" w:hAnsi="Courier New"/>
                <w:sz w:val="15"/>
                <w:szCs w:val="15"/>
                <w:color w:val="auto"/>
                <w:w w:val="88"/>
              </w:rPr>
              <w:t>.</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14,448,201</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72,241,005</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422,784</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216,211,676</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-0-</w:t>
            </w:r>
          </w:p>
        </w:tc>
      </w:tr>
      <w:tr>
        <w:trPr>
          <w:trHeight w:val="172"/>
        </w:trPr>
        <w:tc>
          <w:tcPr>
            <w:tcW w:w="5100" w:type="dxa"/>
            <w:vAlign w:val="bottom"/>
          </w:tcPr>
          <w:p>
            <w:pPr>
              <w:ind w:left="440"/>
              <w:spacing w:after="0"/>
              <w:rPr>
                <w:sz w:val="20"/>
                <w:szCs w:val="20"/>
                <w:color w:val="auto"/>
              </w:rPr>
            </w:pPr>
            <w:r>
              <w:rPr>
                <w:rFonts w:ascii="Courier New" w:cs="Courier New" w:eastAsia="Courier New" w:hAnsi="Courier New"/>
                <w:sz w:val="15"/>
                <w:szCs w:val="15"/>
                <w:color w:val="auto"/>
                <w:w w:val="99"/>
              </w:rPr>
              <w:t>Net income   . . . . . . . . . . . . . . . . . . . .</w:t>
            </w:r>
          </w:p>
        </w:tc>
        <w:tc>
          <w:tcPr>
            <w:tcW w:w="160" w:type="dxa"/>
            <w:vAlign w:val="bottom"/>
          </w:tcPr>
          <w:p>
            <w:pPr>
              <w:jc w:val="center"/>
              <w:ind w:left="5"/>
              <w:spacing w:after="0"/>
              <w:rPr>
                <w:sz w:val="20"/>
                <w:szCs w:val="20"/>
                <w:color w:val="auto"/>
              </w:rPr>
            </w:pPr>
            <w:r>
              <w:rPr>
                <w:rFonts w:ascii="Courier New" w:cs="Courier New" w:eastAsia="Courier New" w:hAnsi="Courier New"/>
                <w:sz w:val="15"/>
                <w:szCs w:val="15"/>
                <w:color w:val="auto"/>
                <w:w w:val="88"/>
              </w:rPr>
              <w:t>.</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24,466,204</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ind w:left="440"/>
              <w:spacing w:after="0"/>
              <w:rPr>
                <w:sz w:val="20"/>
                <w:szCs w:val="20"/>
                <w:color w:val="auto"/>
              </w:rPr>
            </w:pPr>
            <w:r>
              <w:rPr>
                <w:rFonts w:ascii="Courier New" w:cs="Courier New" w:eastAsia="Courier New" w:hAnsi="Courier New"/>
                <w:sz w:val="15"/>
                <w:szCs w:val="15"/>
                <w:color w:val="auto"/>
                <w:w w:val="99"/>
              </w:rPr>
              <w:t>Cash dividends   . . . . . . . . . . . . . . . . . .</w:t>
            </w:r>
          </w:p>
        </w:tc>
        <w:tc>
          <w:tcPr>
            <w:tcW w:w="160" w:type="dxa"/>
            <w:vAlign w:val="bottom"/>
          </w:tcPr>
          <w:p>
            <w:pPr>
              <w:jc w:val="center"/>
              <w:ind w:left="5"/>
              <w:spacing w:after="0"/>
              <w:rPr>
                <w:sz w:val="20"/>
                <w:szCs w:val="20"/>
                <w:color w:val="auto"/>
              </w:rPr>
            </w:pPr>
            <w:r>
              <w:rPr>
                <w:rFonts w:ascii="Courier New" w:cs="Courier New" w:eastAsia="Courier New" w:hAnsi="Courier New"/>
                <w:sz w:val="15"/>
                <w:szCs w:val="15"/>
                <w:color w:val="auto"/>
                <w:w w:val="88"/>
              </w:rPr>
              <w:t>.</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(11,411,357)</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ind w:left="440"/>
              <w:spacing w:after="0"/>
              <w:rPr>
                <w:sz w:val="20"/>
                <w:szCs w:val="20"/>
                <w:color w:val="auto"/>
              </w:rPr>
            </w:pPr>
            <w:r>
              <w:rPr>
                <w:rFonts w:ascii="Courier New" w:cs="Courier New" w:eastAsia="Courier New" w:hAnsi="Courier New"/>
                <w:sz w:val="15"/>
                <w:szCs w:val="15"/>
                <w:color w:val="auto"/>
                <w:w w:val="99"/>
              </w:rPr>
              <w:t>Purchase and retirement of common stock  . . . . . .</w:t>
            </w:r>
          </w:p>
        </w:tc>
        <w:tc>
          <w:tcPr>
            <w:tcW w:w="160" w:type="dxa"/>
            <w:vAlign w:val="bottom"/>
          </w:tcPr>
          <w:p>
            <w:pPr>
              <w:jc w:val="center"/>
              <w:ind w:left="5"/>
              <w:spacing w:after="0"/>
              <w:rPr>
                <w:sz w:val="20"/>
                <w:szCs w:val="20"/>
                <w:color w:val="auto"/>
              </w:rPr>
            </w:pPr>
            <w:r>
              <w:rPr>
                <w:rFonts w:ascii="Courier New" w:cs="Courier New" w:eastAsia="Courier New" w:hAnsi="Courier New"/>
                <w:sz w:val="15"/>
                <w:szCs w:val="15"/>
                <w:color w:val="auto"/>
                <w:w w:val="88"/>
              </w:rPr>
              <w:t>.</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(361,386)</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(1,806,930)</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(422,784)</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(7,316,706)</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526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8"/>
              </w:rPr>
              <w:t>Initial recognition of unrealized holding gains  . . .</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w w:val="98"/>
              </w:rPr>
              <w:t>2,809,000</w:t>
            </w: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6"/>
              </w:rPr>
              <w:t>-----------</w:t>
            </w: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w w:val="99"/>
              </w:rPr>
              <w:t>BALANCE, NOVEMBER 30, 1994  . . . . . . . . . . . . . . .</w:t>
            </w:r>
          </w:p>
        </w:tc>
        <w:tc>
          <w:tcPr>
            <w:tcW w:w="160" w:type="dxa"/>
            <w:vAlign w:val="bottom"/>
          </w:tcPr>
          <w:p>
            <w:pPr>
              <w:jc w:val="center"/>
              <w:ind w:left="5"/>
              <w:spacing w:after="0"/>
              <w:rPr>
                <w:sz w:val="20"/>
                <w:szCs w:val="20"/>
                <w:color w:val="auto"/>
              </w:rPr>
            </w:pPr>
            <w:r>
              <w:rPr>
                <w:rFonts w:ascii="Courier New" w:cs="Courier New" w:eastAsia="Courier New" w:hAnsi="Courier New"/>
                <w:sz w:val="15"/>
                <w:szCs w:val="15"/>
                <w:color w:val="auto"/>
                <w:w w:val="88"/>
              </w:rPr>
              <w:t>.</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14,086,815</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70,434,075</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221,949,817</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w w:val="98"/>
              </w:rPr>
              <w:t>2,809,000</w:t>
            </w:r>
          </w:p>
        </w:tc>
      </w:tr>
      <w:tr>
        <w:trPr>
          <w:trHeight w:val="172"/>
        </w:trPr>
        <w:tc>
          <w:tcPr>
            <w:tcW w:w="5100" w:type="dxa"/>
            <w:vAlign w:val="bottom"/>
          </w:tcPr>
          <w:p>
            <w:pPr>
              <w:ind w:left="440"/>
              <w:spacing w:after="0"/>
              <w:rPr>
                <w:sz w:val="20"/>
                <w:szCs w:val="20"/>
                <w:color w:val="auto"/>
              </w:rPr>
            </w:pPr>
            <w:r>
              <w:rPr>
                <w:rFonts w:ascii="Courier New" w:cs="Courier New" w:eastAsia="Courier New" w:hAnsi="Courier New"/>
                <w:sz w:val="15"/>
                <w:szCs w:val="15"/>
                <w:color w:val="auto"/>
                <w:w w:val="99"/>
              </w:rPr>
              <w:t>Net income   . . . . . . . . . . . . . . . . . . . .</w:t>
            </w:r>
          </w:p>
        </w:tc>
        <w:tc>
          <w:tcPr>
            <w:tcW w:w="160" w:type="dxa"/>
            <w:vAlign w:val="bottom"/>
          </w:tcPr>
          <w:p>
            <w:pPr>
              <w:jc w:val="center"/>
              <w:ind w:left="5"/>
              <w:spacing w:after="0"/>
              <w:rPr>
                <w:sz w:val="20"/>
                <w:szCs w:val="20"/>
                <w:color w:val="auto"/>
              </w:rPr>
            </w:pPr>
            <w:r>
              <w:rPr>
                <w:rFonts w:ascii="Courier New" w:cs="Courier New" w:eastAsia="Courier New" w:hAnsi="Courier New"/>
                <w:sz w:val="15"/>
                <w:szCs w:val="15"/>
                <w:color w:val="auto"/>
                <w:w w:val="88"/>
              </w:rPr>
              <w:t>.</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22,902,786</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ind w:left="440"/>
              <w:spacing w:after="0"/>
              <w:rPr>
                <w:sz w:val="20"/>
                <w:szCs w:val="20"/>
                <w:color w:val="auto"/>
              </w:rPr>
            </w:pPr>
            <w:r>
              <w:rPr>
                <w:rFonts w:ascii="Courier New" w:cs="Courier New" w:eastAsia="Courier New" w:hAnsi="Courier New"/>
                <w:sz w:val="15"/>
                <w:szCs w:val="15"/>
                <w:color w:val="auto"/>
                <w:w w:val="99"/>
              </w:rPr>
              <w:t>Cash dividends   . . . . . . . . . . . . . . . . . .</w:t>
            </w:r>
          </w:p>
        </w:tc>
        <w:tc>
          <w:tcPr>
            <w:tcW w:w="160" w:type="dxa"/>
            <w:vAlign w:val="bottom"/>
          </w:tcPr>
          <w:p>
            <w:pPr>
              <w:jc w:val="center"/>
              <w:ind w:left="5"/>
              <w:spacing w:after="0"/>
              <w:rPr>
                <w:sz w:val="20"/>
                <w:szCs w:val="20"/>
                <w:color w:val="auto"/>
              </w:rPr>
            </w:pPr>
            <w:r>
              <w:rPr>
                <w:rFonts w:ascii="Courier New" w:cs="Courier New" w:eastAsia="Courier New" w:hAnsi="Courier New"/>
                <w:sz w:val="15"/>
                <w:szCs w:val="15"/>
                <w:color w:val="auto"/>
                <w:w w:val="88"/>
              </w:rPr>
              <w:t>.</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(11,196,755)</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ind w:left="440"/>
              <w:spacing w:after="0"/>
              <w:rPr>
                <w:sz w:val="20"/>
                <w:szCs w:val="20"/>
                <w:color w:val="auto"/>
              </w:rPr>
            </w:pPr>
            <w:r>
              <w:rPr>
                <w:rFonts w:ascii="Courier New" w:cs="Courier New" w:eastAsia="Courier New" w:hAnsi="Courier New"/>
                <w:sz w:val="15"/>
                <w:szCs w:val="15"/>
                <w:color w:val="auto"/>
                <w:w w:val="99"/>
              </w:rPr>
              <w:t>Purchase and retirement of common stock  . . . . . .</w:t>
            </w:r>
          </w:p>
        </w:tc>
        <w:tc>
          <w:tcPr>
            <w:tcW w:w="160" w:type="dxa"/>
            <w:vAlign w:val="bottom"/>
          </w:tcPr>
          <w:p>
            <w:pPr>
              <w:jc w:val="center"/>
              <w:ind w:left="5"/>
              <w:spacing w:after="0"/>
              <w:rPr>
                <w:sz w:val="20"/>
                <w:szCs w:val="20"/>
                <w:color w:val="auto"/>
              </w:rPr>
            </w:pPr>
            <w:r>
              <w:rPr>
                <w:rFonts w:ascii="Courier New" w:cs="Courier New" w:eastAsia="Courier New" w:hAnsi="Courier New"/>
                <w:sz w:val="15"/>
                <w:szCs w:val="15"/>
                <w:color w:val="auto"/>
                <w:w w:val="88"/>
              </w:rPr>
              <w:t>.</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(429,701)</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(2,148,505)</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4"/>
              </w:rPr>
              <w:t>(39,538)</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(7,937,144)</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ind w:left="440"/>
              <w:spacing w:after="0"/>
              <w:rPr>
                <w:sz w:val="20"/>
                <w:szCs w:val="20"/>
                <w:color w:val="auto"/>
              </w:rPr>
            </w:pPr>
            <w:r>
              <w:rPr>
                <w:rFonts w:ascii="Courier New" w:cs="Courier New" w:eastAsia="Courier New" w:hAnsi="Courier New"/>
                <w:sz w:val="15"/>
                <w:szCs w:val="15"/>
                <w:color w:val="auto"/>
              </w:rPr>
              <w:t>Issuance of Common Stock to non-employee directors</w:t>
            </w:r>
          </w:p>
        </w:tc>
        <w:tc>
          <w:tcPr>
            <w:tcW w:w="160" w:type="dxa"/>
            <w:vAlign w:val="bottom"/>
          </w:tcPr>
          <w:p>
            <w:pPr>
              <w:jc w:val="center"/>
              <w:ind w:left="5"/>
              <w:spacing w:after="0"/>
              <w:rPr>
                <w:sz w:val="20"/>
                <w:szCs w:val="20"/>
                <w:color w:val="auto"/>
              </w:rPr>
            </w:pPr>
            <w:r>
              <w:rPr>
                <w:rFonts w:ascii="Courier New" w:cs="Courier New" w:eastAsia="Courier New" w:hAnsi="Courier New"/>
                <w:sz w:val="15"/>
                <w:szCs w:val="15"/>
                <w:color w:val="auto"/>
                <w:w w:val="88"/>
              </w:rPr>
              <w:t>.</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1,839</w:t>
            </w:r>
          </w:p>
        </w:tc>
        <w:tc>
          <w:tcPr>
            <w:tcW w:w="500" w:type="dxa"/>
            <w:vAlign w:val="bottom"/>
          </w:tcPr>
          <w:p>
            <w:pPr>
              <w:spacing w:after="0"/>
              <w:rPr>
                <w:sz w:val="14"/>
                <w:szCs w:val="14"/>
                <w:color w:val="auto"/>
              </w:rPr>
            </w:pP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9,195</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39,538</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ind w:left="440"/>
              <w:spacing w:after="0"/>
              <w:rPr>
                <w:sz w:val="20"/>
                <w:szCs w:val="20"/>
                <w:color w:val="auto"/>
              </w:rPr>
            </w:pPr>
            <w:r>
              <w:rPr>
                <w:rFonts w:ascii="Courier New" w:cs="Courier New" w:eastAsia="Courier New" w:hAnsi="Courier New"/>
                <w:sz w:val="15"/>
                <w:szCs w:val="15"/>
                <w:color w:val="auto"/>
                <w:w w:val="99"/>
              </w:rPr>
              <w:t>Net change in unrealized holding gains   . . . . . .</w:t>
            </w:r>
          </w:p>
        </w:tc>
        <w:tc>
          <w:tcPr>
            <w:tcW w:w="160" w:type="dxa"/>
            <w:vAlign w:val="bottom"/>
          </w:tcPr>
          <w:p>
            <w:pPr>
              <w:jc w:val="center"/>
              <w:ind w:left="5"/>
              <w:spacing w:after="0"/>
              <w:rPr>
                <w:sz w:val="20"/>
                <w:szCs w:val="20"/>
                <w:color w:val="auto"/>
              </w:rPr>
            </w:pPr>
            <w:r>
              <w:rPr>
                <w:rFonts w:ascii="Courier New" w:cs="Courier New" w:eastAsia="Courier New" w:hAnsi="Courier New"/>
                <w:sz w:val="15"/>
                <w:szCs w:val="15"/>
                <w:color w:val="auto"/>
                <w:w w:val="88"/>
              </w:rPr>
              <w:t>.</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w w:val="98"/>
              </w:rPr>
              <w:t>2,081,000</w:t>
            </w: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6"/>
              </w:rPr>
              <w:t>-----------</w:t>
            </w: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w w:val="99"/>
              </w:rPr>
              <w:t>BALANCE, NOVEMBER 30, 1995  . . . . . . . . . . . . . . .</w:t>
            </w:r>
          </w:p>
        </w:tc>
        <w:tc>
          <w:tcPr>
            <w:tcW w:w="160" w:type="dxa"/>
            <w:vAlign w:val="bottom"/>
          </w:tcPr>
          <w:p>
            <w:pPr>
              <w:jc w:val="center"/>
              <w:ind w:left="5"/>
              <w:spacing w:after="0"/>
              <w:rPr>
                <w:sz w:val="20"/>
                <w:szCs w:val="20"/>
                <w:color w:val="auto"/>
              </w:rPr>
            </w:pPr>
            <w:r>
              <w:rPr>
                <w:rFonts w:ascii="Courier New" w:cs="Courier New" w:eastAsia="Courier New" w:hAnsi="Courier New"/>
                <w:sz w:val="15"/>
                <w:szCs w:val="15"/>
                <w:color w:val="auto"/>
                <w:w w:val="88"/>
              </w:rPr>
              <w:t>.</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13,658,953</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6"/>
              </w:rPr>
              <w:t>$68,294,765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$225,718,704</w:t>
            </w:r>
          </w:p>
        </w:tc>
        <w:tc>
          <w:tcPr>
            <w:tcW w:w="128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$4,890,000</w:t>
            </w: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6"/>
              </w:rPr>
              <w:t>===========</w:t>
            </w: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1520"/>
          </w:cols>
          <w:pgMar w:left="240" w:top="289" w:right="139" w:bottom="1440" w:gutter="0" w:footer="0" w:header="0"/>
        </w:sectPr>
      </w:pP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 financial statements.</w:t>
      </w:r>
    </w:p>
    <w:p>
      <w:pPr>
        <w:sectPr>
          <w:pgSz w:w="11900" w:h="16838" w:orient="portrait"/>
          <w:cols w:equalWidth="0" w:num="1">
            <w:col w:w="11520"/>
          </w:cols>
          <w:pgMar w:left="240" w:top="289" w:right="139" w:bottom="1440" w:gutter="0" w:footer="0" w:header="0"/>
          <w:type w:val="continuous"/>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3</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Page 15 of 23</w:t>
            </w:r>
          </w:p>
        </w:tc>
        <w:tc>
          <w:tcPr>
            <w:tcW w:w="1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516"/>
        </w:trPr>
        <w:tc>
          <w:tcPr>
            <w:tcW w:w="7280" w:type="dxa"/>
            <w:vAlign w:val="bottom"/>
          </w:tcPr>
          <w:p>
            <w:pPr>
              <w:spacing w:after="0"/>
              <w:rPr>
                <w:sz w:val="20"/>
                <w:szCs w:val="20"/>
                <w:color w:val="auto"/>
              </w:rPr>
            </w:pPr>
            <w:r>
              <w:rPr>
                <w:rFonts w:ascii="Courier New" w:cs="Courier New" w:eastAsia="Courier New" w:hAnsi="Courier New"/>
                <w:sz w:val="15"/>
                <w:szCs w:val="15"/>
                <w:color w:val="auto"/>
              </w:rPr>
              <w:t>CONSOLIDATED STATEMENT OF CASH FLOWS</w:t>
            </w:r>
          </w:p>
        </w:tc>
        <w:tc>
          <w:tcPr>
            <w:tcW w:w="1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2"/>
        </w:trPr>
        <w:tc>
          <w:tcPr>
            <w:tcW w:w="7280" w:type="dxa"/>
            <w:vAlign w:val="bottom"/>
          </w:tcPr>
          <w:p>
            <w:pPr>
              <w:spacing w:after="0"/>
              <w:rPr>
                <w:sz w:val="20"/>
                <w:szCs w:val="20"/>
                <w:color w:val="auto"/>
              </w:rPr>
            </w:pPr>
            <w:r>
              <w:rPr>
                <w:rFonts w:ascii="Courier New" w:cs="Courier New" w:eastAsia="Courier New" w:hAnsi="Courier New"/>
                <w:sz w:val="15"/>
                <w:szCs w:val="15"/>
                <w:color w:val="auto"/>
              </w:rPr>
              <w:t>Bassett Furniture Industries, Incorporated and Subsidiaries</w:t>
            </w:r>
          </w:p>
        </w:tc>
        <w:tc>
          <w:tcPr>
            <w:tcW w:w="1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688"/>
        </w:trPr>
        <w:tc>
          <w:tcPr>
            <w:tcW w:w="7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80" w:type="dxa"/>
            <w:vAlign w:val="bottom"/>
            <w:gridSpan w:val="3"/>
          </w:tcPr>
          <w:p>
            <w:pPr>
              <w:jc w:val="right"/>
              <w:ind w:right="745"/>
              <w:spacing w:after="0"/>
              <w:rPr>
                <w:sz w:val="20"/>
                <w:szCs w:val="20"/>
                <w:color w:val="auto"/>
              </w:rPr>
            </w:pPr>
            <w:r>
              <w:rPr>
                <w:rFonts w:ascii="Courier New" w:cs="Courier New" w:eastAsia="Courier New" w:hAnsi="Courier New"/>
                <w:sz w:val="15"/>
                <w:szCs w:val="15"/>
                <w:color w:val="auto"/>
                <w:w w:val="98"/>
              </w:rPr>
              <w:t>YEAR ENDED NOVEMBER 30,</w:t>
            </w:r>
          </w:p>
        </w:tc>
      </w:tr>
      <w:tr>
        <w:trPr>
          <w:trHeight w:val="172"/>
        </w:trPr>
        <w:tc>
          <w:tcPr>
            <w:tcW w:w="7280" w:type="dxa"/>
            <w:vAlign w:val="bottom"/>
          </w:tcPr>
          <w:p>
            <w:pPr>
              <w:spacing w:after="0"/>
              <w:rPr>
                <w:sz w:val="14"/>
                <w:szCs w:val="14"/>
                <w:color w:val="auto"/>
              </w:rPr>
            </w:pPr>
          </w:p>
        </w:tc>
        <w:tc>
          <w:tcPr>
            <w:tcW w:w="40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7280" w:type="dxa"/>
            <w:vAlign w:val="bottom"/>
          </w:tcPr>
          <w:p>
            <w:pPr>
              <w:spacing w:after="0"/>
              <w:rPr>
                <w:sz w:val="14"/>
                <w:szCs w:val="14"/>
                <w:color w:val="auto"/>
              </w:rPr>
            </w:pPr>
          </w:p>
        </w:tc>
        <w:tc>
          <w:tcPr>
            <w:tcW w:w="12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1995</w:t>
            </w:r>
          </w:p>
        </w:tc>
        <w:tc>
          <w:tcPr>
            <w:tcW w:w="15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1994</w:t>
            </w:r>
          </w:p>
        </w:tc>
        <w:tc>
          <w:tcPr>
            <w:tcW w:w="12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1993</w:t>
            </w:r>
          </w:p>
        </w:tc>
      </w:tr>
      <w:tr>
        <w:trPr>
          <w:trHeight w:val="172"/>
        </w:trPr>
        <w:tc>
          <w:tcPr>
            <w:tcW w:w="72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728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2"/>
        </w:trPr>
        <w:tc>
          <w:tcPr>
            <w:tcW w:w="7280" w:type="dxa"/>
            <w:vAlign w:val="bottom"/>
          </w:tcPr>
          <w:p>
            <w:pPr>
              <w:ind w:left="180"/>
              <w:spacing w:after="0"/>
              <w:rPr>
                <w:sz w:val="20"/>
                <w:szCs w:val="20"/>
                <w:color w:val="auto"/>
              </w:rPr>
            </w:pPr>
            <w:r>
              <w:rPr>
                <w:rFonts w:ascii="Courier New" w:cs="Courier New" w:eastAsia="Courier New" w:hAnsi="Courier New"/>
                <w:sz w:val="15"/>
                <w:szCs w:val="15"/>
                <w:color w:val="auto"/>
              </w:rPr>
              <w:t>Net income   . . . . . . . . . . . . . . . . . . . . . . . . . . . . . . .</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$22,902,786</w:t>
            </w:r>
          </w:p>
        </w:tc>
        <w:tc>
          <w:tcPr>
            <w:tcW w:w="15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$24,466,204</w:t>
            </w:r>
          </w:p>
        </w:tc>
        <w:tc>
          <w:tcPr>
            <w:tcW w:w="13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$25,868,830</w:t>
            </w:r>
          </w:p>
        </w:tc>
      </w:tr>
      <w:tr>
        <w:trPr>
          <w:trHeight w:val="172"/>
        </w:trPr>
        <w:tc>
          <w:tcPr>
            <w:tcW w:w="7280" w:type="dxa"/>
            <w:vAlign w:val="bottom"/>
          </w:tcPr>
          <w:p>
            <w:pPr>
              <w:ind w:left="180"/>
              <w:spacing w:after="0"/>
              <w:rPr>
                <w:sz w:val="20"/>
                <w:szCs w:val="20"/>
                <w:color w:val="auto"/>
              </w:rPr>
            </w:pPr>
            <w:r>
              <w:rPr>
                <w:rFonts w:ascii="Courier New" w:cs="Courier New" w:eastAsia="Courier New" w:hAnsi="Courier New"/>
                <w:sz w:val="15"/>
                <w:szCs w:val="15"/>
                <w:color w:val="auto"/>
              </w:rPr>
              <w:t>Adjustments to reconcile net income to net cash</w:t>
            </w:r>
          </w:p>
        </w:tc>
        <w:tc>
          <w:tcPr>
            <w:tcW w:w="1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7280" w:type="dxa"/>
            <w:vAlign w:val="bottom"/>
          </w:tcPr>
          <w:p>
            <w:pPr>
              <w:jc w:val="right"/>
              <w:ind w:right="3547"/>
              <w:spacing w:after="0"/>
              <w:rPr>
                <w:sz w:val="20"/>
                <w:szCs w:val="20"/>
                <w:color w:val="auto"/>
              </w:rPr>
            </w:pPr>
            <w:r>
              <w:rPr>
                <w:rFonts w:ascii="Courier New" w:cs="Courier New" w:eastAsia="Courier New" w:hAnsi="Courier New"/>
                <w:sz w:val="15"/>
                <w:szCs w:val="15"/>
                <w:color w:val="auto"/>
              </w:rPr>
              <w:t>provided by operating activities:</w:t>
            </w:r>
          </w:p>
        </w:tc>
        <w:tc>
          <w:tcPr>
            <w:tcW w:w="1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728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 amortization  . . . . . . . . . . . . . . . . . . . . . .</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8,606,985</w:t>
            </w:r>
          </w:p>
        </w:tc>
        <w:tc>
          <w:tcPr>
            <w:tcW w:w="15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8,799,199</w:t>
            </w:r>
          </w:p>
        </w:tc>
        <w:tc>
          <w:tcPr>
            <w:tcW w:w="12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8,984,279</w:t>
            </w:r>
          </w:p>
        </w:tc>
      </w:tr>
      <w:tr>
        <w:trPr>
          <w:trHeight w:val="172"/>
        </w:trPr>
        <w:tc>
          <w:tcPr>
            <w:tcW w:w="7280" w:type="dxa"/>
            <w:vAlign w:val="bottom"/>
          </w:tcPr>
          <w:p>
            <w:pPr>
              <w:ind w:left="180"/>
              <w:spacing w:after="0"/>
              <w:rPr>
                <w:sz w:val="20"/>
                <w:szCs w:val="20"/>
                <w:color w:val="auto"/>
              </w:rPr>
            </w:pPr>
            <w:r>
              <w:rPr>
                <w:rFonts w:ascii="Courier New" w:cs="Courier New" w:eastAsia="Courier New" w:hAnsi="Courier New"/>
                <w:sz w:val="15"/>
                <w:szCs w:val="15"/>
                <w:color w:val="auto"/>
              </w:rPr>
              <w:t>Equity in unremitted income of affiliated companies  . . . . . . . . . . .</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(4,986,109)</w:t>
            </w:r>
          </w:p>
        </w:tc>
        <w:tc>
          <w:tcPr>
            <w:tcW w:w="1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(4,463,683)</w:t>
            </w:r>
          </w:p>
        </w:tc>
        <w:tc>
          <w:tcPr>
            <w:tcW w:w="12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(3,945,899)</w:t>
            </w:r>
          </w:p>
        </w:tc>
      </w:tr>
      <w:tr>
        <w:trPr>
          <w:trHeight w:val="172"/>
        </w:trPr>
        <w:tc>
          <w:tcPr>
            <w:tcW w:w="7280" w:type="dxa"/>
            <w:vAlign w:val="bottom"/>
          </w:tcPr>
          <w:p>
            <w:pPr>
              <w:ind w:left="180"/>
              <w:spacing w:after="0"/>
              <w:rPr>
                <w:sz w:val="20"/>
                <w:szCs w:val="20"/>
                <w:color w:val="auto"/>
              </w:rPr>
            </w:pPr>
            <w:r>
              <w:rPr>
                <w:rFonts w:ascii="Courier New" w:cs="Courier New" w:eastAsia="Courier New" w:hAnsi="Courier New"/>
                <w:sz w:val="15"/>
                <w:szCs w:val="15"/>
                <w:color w:val="auto"/>
              </w:rPr>
              <w:t>Provision for losses on trade accounts receivable  . . . . . . . . . . . .</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606,616</w:t>
            </w:r>
          </w:p>
        </w:tc>
        <w:tc>
          <w:tcPr>
            <w:tcW w:w="15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844,483</w:t>
            </w:r>
          </w:p>
        </w:tc>
        <w:tc>
          <w:tcPr>
            <w:tcW w:w="12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434,450</w:t>
            </w:r>
          </w:p>
        </w:tc>
      </w:tr>
      <w:tr>
        <w:trPr>
          <w:trHeight w:val="172"/>
        </w:trPr>
        <w:tc>
          <w:tcPr>
            <w:tcW w:w="7280" w:type="dxa"/>
            <w:vAlign w:val="bottom"/>
          </w:tcPr>
          <w:p>
            <w:pPr>
              <w:ind w:left="180"/>
              <w:spacing w:after="0"/>
              <w:rPr>
                <w:sz w:val="20"/>
                <w:szCs w:val="20"/>
                <w:color w:val="auto"/>
              </w:rPr>
            </w:pPr>
            <w:r>
              <w:rPr>
                <w:rFonts w:ascii="Courier New" w:cs="Courier New" w:eastAsia="Courier New" w:hAnsi="Courier New"/>
                <w:sz w:val="15"/>
                <w:szCs w:val="15"/>
                <w:color w:val="auto"/>
                <w:w w:val="98"/>
              </w:rPr>
              <w:t>Net  gain from sales of investment securities. . . . . . . . . . . . .</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(4,141,605)</w:t>
            </w:r>
          </w:p>
        </w:tc>
        <w:tc>
          <w:tcPr>
            <w:tcW w:w="1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(518,851)</w:t>
            </w:r>
          </w:p>
        </w:tc>
        <w:tc>
          <w:tcPr>
            <w:tcW w:w="12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(695,247)</w:t>
            </w:r>
          </w:p>
        </w:tc>
      </w:tr>
      <w:tr>
        <w:trPr>
          <w:trHeight w:val="172"/>
        </w:trPr>
        <w:tc>
          <w:tcPr>
            <w:tcW w:w="7280" w:type="dxa"/>
            <w:vAlign w:val="bottom"/>
          </w:tcPr>
          <w:p>
            <w:pPr>
              <w:ind w:left="180"/>
              <w:spacing w:after="0"/>
              <w:rPr>
                <w:sz w:val="20"/>
                <w:szCs w:val="20"/>
                <w:color w:val="auto"/>
              </w:rPr>
            </w:pPr>
            <w:r>
              <w:rPr>
                <w:rFonts w:ascii="Courier New" w:cs="Courier New" w:eastAsia="Courier New" w:hAnsi="Courier New"/>
                <w:sz w:val="15"/>
                <w:szCs w:val="15"/>
                <w:color w:val="auto"/>
              </w:rPr>
              <w:t>Net gain from sales of property,</w:t>
            </w:r>
          </w:p>
        </w:tc>
        <w:tc>
          <w:tcPr>
            <w:tcW w:w="1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72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plant and equipment  . . . . . . . . . . . . . . . . . . . . . . . .</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(815)</w:t>
            </w:r>
          </w:p>
        </w:tc>
        <w:tc>
          <w:tcPr>
            <w:tcW w:w="1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(25,683)</w:t>
            </w:r>
          </w:p>
        </w:tc>
        <w:tc>
          <w:tcPr>
            <w:tcW w:w="12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(317,964)</w:t>
            </w:r>
          </w:p>
        </w:tc>
      </w:tr>
      <w:tr>
        <w:trPr>
          <w:trHeight w:val="172"/>
        </w:trPr>
        <w:tc>
          <w:tcPr>
            <w:tcW w:w="72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Deferred income taxes  . . . . . . . . . . . . . . . . . . . . . . . . . .</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(108,000)</w:t>
            </w:r>
          </w:p>
        </w:tc>
        <w:tc>
          <w:tcPr>
            <w:tcW w:w="15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432,200</w:t>
            </w:r>
          </w:p>
        </w:tc>
        <w:tc>
          <w:tcPr>
            <w:tcW w:w="12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344,000</w:t>
            </w:r>
          </w:p>
        </w:tc>
      </w:tr>
      <w:tr>
        <w:trPr>
          <w:trHeight w:val="172"/>
        </w:trPr>
        <w:tc>
          <w:tcPr>
            <w:tcW w:w="72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Changes in deferred liabilities  . . . . . . . . . . . . . . . . . . . . .</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766,460</w:t>
            </w:r>
          </w:p>
        </w:tc>
        <w:tc>
          <w:tcPr>
            <w:tcW w:w="15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917,206</w:t>
            </w:r>
          </w:p>
        </w:tc>
        <w:tc>
          <w:tcPr>
            <w:tcW w:w="12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744,216</w:t>
            </w:r>
          </w:p>
        </w:tc>
      </w:tr>
      <w:tr>
        <w:trPr>
          <w:trHeight w:val="172"/>
        </w:trPr>
        <w:tc>
          <w:tcPr>
            <w:tcW w:w="7280" w:type="dxa"/>
            <w:vAlign w:val="bottom"/>
          </w:tcPr>
          <w:p>
            <w:pPr>
              <w:ind w:left="180"/>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1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72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Trade accounts receivable  . . . . . . . . . . . . . . . . . . . . .</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2,738,620</w:t>
            </w:r>
          </w:p>
        </w:tc>
        <w:tc>
          <w:tcPr>
            <w:tcW w:w="15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2,184,068</w:t>
            </w:r>
          </w:p>
        </w:tc>
        <w:tc>
          <w:tcPr>
            <w:tcW w:w="12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(1,041,227)</w:t>
            </w:r>
          </w:p>
        </w:tc>
      </w:tr>
      <w:tr>
        <w:trPr>
          <w:trHeight w:val="172"/>
        </w:trPr>
        <w:tc>
          <w:tcPr>
            <w:tcW w:w="72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Other receivables  . . . . . . . . . . . . . . . . . . . . . . . . .</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(31,192)</w:t>
            </w:r>
          </w:p>
        </w:tc>
        <w:tc>
          <w:tcPr>
            <w:tcW w:w="1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(362,506)</w:t>
            </w:r>
          </w:p>
        </w:tc>
        <w:tc>
          <w:tcPr>
            <w:tcW w:w="12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1,610,931</w:t>
            </w:r>
          </w:p>
        </w:tc>
      </w:tr>
      <w:tr>
        <w:trPr>
          <w:trHeight w:val="172"/>
        </w:trPr>
        <w:tc>
          <w:tcPr>
            <w:tcW w:w="72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Inventories and prepaid expenses . . . . . . . . . . . . . . . . . .</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(702,718)</w:t>
            </w:r>
          </w:p>
        </w:tc>
        <w:tc>
          <w:tcPr>
            <w:tcW w:w="1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(9,832,105)</w:t>
            </w:r>
          </w:p>
        </w:tc>
        <w:tc>
          <w:tcPr>
            <w:tcW w:w="12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(5,707,633)</w:t>
            </w:r>
          </w:p>
        </w:tc>
      </w:tr>
      <w:tr>
        <w:trPr>
          <w:trHeight w:val="172"/>
        </w:trPr>
        <w:tc>
          <w:tcPr>
            <w:tcW w:w="72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Accounts payable and accrued compensation  . . . . . . . . . . . . .</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(512,289)</w:t>
            </w:r>
          </w:p>
        </w:tc>
        <w:tc>
          <w:tcPr>
            <w:tcW w:w="15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2,872,754</w:t>
            </w:r>
          </w:p>
        </w:tc>
        <w:tc>
          <w:tcPr>
            <w:tcW w:w="12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(2,547,243)</w:t>
            </w:r>
          </w:p>
        </w:tc>
      </w:tr>
      <w:tr>
        <w:trPr>
          <w:trHeight w:val="172"/>
        </w:trPr>
        <w:tc>
          <w:tcPr>
            <w:tcW w:w="72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Income taxes payable . . . . . . . . . . . . . . . . . . . . . . . .</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1,177,151</w:t>
            </w:r>
          </w:p>
        </w:tc>
        <w:tc>
          <w:tcPr>
            <w:tcW w:w="1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(1,624,711)</w:t>
            </w:r>
          </w:p>
        </w:tc>
        <w:tc>
          <w:tcPr>
            <w:tcW w:w="12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(1,300,760)</w:t>
            </w:r>
          </w:p>
        </w:tc>
      </w:tr>
      <w:tr>
        <w:trPr>
          <w:trHeight w:val="172"/>
        </w:trPr>
        <w:tc>
          <w:tcPr>
            <w:tcW w:w="728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72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26,315,890</w:t>
            </w:r>
          </w:p>
        </w:tc>
        <w:tc>
          <w:tcPr>
            <w:tcW w:w="15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23,688,575</w:t>
            </w:r>
          </w:p>
        </w:tc>
        <w:tc>
          <w:tcPr>
            <w:tcW w:w="12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7"/>
              </w:rPr>
              <w:t>22,430,733</w:t>
            </w:r>
          </w:p>
        </w:tc>
      </w:tr>
      <w:tr>
        <w:trPr>
          <w:trHeight w:val="344"/>
        </w:trPr>
        <w:tc>
          <w:tcPr>
            <w:tcW w:w="728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2"/>
        </w:trPr>
        <w:tc>
          <w:tcPr>
            <w:tcW w:w="72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Purchases of property, plant and equipment   . . . . . . . . . . . . . . .</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(7,226,110)</w:t>
            </w:r>
          </w:p>
        </w:tc>
        <w:tc>
          <w:tcPr>
            <w:tcW w:w="1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(9,999,040)</w:t>
            </w:r>
          </w:p>
        </w:tc>
        <w:tc>
          <w:tcPr>
            <w:tcW w:w="12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(6,235,233)</w:t>
            </w:r>
          </w:p>
        </w:tc>
      </w:tr>
      <w:tr>
        <w:trPr>
          <w:trHeight w:val="172"/>
        </w:trPr>
        <w:tc>
          <w:tcPr>
            <w:tcW w:w="72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Proceeds from sales of property, plant and equipment   . . . . . . . . . .</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49,500</w:t>
            </w:r>
          </w:p>
        </w:tc>
        <w:tc>
          <w:tcPr>
            <w:tcW w:w="15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121,011</w:t>
            </w:r>
          </w:p>
        </w:tc>
        <w:tc>
          <w:tcPr>
            <w:tcW w:w="12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382,833</w:t>
            </w:r>
          </w:p>
        </w:tc>
      </w:tr>
      <w:tr>
        <w:trPr>
          <w:trHeight w:val="172"/>
        </w:trPr>
        <w:tc>
          <w:tcPr>
            <w:tcW w:w="72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Purchases of investment securities   . . . . . . . . . . . . . . . . . . .</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(4,072,445)</w:t>
            </w:r>
          </w:p>
        </w:tc>
        <w:tc>
          <w:tcPr>
            <w:tcW w:w="1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(9,893,116)</w:t>
            </w:r>
          </w:p>
        </w:tc>
        <w:tc>
          <w:tcPr>
            <w:tcW w:w="12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(9,866,962)</w:t>
            </w:r>
          </w:p>
        </w:tc>
      </w:tr>
      <w:tr>
        <w:trPr>
          <w:trHeight w:val="172"/>
        </w:trPr>
        <w:tc>
          <w:tcPr>
            <w:tcW w:w="72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Proceeds from sales of investment securities   . . . . . . . . . . . . . .</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16,156,714</w:t>
            </w:r>
          </w:p>
        </w:tc>
        <w:tc>
          <w:tcPr>
            <w:tcW w:w="15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7,595,629</w:t>
            </w:r>
          </w:p>
        </w:tc>
        <w:tc>
          <w:tcPr>
            <w:tcW w:w="12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7,522,647</w:t>
            </w:r>
          </w:p>
        </w:tc>
      </w:tr>
      <w:tr>
        <w:trPr>
          <w:trHeight w:val="172"/>
        </w:trPr>
        <w:tc>
          <w:tcPr>
            <w:tcW w:w="72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Dividends from affiliated company  . . . . . . . . . . . . . . . . . . . .</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1,089,505</w:t>
            </w:r>
          </w:p>
        </w:tc>
        <w:tc>
          <w:tcPr>
            <w:tcW w:w="15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1,089,505</w:t>
            </w:r>
          </w:p>
        </w:tc>
        <w:tc>
          <w:tcPr>
            <w:tcW w:w="12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272,376</w:t>
            </w:r>
          </w:p>
        </w:tc>
      </w:tr>
      <w:tr>
        <w:trPr>
          <w:trHeight w:val="172"/>
        </w:trPr>
        <w:tc>
          <w:tcPr>
            <w:tcW w:w="72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Additional investment in affiliated company  . . . . . . . . . . . . . . .</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(1,100,000)</w:t>
            </w:r>
          </w:p>
        </w:tc>
        <w:tc>
          <w:tcPr>
            <w:tcW w:w="15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w:t>
            </w:r>
          </w:p>
        </w:tc>
        <w:tc>
          <w:tcPr>
            <w:tcW w:w="12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w:t>
            </w:r>
          </w:p>
        </w:tc>
      </w:tr>
      <w:tr>
        <w:trPr>
          <w:trHeight w:val="172"/>
        </w:trPr>
        <w:tc>
          <w:tcPr>
            <w:tcW w:w="72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Investment in corporate owned life insurance   . . . . . . . . . . . . . .</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(920,260)</w:t>
            </w:r>
          </w:p>
        </w:tc>
        <w:tc>
          <w:tcPr>
            <w:tcW w:w="1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(2,598,314)</w:t>
            </w:r>
          </w:p>
        </w:tc>
        <w:tc>
          <w:tcPr>
            <w:tcW w:w="12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(731,672)</w:t>
            </w:r>
          </w:p>
        </w:tc>
      </w:tr>
      <w:tr>
        <w:trPr>
          <w:trHeight w:val="172"/>
        </w:trPr>
        <w:tc>
          <w:tcPr>
            <w:tcW w:w="72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Other  . . . . . . . . . . . . . . . . . . . . . . . . . . . . . . . . . .</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(3,423)</w:t>
            </w:r>
          </w:p>
        </w:tc>
        <w:tc>
          <w:tcPr>
            <w:tcW w:w="15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310,928</w:t>
            </w:r>
          </w:p>
        </w:tc>
        <w:tc>
          <w:tcPr>
            <w:tcW w:w="12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(187,425)</w:t>
            </w:r>
          </w:p>
        </w:tc>
      </w:tr>
      <w:tr>
        <w:trPr>
          <w:trHeight w:val="172"/>
        </w:trPr>
        <w:tc>
          <w:tcPr>
            <w:tcW w:w="728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72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NET CASH PROVIDED BY (USED IN) INVESTING ACTIVITIES</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3,973,481</w:t>
            </w:r>
          </w:p>
        </w:tc>
        <w:tc>
          <w:tcPr>
            <w:tcW w:w="1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(13,373,397)</w:t>
            </w:r>
          </w:p>
        </w:tc>
        <w:tc>
          <w:tcPr>
            <w:tcW w:w="12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(8,843,436)</w:t>
            </w:r>
          </w:p>
        </w:tc>
      </w:tr>
      <w:tr>
        <w:trPr>
          <w:trHeight w:val="344"/>
        </w:trPr>
        <w:tc>
          <w:tcPr>
            <w:tcW w:w="728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2"/>
        </w:trPr>
        <w:tc>
          <w:tcPr>
            <w:tcW w:w="72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Issuance of Common Stock   . . . . . . . . . . . . . . . . . . . . . . . .</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48,733</w:t>
            </w:r>
          </w:p>
        </w:tc>
        <w:tc>
          <w:tcPr>
            <w:tcW w:w="15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w:t>
            </w:r>
          </w:p>
        </w:tc>
        <w:tc>
          <w:tcPr>
            <w:tcW w:w="12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543,404</w:t>
            </w:r>
          </w:p>
        </w:tc>
      </w:tr>
      <w:tr>
        <w:trPr>
          <w:trHeight w:val="172"/>
        </w:trPr>
        <w:tc>
          <w:tcPr>
            <w:tcW w:w="72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Purchase of common stock   . . . . . . . . . . . . . . . . . . . . . . . .</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(10,125,187)</w:t>
            </w:r>
          </w:p>
        </w:tc>
        <w:tc>
          <w:tcPr>
            <w:tcW w:w="1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(9,546,420)</w:t>
            </w:r>
          </w:p>
        </w:tc>
        <w:tc>
          <w:tcPr>
            <w:tcW w:w="12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w:t>
            </w:r>
          </w:p>
        </w:tc>
      </w:tr>
      <w:tr>
        <w:trPr>
          <w:trHeight w:val="172"/>
        </w:trPr>
        <w:tc>
          <w:tcPr>
            <w:tcW w:w="72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Cash dividends   . . . . . . . . . . . . . . . . . . . . . . . . . . . . .</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(11,196,755)</w:t>
            </w:r>
          </w:p>
        </w:tc>
        <w:tc>
          <w:tcPr>
            <w:tcW w:w="1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(11,411,357)</w:t>
            </w: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(11,358,213)</w:t>
            </w:r>
          </w:p>
        </w:tc>
      </w:tr>
      <w:tr>
        <w:trPr>
          <w:trHeight w:val="172"/>
        </w:trPr>
        <w:tc>
          <w:tcPr>
            <w:tcW w:w="728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72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NET CASH USED IN FINANCING ACTIVITIES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(21,273,209)</w:t>
            </w:r>
          </w:p>
        </w:tc>
        <w:tc>
          <w:tcPr>
            <w:tcW w:w="1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(20,957,777)</w:t>
            </w: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(10,814,809)</w:t>
            </w:r>
          </w:p>
        </w:tc>
      </w:tr>
      <w:tr>
        <w:trPr>
          <w:trHeight w:val="172"/>
        </w:trPr>
        <w:tc>
          <w:tcPr>
            <w:tcW w:w="728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344"/>
        </w:trPr>
        <w:tc>
          <w:tcPr>
            <w:tcW w:w="7280" w:type="dxa"/>
            <w:vAlign w:val="bottom"/>
          </w:tcPr>
          <w:p>
            <w:pPr>
              <w:spacing w:after="0"/>
              <w:rPr>
                <w:sz w:val="20"/>
                <w:szCs w:val="20"/>
                <w:color w:val="auto"/>
              </w:rPr>
            </w:pPr>
            <w:r>
              <w:rPr>
                <w:rFonts w:ascii="Courier New" w:cs="Courier New" w:eastAsia="Courier New" w:hAnsi="Courier New"/>
                <w:sz w:val="15"/>
                <w:szCs w:val="15"/>
                <w:color w:val="auto"/>
              </w:rPr>
              <w:t>CHANGE IN CASH AND CASH EQUIVALENTS . . . . . . . . . . . . . . . . . . . . .</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9,016,162</w:t>
            </w:r>
          </w:p>
        </w:tc>
        <w:tc>
          <w:tcPr>
            <w:tcW w:w="1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(10,642,599)</w:t>
            </w:r>
          </w:p>
        </w:tc>
        <w:tc>
          <w:tcPr>
            <w:tcW w:w="120" w:type="dxa"/>
            <w:vAlign w:val="bottom"/>
          </w:tcPr>
          <w:p>
            <w:pPr>
              <w:spacing w:after="0"/>
              <w:rPr>
                <w:sz w:val="24"/>
                <w:szCs w:val="2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2,772,488</w:t>
            </w:r>
          </w:p>
        </w:tc>
      </w:tr>
      <w:tr>
        <w:trPr>
          <w:trHeight w:val="344"/>
        </w:trPr>
        <w:tc>
          <w:tcPr>
            <w:tcW w:w="7280" w:type="dxa"/>
            <w:vAlign w:val="bottom"/>
          </w:tcPr>
          <w:p>
            <w:pPr>
              <w:spacing w:after="0"/>
              <w:rPr>
                <w:sz w:val="20"/>
                <w:szCs w:val="20"/>
                <w:color w:val="auto"/>
              </w:rPr>
            </w:pPr>
            <w:r>
              <w:rPr>
                <w:rFonts w:ascii="Courier New" w:cs="Courier New" w:eastAsia="Courier New" w:hAnsi="Courier New"/>
                <w:sz w:val="15"/>
                <w:szCs w:val="15"/>
                <w:color w:val="auto"/>
              </w:rPr>
              <w:t>CASH AND CASH EQUIVALENTS-beginning of year . . . . . . . . . . . . . . . . .</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42,314,957</w:t>
            </w:r>
          </w:p>
        </w:tc>
        <w:tc>
          <w:tcPr>
            <w:tcW w:w="15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52,957,556</w:t>
            </w:r>
          </w:p>
        </w:tc>
        <w:tc>
          <w:tcPr>
            <w:tcW w:w="120" w:type="dxa"/>
            <w:vAlign w:val="bottom"/>
          </w:tcPr>
          <w:p>
            <w:pPr>
              <w:spacing w:after="0"/>
              <w:rPr>
                <w:sz w:val="24"/>
                <w:szCs w:val="2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7"/>
              </w:rPr>
              <w:t>50,185,068</w:t>
            </w:r>
          </w:p>
        </w:tc>
      </w:tr>
      <w:tr>
        <w:trPr>
          <w:trHeight w:val="172"/>
        </w:trPr>
        <w:tc>
          <w:tcPr>
            <w:tcW w:w="72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7280" w:type="dxa"/>
            <w:vAlign w:val="bottom"/>
          </w:tcPr>
          <w:p>
            <w:pPr>
              <w:spacing w:after="0"/>
              <w:rPr>
                <w:sz w:val="20"/>
                <w:szCs w:val="20"/>
                <w:color w:val="auto"/>
              </w:rPr>
            </w:pPr>
            <w:r>
              <w:rPr>
                <w:rFonts w:ascii="Courier New" w:cs="Courier New" w:eastAsia="Courier New" w:hAnsi="Courier New"/>
                <w:sz w:val="15"/>
                <w:szCs w:val="15"/>
                <w:color w:val="auto"/>
              </w:rPr>
              <w:t>CASH AND CASH EQUIVALENTS-end of year . . . . . . . . . . . . . . . . . . . .</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$51,331,119</w:t>
            </w:r>
          </w:p>
        </w:tc>
        <w:tc>
          <w:tcPr>
            <w:tcW w:w="15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$42,314,957</w:t>
            </w:r>
          </w:p>
        </w:tc>
        <w:tc>
          <w:tcPr>
            <w:tcW w:w="13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$52,957,556</w:t>
            </w:r>
          </w:p>
        </w:tc>
      </w:tr>
      <w:tr>
        <w:trPr>
          <w:trHeight w:val="172"/>
        </w:trPr>
        <w:tc>
          <w:tcPr>
            <w:tcW w:w="728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72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44"/>
        </w:trPr>
        <w:tc>
          <w:tcPr>
            <w:tcW w:w="7280" w:type="dxa"/>
            <w:vAlign w:val="bottom"/>
          </w:tcPr>
          <w:p>
            <w:pPr>
              <w:spacing w:after="0"/>
              <w:rPr>
                <w:sz w:val="20"/>
                <w:szCs w:val="20"/>
                <w:color w:val="auto"/>
              </w:rPr>
            </w:pPr>
            <w:r>
              <w:rPr>
                <w:rFonts w:ascii="Courier New" w:cs="Courier New" w:eastAsia="Courier New" w:hAnsi="Courier New"/>
                <w:sz w:val="15"/>
                <w:szCs w:val="15"/>
                <w:color w:val="auto"/>
              </w:rPr>
              <w:t>Income tax payments . . . . . . . . . . . . . . . . . . . . . . . . . . . . .</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$ 6,156,849</w:t>
            </w:r>
          </w:p>
        </w:tc>
        <w:tc>
          <w:tcPr>
            <w:tcW w:w="15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$11,506,711</w:t>
            </w:r>
          </w:p>
        </w:tc>
        <w:tc>
          <w:tcPr>
            <w:tcW w:w="13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$11,600,760</w:t>
            </w:r>
          </w:p>
        </w:tc>
      </w:tr>
      <w:tr>
        <w:trPr>
          <w:trHeight w:val="172"/>
        </w:trPr>
        <w:tc>
          <w:tcPr>
            <w:tcW w:w="728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7280" w:type="dxa"/>
            <w:vAlign w:val="bottom"/>
          </w:tcPr>
          <w:p>
            <w:pPr>
              <w:spacing w:after="0"/>
              <w:rPr>
                <w:sz w:val="20"/>
                <w:szCs w:val="20"/>
                <w:color w:val="auto"/>
              </w:rPr>
            </w:pPr>
            <w:r>
              <w:rPr>
                <w:rFonts w:ascii="Courier New" w:cs="Courier New" w:eastAsia="Courier New" w:hAnsi="Courier New"/>
                <w:sz w:val="15"/>
                <w:szCs w:val="15"/>
                <w:color w:val="auto"/>
              </w:rPr>
              <w:t>Interest payments . . . . . . . . . . . . . . . . . . . . . . . . . . . . . .</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$ 3,135,841</w:t>
            </w:r>
          </w:p>
        </w:tc>
        <w:tc>
          <w:tcPr>
            <w:tcW w:w="15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648,923</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599,313</w:t>
            </w:r>
          </w:p>
        </w:tc>
      </w:tr>
      <w:tr>
        <w:trPr>
          <w:trHeight w:val="172"/>
        </w:trPr>
        <w:tc>
          <w:tcPr>
            <w:tcW w:w="728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ectPr>
          <w:pgSz w:w="11900" w:h="16838" w:orient="portrait"/>
          <w:cols w:equalWidth="0" w:num="1">
            <w:col w:w="11360"/>
          </w:cols>
          <w:pgMar w:left="240" w:top="289" w:right="299" w:bottom="1440" w:gutter="0" w:footer="0" w:header="0"/>
        </w:sectPr>
      </w:pPr>
    </w:p>
    <w:bookmarkStart w:id="15" w:name="page16"/>
    <w:bookmarkEnd w:id="15"/>
    <w:p>
      <w:pPr>
        <w:ind w:left="268"/>
        <w:spacing w:after="0"/>
        <w:rPr>
          <w:sz w:val="20"/>
          <w:szCs w:val="20"/>
          <w:color w:val="auto"/>
        </w:rPr>
      </w:pPr>
      <w:r>
        <w:rPr>
          <w:rFonts w:ascii="Courier New" w:cs="Courier New" w:eastAsia="Courier New" w:hAnsi="Courier New"/>
          <w:sz w:val="15"/>
          <w:szCs w:val="15"/>
          <w:color w:val="auto"/>
        </w:rPr>
        <w:t>4</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Page 16 of 23</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176" w:lineRule="exact"/>
        <w:rPr>
          <w:sz w:val="20"/>
          <w:szCs w:val="20"/>
          <w:color w:val="auto"/>
        </w:rPr>
      </w:pPr>
    </w:p>
    <w:p>
      <w:pPr>
        <w:ind w:left="8" w:right="6019" w:hanging="8"/>
        <w:spacing w:after="0" w:line="483" w:lineRule="auto"/>
        <w:tabs>
          <w:tab w:leader="none" w:pos="45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Principles of Consolidation</w:t>
      </w:r>
    </w:p>
    <w:p>
      <w:pPr>
        <w:spacing w:after="0" w:line="4" w:lineRule="exact"/>
        <w:rPr>
          <w:sz w:val="20"/>
          <w:szCs w:val="20"/>
          <w:color w:val="auto"/>
        </w:rPr>
      </w:pPr>
    </w:p>
    <w:p>
      <w:pPr>
        <w:jc w:val="both"/>
        <w:ind w:left="8" w:right="3339"/>
        <w:spacing w:after="0" w:line="241" w:lineRule="auto"/>
        <w:rPr>
          <w:sz w:val="20"/>
          <w:szCs w:val="20"/>
          <w:color w:val="auto"/>
        </w:rPr>
      </w:pPr>
      <w:r>
        <w:rPr>
          <w:rFonts w:ascii="Courier New" w:cs="Courier New" w:eastAsia="Courier New" w:hAnsi="Courier New"/>
          <w:sz w:val="15"/>
          <w:szCs w:val="15"/>
          <w:color w:val="auto"/>
        </w:rPr>
        <w:t>The consolidated financial statements include the accounts of the Company and its subsidiaries, all of which are wholly-owned. All significant intercompany balances and transactions are eliminated in consolidation.</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Use of Estimates</w:t>
      </w:r>
    </w:p>
    <w:p>
      <w:pPr>
        <w:spacing w:after="0" w:line="176" w:lineRule="exact"/>
        <w:rPr>
          <w:sz w:val="20"/>
          <w:szCs w:val="20"/>
          <w:color w:val="auto"/>
        </w:rPr>
      </w:pPr>
    </w:p>
    <w:p>
      <w:pPr>
        <w:ind w:left="8" w:right="3339"/>
        <w:spacing w:after="0" w:line="242"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Cash Equivalents</w:t>
      </w:r>
    </w:p>
    <w:p>
      <w:pPr>
        <w:spacing w:after="0" w:line="176" w:lineRule="exact"/>
        <w:rPr>
          <w:sz w:val="20"/>
          <w:szCs w:val="20"/>
          <w:color w:val="auto"/>
        </w:rPr>
      </w:pPr>
    </w:p>
    <w:p>
      <w:pPr>
        <w:ind w:left="8" w:right="3259"/>
        <w:spacing w:after="0" w:line="241" w:lineRule="auto"/>
        <w:rPr>
          <w:sz w:val="20"/>
          <w:szCs w:val="20"/>
          <w:color w:val="auto"/>
        </w:rPr>
      </w:pPr>
      <w:r>
        <w:rPr>
          <w:rFonts w:ascii="Courier New" w:cs="Courier New" w:eastAsia="Courier New" w:hAnsi="Courier New"/>
          <w:sz w:val="15"/>
          <w:szCs w:val="15"/>
          <w:color w:val="auto"/>
        </w:rPr>
        <w:t>The Company considers all temporary, highly liquid investments with a maturity of three months or less to be cash equivalents. The carrying amount approximates fair value because of the short maturity of these investments.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Trade Accounts Receivable</w:t>
      </w:r>
    </w:p>
    <w:p>
      <w:pPr>
        <w:spacing w:after="0" w:line="176"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The Company has only one business segment, the manufacture and sale of household furniture. Substantially all of the Company's trade accounts receivable are due from retailers in this market. The Company performs on-going evaluations of its customers' credit worthiness and, generally, requires no collateral.</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Inventories</w:t>
      </w:r>
    </w:p>
    <w:p>
      <w:pPr>
        <w:spacing w:after="0" w:line="176" w:lineRule="exact"/>
        <w:rPr>
          <w:sz w:val="20"/>
          <w:szCs w:val="20"/>
          <w:color w:val="auto"/>
        </w:rPr>
      </w:pPr>
    </w:p>
    <w:p>
      <w:pPr>
        <w:ind w:left="8" w:right="3439"/>
        <w:spacing w:after="0"/>
        <w:rPr>
          <w:sz w:val="20"/>
          <w:szCs w:val="20"/>
          <w:color w:val="auto"/>
        </w:rPr>
      </w:pPr>
      <w:r>
        <w:rPr>
          <w:rFonts w:ascii="Courier New" w:cs="Courier New" w:eastAsia="Courier New" w:hAnsi="Courier New"/>
          <w:sz w:val="15"/>
          <w:szCs w:val="15"/>
          <w:color w:val="auto"/>
        </w:rPr>
        <w:t>All inventories are valued at last-in, first-out (LIFO) cost which is not in excess of market.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Property, Plant and Equipment</w:t>
      </w:r>
    </w:p>
    <w:p>
      <w:pPr>
        <w:spacing w:after="0" w:line="176" w:lineRule="exact"/>
        <w:rPr>
          <w:sz w:val="20"/>
          <w:szCs w:val="20"/>
          <w:color w:val="auto"/>
        </w:rPr>
      </w:pPr>
    </w:p>
    <w:p>
      <w:pPr>
        <w:ind w:left="8" w:right="3599"/>
        <w:spacing w:after="0"/>
        <w:rPr>
          <w:sz w:val="20"/>
          <w:szCs w:val="20"/>
          <w:color w:val="auto"/>
        </w:rPr>
      </w:pPr>
      <w:r>
        <w:rPr>
          <w:rFonts w:ascii="Courier New" w:cs="Courier New" w:eastAsia="Courier New" w:hAnsi="Courier New"/>
          <w:sz w:val="15"/>
          <w:szCs w:val="15"/>
          <w:color w:val="auto"/>
        </w:rPr>
        <w:t>Property, plant and equipment are stated at cost. Depreciation is computed generally by accelerated methods.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Investment in Securities</w:t>
      </w:r>
    </w:p>
    <w:p>
      <w:pPr>
        <w:spacing w:after="0" w:line="176"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The Company classifies its investment in securities as available-for-sale, which are reported at fair value. The Company adopted the provisions of Statement of Financial Accounting Standards No. 115, Accounting for Certain Investments in Debt and Equity Securities (Statement 115) at December 1, 1993. Under Statement 115 unrealized holding gains and losses, net of the related tax effect, on available-for-sale securities are excluded from income and are reported as a separate component of stockholders' equity. Realized gains and losses from securities classified as available-for-sale are included in income and are determined using the specific identification method for ascertaining the cost of securities sold.</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Investment in Affiliated Companies</w:t>
      </w:r>
    </w:p>
    <w:p>
      <w:pPr>
        <w:spacing w:after="0" w:line="176" w:lineRule="exact"/>
        <w:rPr>
          <w:sz w:val="20"/>
          <w:szCs w:val="20"/>
          <w:color w:val="auto"/>
        </w:rPr>
      </w:pPr>
    </w:p>
    <w:p>
      <w:pPr>
        <w:ind w:left="8" w:right="3699"/>
        <w:spacing w:after="0" w:line="241" w:lineRule="auto"/>
        <w:rPr>
          <w:sz w:val="20"/>
          <w:szCs w:val="20"/>
          <w:color w:val="auto"/>
        </w:rPr>
      </w:pPr>
      <w:r>
        <w:rPr>
          <w:rFonts w:ascii="Courier New" w:cs="Courier New" w:eastAsia="Courier New" w:hAnsi="Courier New"/>
          <w:sz w:val="15"/>
          <w:szCs w:val="15"/>
          <w:color w:val="auto"/>
        </w:rPr>
        <w:t>The equity method of accounting is used for the investment in affiliated companies. The carrying amounts approximate the Company's equity in their underlying net assets.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Investment in Corporate Owned Life Insurance</w:t>
      </w:r>
    </w:p>
    <w:p>
      <w:pPr>
        <w:spacing w:after="0" w:line="176"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Investment in corporate owned life insurance policies is recorded net of policy loans and is included in other assets. The net life insurance expense, which includes premiums and interest on cash surrender borrowings, net of increases in cash surrender values, is included in other income.</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Revenue Recognition</w:t>
      </w:r>
    </w:p>
    <w:p>
      <w:pPr>
        <w:spacing w:after="0" w:line="176" w:lineRule="exact"/>
        <w:rPr>
          <w:sz w:val="20"/>
          <w:szCs w:val="20"/>
          <w:color w:val="auto"/>
        </w:rPr>
      </w:pPr>
    </w:p>
    <w:p>
      <w:pPr>
        <w:jc w:val="both"/>
        <w:ind w:left="8" w:right="3439"/>
        <w:spacing w:after="0" w:line="241" w:lineRule="auto"/>
        <w:rPr>
          <w:sz w:val="20"/>
          <w:szCs w:val="20"/>
          <w:color w:val="auto"/>
        </w:rPr>
      </w:pPr>
      <w:r>
        <w:rPr>
          <w:rFonts w:ascii="Courier New" w:cs="Courier New" w:eastAsia="Courier New" w:hAnsi="Courier New"/>
          <w:sz w:val="15"/>
          <w:szCs w:val="15"/>
          <w:color w:val="auto"/>
        </w:rPr>
        <w:t>Revenue from sales is recognized when the goods are shipped to the customer. Sales to one customer, as a percent of gross sales, amounted to 14% in 1995, 13% in 1994 and 12% in 1993.</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Income Taxes</w:t>
      </w:r>
    </w:p>
    <w:p>
      <w:pPr>
        <w:spacing w:after="0" w:line="176"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For 1995 and 1994, deferred income taxes were determined based on the difference between the financial statement and income tax bases of assets and liabilities using enacted tax rates in effect for the year in which the differences are expected to reverse. The Company had previously determined income tax expense under the deferred method, whereby timing differences were recorded at the tax rates in effect for the year in which the differences arose and were not adjusted for tax rate changes.</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Earnings Per Share</w:t>
      </w:r>
    </w:p>
    <w:p>
      <w:pPr>
        <w:spacing w:after="0" w:line="176" w:lineRule="exact"/>
        <w:rPr>
          <w:sz w:val="20"/>
          <w:szCs w:val="20"/>
          <w:color w:val="auto"/>
        </w:rPr>
      </w:pPr>
    </w:p>
    <w:p>
      <w:pPr>
        <w:jc w:val="both"/>
        <w:ind w:left="8" w:right="3439"/>
        <w:spacing w:after="0" w:line="241" w:lineRule="auto"/>
        <w:rPr>
          <w:sz w:val="20"/>
          <w:szCs w:val="20"/>
          <w:color w:val="auto"/>
        </w:rPr>
      </w:pPr>
      <w:r>
        <w:rPr>
          <w:rFonts w:ascii="Courier New" w:cs="Courier New" w:eastAsia="Courier New" w:hAnsi="Courier New"/>
          <w:sz w:val="15"/>
          <w:szCs w:val="15"/>
          <w:color w:val="auto"/>
        </w:rPr>
        <w:t>Earnings per share is calculated using the weighted average number of shares outstanding. All share and per share data has been adjusted to reflect the 5 for 4 stock split in 1993.</w:t>
      </w:r>
    </w:p>
    <w:p>
      <w:pPr>
        <w:sectPr>
          <w:pgSz w:w="11900" w:h="16838" w:orient="portrait"/>
          <w:cols w:equalWidth="0" w:num="1">
            <w:col w:w="10227"/>
          </w:cols>
          <w:pgMar w:left="232" w:top="289" w:right="1440" w:bottom="0" w:gutter="0" w:footer="0" w:header="0"/>
        </w:sectPr>
      </w:pPr>
    </w:p>
    <w:bookmarkStart w:id="16" w:name="page17"/>
    <w:bookmarkEnd w:id="16"/>
    <w:tbl>
      <w:tblPr>
        <w:tblLayout w:type="fixed"/>
        <w:tblInd w:w="8" w:type="dxa"/>
        <w:tblCellMar>
          <w:top w:w="0" w:type="dxa"/>
          <w:left w:w="0" w:type="dxa"/>
          <w:bottom w:w="0" w:type="dxa"/>
          <w:right w:w="0" w:type="dxa"/>
        </w:tblCellMar>
      </w:tblP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3980" w:type="dxa"/>
            <w:vAlign w:val="bottom"/>
          </w:tcPr>
          <w:p>
            <w:pPr>
              <w:ind w:left="140"/>
              <w:spacing w:after="0"/>
              <w:rPr>
                <w:sz w:val="20"/>
                <w:szCs w:val="20"/>
                <w:color w:val="auto"/>
              </w:rPr>
            </w:pPr>
            <w:r>
              <w:rPr>
                <w:rFonts w:ascii="Courier New" w:cs="Courier New" w:eastAsia="Courier New" w:hAnsi="Courier New"/>
                <w:sz w:val="15"/>
                <w:szCs w:val="15"/>
                <w:color w:val="auto"/>
              </w:rPr>
              <w:t>INVENTORIES (in millions)</w:t>
            </w: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688"/>
        </w:trPr>
        <w:tc>
          <w:tcPr>
            <w:tcW w:w="3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November 30,</w:t>
            </w:r>
          </w:p>
        </w:tc>
      </w:tr>
      <w:tr>
        <w:trPr>
          <w:trHeight w:val="172"/>
        </w:trPr>
        <w:tc>
          <w:tcPr>
            <w:tcW w:w="30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9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0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88"/>
              </w:rPr>
              <w:t>1995</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30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280" w:type="dxa"/>
            <w:vAlign w:val="bottom"/>
            <w:gridSpan w:val="2"/>
          </w:tcPr>
          <w:p>
            <w:pPr>
              <w:spacing w:after="0"/>
              <w:rPr>
                <w:sz w:val="20"/>
                <w:szCs w:val="20"/>
                <w:color w:val="auto"/>
              </w:rPr>
            </w:pPr>
            <w:r>
              <w:rPr>
                <w:rFonts w:ascii="Courier New" w:cs="Courier New" w:eastAsia="Courier New" w:hAnsi="Courier New"/>
                <w:sz w:val="15"/>
                <w:szCs w:val="15"/>
                <w:color w:val="auto"/>
              </w:rPr>
              <w:t>Finished goods</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46.5</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$ 45.2</w:t>
            </w:r>
          </w:p>
        </w:tc>
      </w:tr>
      <w:tr>
        <w:trPr>
          <w:trHeight w:val="172"/>
        </w:trPr>
        <w:tc>
          <w:tcPr>
            <w:tcW w:w="4280" w:type="dxa"/>
            <w:vAlign w:val="bottom"/>
            <w:gridSpan w:val="2"/>
          </w:tcPr>
          <w:p>
            <w:pPr>
              <w:spacing w:after="0"/>
              <w:rPr>
                <w:sz w:val="20"/>
                <w:szCs w:val="20"/>
                <w:color w:val="auto"/>
              </w:rPr>
            </w:pPr>
            <w:r>
              <w:rPr>
                <w:rFonts w:ascii="Courier New" w:cs="Courier New" w:eastAsia="Courier New" w:hAnsi="Courier New"/>
                <w:sz w:val="15"/>
                <w:szCs w:val="15"/>
                <w:color w:val="auto"/>
              </w:rPr>
              <w:t>Work in process</w:t>
            </w:r>
          </w:p>
        </w:tc>
        <w:tc>
          <w:tcPr>
            <w:tcW w:w="6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16.2</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15.6</w:t>
            </w:r>
          </w:p>
        </w:tc>
      </w:tr>
      <w:tr>
        <w:trPr>
          <w:trHeight w:val="172"/>
        </w:trPr>
        <w:tc>
          <w:tcPr>
            <w:tcW w:w="4280" w:type="dxa"/>
            <w:vAlign w:val="bottom"/>
            <w:gridSpan w:val="2"/>
          </w:tcPr>
          <w:p>
            <w:pPr>
              <w:spacing w:after="0"/>
              <w:rPr>
                <w:sz w:val="20"/>
                <w:szCs w:val="20"/>
                <w:color w:val="auto"/>
              </w:rPr>
            </w:pPr>
            <w:r>
              <w:rPr>
                <w:rFonts w:ascii="Courier New" w:cs="Courier New" w:eastAsia="Courier New" w:hAnsi="Courier New"/>
                <w:sz w:val="15"/>
                <w:szCs w:val="15"/>
                <w:color w:val="auto"/>
              </w:rPr>
              <w:t>Raw materials and supplies</w:t>
            </w:r>
          </w:p>
        </w:tc>
        <w:tc>
          <w:tcPr>
            <w:tcW w:w="6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45.3</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44.6</w:t>
            </w:r>
          </w:p>
        </w:tc>
      </w:tr>
      <w:tr>
        <w:trPr>
          <w:trHeight w:val="172"/>
        </w:trPr>
        <w:tc>
          <w:tcPr>
            <w:tcW w:w="30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00" w:type="dxa"/>
            <w:vAlign w:val="bottom"/>
          </w:tcPr>
          <w:p>
            <w:pPr>
              <w:spacing w:after="0"/>
              <w:rPr>
                <w:sz w:val="14"/>
                <w:szCs w:val="14"/>
                <w:color w:val="auto"/>
              </w:rPr>
            </w:pPr>
          </w:p>
        </w:tc>
        <w:tc>
          <w:tcPr>
            <w:tcW w:w="3980" w:type="dxa"/>
            <w:vAlign w:val="bottom"/>
          </w:tcPr>
          <w:p>
            <w:pPr>
              <w:ind w:left="140"/>
              <w:spacing w:after="0"/>
              <w:rPr>
                <w:sz w:val="20"/>
                <w:szCs w:val="20"/>
                <w:color w:val="auto"/>
              </w:rPr>
            </w:pPr>
            <w:r>
              <w:rPr>
                <w:rFonts w:ascii="Courier New" w:cs="Courier New" w:eastAsia="Courier New" w:hAnsi="Courier New"/>
                <w:sz w:val="15"/>
                <w:szCs w:val="15"/>
                <w:color w:val="auto"/>
              </w:rPr>
              <w:t>Total inventories on FIFO cost method</w:t>
            </w:r>
          </w:p>
        </w:tc>
        <w:tc>
          <w:tcPr>
            <w:tcW w:w="6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108.0</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105.4</w:t>
            </w:r>
          </w:p>
        </w:tc>
      </w:tr>
      <w:tr>
        <w:trPr>
          <w:trHeight w:val="172"/>
        </w:trPr>
        <w:tc>
          <w:tcPr>
            <w:tcW w:w="4280" w:type="dxa"/>
            <w:vAlign w:val="bottom"/>
            <w:gridSpan w:val="2"/>
          </w:tcPr>
          <w:p>
            <w:pPr>
              <w:spacing w:after="0"/>
              <w:rPr>
                <w:sz w:val="20"/>
                <w:szCs w:val="20"/>
                <w:color w:val="auto"/>
              </w:rPr>
            </w:pPr>
            <w:r>
              <w:rPr>
                <w:rFonts w:ascii="Courier New" w:cs="Courier New" w:eastAsia="Courier New" w:hAnsi="Courier New"/>
                <w:sz w:val="15"/>
                <w:szCs w:val="15"/>
                <w:color w:val="auto"/>
              </w:rPr>
              <w:t>LIFO adjustment</w:t>
            </w:r>
          </w:p>
        </w:tc>
        <w:tc>
          <w:tcPr>
            <w:tcW w:w="6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26.8</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25.3</w:t>
            </w:r>
          </w:p>
        </w:tc>
      </w:tr>
      <w:tr>
        <w:trPr>
          <w:trHeight w:val="172"/>
        </w:trPr>
        <w:tc>
          <w:tcPr>
            <w:tcW w:w="30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0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81.2</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$ 80.1</w:t>
            </w:r>
          </w:p>
        </w:tc>
      </w:tr>
      <w:tr>
        <w:trPr>
          <w:trHeight w:val="172"/>
        </w:trPr>
        <w:tc>
          <w:tcPr>
            <w:tcW w:w="30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448" w:hanging="448"/>
        <w:spacing w:after="0"/>
        <w:tabs>
          <w:tab w:leader="none" w:pos="4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IN SECURITIES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Information on investment in securities by major security type: (in millions)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6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November 30, 1995</w:t>
            </w:r>
          </w:p>
        </w:tc>
        <w:tc>
          <w:tcPr>
            <w:tcW w:w="940" w:type="dxa"/>
            <w:vAlign w:val="bottom"/>
          </w:tcPr>
          <w:p>
            <w:pPr>
              <w:spacing w:after="0"/>
              <w:rPr>
                <w:sz w:val="14"/>
                <w:szCs w:val="14"/>
                <w:color w:val="auto"/>
              </w:rPr>
            </w:pPr>
          </w:p>
        </w:tc>
      </w:tr>
      <w:tr>
        <w:trPr>
          <w:trHeight w:val="172"/>
        </w:trPr>
        <w:tc>
          <w:tcPr>
            <w:tcW w:w="2180" w:type="dxa"/>
            <w:vAlign w:val="bottom"/>
          </w:tcPr>
          <w:p>
            <w:pPr>
              <w:spacing w:after="0"/>
              <w:rPr>
                <w:sz w:val="14"/>
                <w:szCs w:val="14"/>
                <w:color w:val="auto"/>
              </w:rPr>
            </w:pPr>
          </w:p>
        </w:tc>
        <w:tc>
          <w:tcPr>
            <w:tcW w:w="51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40" w:type="dxa"/>
            <w:vAlign w:val="bottom"/>
          </w:tcPr>
          <w:p>
            <w:pPr>
              <w:jc w:val="center"/>
              <w:ind w:left="105"/>
              <w:spacing w:after="0"/>
              <w:rPr>
                <w:sz w:val="20"/>
                <w:szCs w:val="20"/>
                <w:color w:val="auto"/>
              </w:rPr>
            </w:pPr>
            <w:r>
              <w:rPr>
                <w:rFonts w:ascii="Courier New" w:cs="Courier New" w:eastAsia="Courier New" w:hAnsi="Courier New"/>
                <w:sz w:val="15"/>
                <w:szCs w:val="15"/>
                <w:color w:val="auto"/>
              </w:rPr>
              <w:t>Gross</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rPr>
              <w:t>Gross</w:t>
            </w:r>
          </w:p>
        </w:tc>
        <w:tc>
          <w:tcPr>
            <w:tcW w:w="940" w:type="dxa"/>
            <w:vAlign w:val="bottom"/>
          </w:tcPr>
          <w:p>
            <w:pPr>
              <w:spacing w:after="0"/>
              <w:rPr>
                <w:sz w:val="14"/>
                <w:szCs w:val="14"/>
                <w:color w:val="auto"/>
              </w:rPr>
            </w:pPr>
          </w:p>
        </w:tc>
      </w:tr>
      <w:tr>
        <w:trPr>
          <w:trHeight w:val="172"/>
        </w:trPr>
        <w:tc>
          <w:tcPr>
            <w:tcW w:w="2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Unrealized</w:t>
            </w:r>
          </w:p>
        </w:tc>
        <w:tc>
          <w:tcPr>
            <w:tcW w:w="14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Unrealized</w:t>
            </w:r>
          </w:p>
        </w:tc>
        <w:tc>
          <w:tcPr>
            <w:tcW w:w="940" w:type="dxa"/>
            <w:vAlign w:val="bottom"/>
          </w:tcPr>
          <w:p>
            <w:pPr>
              <w:spacing w:after="0"/>
              <w:rPr>
                <w:sz w:val="14"/>
                <w:szCs w:val="14"/>
                <w:color w:val="auto"/>
              </w:rPr>
            </w:pPr>
          </w:p>
        </w:tc>
      </w:tr>
      <w:tr>
        <w:trPr>
          <w:trHeight w:val="172"/>
        </w:trPr>
        <w:tc>
          <w:tcPr>
            <w:tcW w:w="2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8"/>
              </w:rPr>
              <w:t>Holding</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8"/>
              </w:rPr>
              <w:t>Holding</w:t>
            </w:r>
          </w:p>
        </w:tc>
        <w:tc>
          <w:tcPr>
            <w:tcW w:w="940" w:type="dxa"/>
            <w:vAlign w:val="bottom"/>
          </w:tcPr>
          <w:p>
            <w:pPr>
              <w:ind w:left="400"/>
              <w:spacing w:after="0"/>
              <w:rPr>
                <w:sz w:val="20"/>
                <w:szCs w:val="20"/>
                <w:color w:val="auto"/>
              </w:rPr>
            </w:pPr>
            <w:r>
              <w:rPr>
                <w:rFonts w:ascii="Courier New" w:cs="Courier New" w:eastAsia="Courier New" w:hAnsi="Courier New"/>
                <w:sz w:val="15"/>
                <w:szCs w:val="15"/>
                <w:color w:val="auto"/>
              </w:rPr>
              <w:t>Fair</w:t>
            </w:r>
          </w:p>
        </w:tc>
      </w:tr>
      <w:tr>
        <w:trPr>
          <w:trHeight w:val="172"/>
        </w:trPr>
        <w:tc>
          <w:tcPr>
            <w:tcW w:w="2180" w:type="dxa"/>
            <w:vAlign w:val="bottom"/>
          </w:tcPr>
          <w:p>
            <w:pPr>
              <w:spacing w:after="0"/>
              <w:rPr>
                <w:sz w:val="14"/>
                <w:szCs w:val="14"/>
                <w:color w:val="auto"/>
              </w:rPr>
            </w:pP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Cost</w:t>
            </w:r>
          </w:p>
        </w:tc>
        <w:tc>
          <w:tcPr>
            <w:tcW w:w="1440" w:type="dxa"/>
            <w:vAlign w:val="bottom"/>
          </w:tcPr>
          <w:p>
            <w:pPr>
              <w:jc w:val="center"/>
              <w:ind w:left="105"/>
              <w:spacing w:after="0"/>
              <w:rPr>
                <w:sz w:val="20"/>
                <w:szCs w:val="20"/>
                <w:color w:val="auto"/>
              </w:rPr>
            </w:pPr>
            <w:r>
              <w:rPr>
                <w:rFonts w:ascii="Courier New" w:cs="Courier New" w:eastAsia="Courier New" w:hAnsi="Courier New"/>
                <w:sz w:val="15"/>
                <w:szCs w:val="15"/>
                <w:color w:val="auto"/>
              </w:rPr>
              <w:t>Gains</w:t>
            </w:r>
          </w:p>
        </w:tc>
        <w:tc>
          <w:tcPr>
            <w:tcW w:w="14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Losses</w:t>
            </w:r>
          </w:p>
        </w:tc>
        <w:tc>
          <w:tcPr>
            <w:tcW w:w="940" w:type="dxa"/>
            <w:vAlign w:val="bottom"/>
          </w:tcPr>
          <w:p>
            <w:pPr>
              <w:ind w:left="400"/>
              <w:spacing w:after="0"/>
              <w:rPr>
                <w:sz w:val="20"/>
                <w:szCs w:val="20"/>
                <w:color w:val="auto"/>
              </w:rPr>
            </w:pPr>
            <w:r>
              <w:rPr>
                <w:rFonts w:ascii="Courier New" w:cs="Courier New" w:eastAsia="Courier New" w:hAnsi="Courier New"/>
                <w:sz w:val="15"/>
                <w:szCs w:val="15"/>
                <w:color w:val="auto"/>
              </w:rPr>
              <w:t>Value</w:t>
            </w:r>
          </w:p>
        </w:tc>
      </w:tr>
      <w:tr>
        <w:trPr>
          <w:trHeight w:val="172"/>
        </w:trPr>
        <w:tc>
          <w:tcPr>
            <w:tcW w:w="2180" w:type="dxa"/>
            <w:vAlign w:val="bottom"/>
          </w:tcPr>
          <w:p>
            <w:pPr>
              <w:spacing w:after="0"/>
              <w:rPr>
                <w:sz w:val="14"/>
                <w:szCs w:val="14"/>
                <w:color w:val="auto"/>
              </w:rPr>
            </w:pP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ind w:left="10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180" w:type="dxa"/>
            <w:vAlign w:val="bottom"/>
          </w:tcPr>
          <w:p>
            <w:pPr>
              <w:spacing w:after="0"/>
              <w:rPr>
                <w:sz w:val="20"/>
                <w:szCs w:val="20"/>
                <w:color w:val="auto"/>
              </w:rPr>
            </w:pPr>
            <w:r>
              <w:rPr>
                <w:rFonts w:ascii="Courier New" w:cs="Courier New" w:eastAsia="Courier New" w:hAnsi="Courier New"/>
                <w:sz w:val="15"/>
                <w:szCs w:val="15"/>
                <w:color w:val="auto"/>
              </w:rPr>
              <w:t>Equity securities</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$21.1</w:t>
            </w:r>
          </w:p>
        </w:tc>
        <w:tc>
          <w:tcPr>
            <w:tcW w:w="14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$8.4</w:t>
            </w:r>
          </w:p>
        </w:tc>
        <w:tc>
          <w:tcPr>
            <w:tcW w:w="14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$1.0</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$28.5</w:t>
            </w: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Mutual funds</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w:t>
            </w:r>
          </w:p>
        </w:tc>
        <w:tc>
          <w:tcPr>
            <w:tcW w:w="14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0.4</w:t>
            </w:r>
          </w:p>
        </w:tc>
        <w:tc>
          <w:tcPr>
            <w:tcW w:w="14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w:t>
            </w: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Municipal securities</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w:t>
            </w:r>
          </w:p>
        </w:tc>
        <w:tc>
          <w:tcPr>
            <w:tcW w:w="14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-0-</w:t>
            </w:r>
          </w:p>
        </w:tc>
        <w:tc>
          <w:tcPr>
            <w:tcW w:w="14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w:t>
            </w: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w:t>
            </w:r>
          </w:p>
        </w:tc>
        <w:tc>
          <w:tcPr>
            <w:tcW w:w="14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0.1</w:t>
            </w:r>
          </w:p>
        </w:tc>
        <w:tc>
          <w:tcPr>
            <w:tcW w:w="14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w:t>
            </w:r>
          </w:p>
        </w:tc>
      </w:tr>
      <w:tr>
        <w:trPr>
          <w:trHeight w:val="172"/>
        </w:trPr>
        <w:tc>
          <w:tcPr>
            <w:tcW w:w="2180" w:type="dxa"/>
            <w:vAlign w:val="bottom"/>
          </w:tcPr>
          <w:p>
            <w:pPr>
              <w:spacing w:after="0"/>
              <w:rPr>
                <w:sz w:val="14"/>
                <w:szCs w:val="14"/>
                <w:color w:val="auto"/>
              </w:rPr>
            </w:pP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180" w:type="dxa"/>
            <w:vAlign w:val="bottom"/>
          </w:tcPr>
          <w:p>
            <w:pPr>
              <w:spacing w:after="0"/>
              <w:rPr>
                <w:sz w:val="14"/>
                <w:szCs w:val="14"/>
                <w:color w:val="auto"/>
              </w:rPr>
            </w:pP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$31.2</w:t>
            </w:r>
          </w:p>
        </w:tc>
        <w:tc>
          <w:tcPr>
            <w:tcW w:w="14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$8.9</w:t>
            </w:r>
          </w:p>
        </w:tc>
        <w:tc>
          <w:tcPr>
            <w:tcW w:w="14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$1.0</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$39.1</w:t>
            </w:r>
          </w:p>
        </w:tc>
      </w:tr>
      <w:tr>
        <w:trPr>
          <w:trHeight w:val="172"/>
        </w:trPr>
        <w:tc>
          <w:tcPr>
            <w:tcW w:w="2180" w:type="dxa"/>
            <w:vAlign w:val="bottom"/>
          </w:tcPr>
          <w:p>
            <w:pPr>
              <w:spacing w:after="0"/>
              <w:rPr>
                <w:sz w:val="14"/>
                <w:szCs w:val="14"/>
                <w:color w:val="auto"/>
              </w:rPr>
            </w:pP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860"/>
        </w:trPr>
        <w:tc>
          <w:tcPr>
            <w:tcW w:w="2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6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November 30, 1994</w:t>
            </w:r>
          </w:p>
        </w:tc>
        <w:tc>
          <w:tcPr>
            <w:tcW w:w="940" w:type="dxa"/>
            <w:vAlign w:val="bottom"/>
          </w:tcPr>
          <w:p>
            <w:pPr>
              <w:spacing w:after="0"/>
              <w:rPr>
                <w:sz w:val="24"/>
                <w:szCs w:val="24"/>
                <w:color w:val="auto"/>
              </w:rPr>
            </w:pPr>
          </w:p>
        </w:tc>
      </w:tr>
      <w:tr>
        <w:trPr>
          <w:trHeight w:val="172"/>
        </w:trPr>
        <w:tc>
          <w:tcPr>
            <w:tcW w:w="2180" w:type="dxa"/>
            <w:vAlign w:val="bottom"/>
          </w:tcPr>
          <w:p>
            <w:pPr>
              <w:spacing w:after="0"/>
              <w:rPr>
                <w:sz w:val="14"/>
                <w:szCs w:val="14"/>
                <w:color w:val="auto"/>
              </w:rPr>
            </w:pPr>
          </w:p>
        </w:tc>
        <w:tc>
          <w:tcPr>
            <w:tcW w:w="51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40" w:type="dxa"/>
            <w:vAlign w:val="bottom"/>
          </w:tcPr>
          <w:p>
            <w:pPr>
              <w:jc w:val="center"/>
              <w:ind w:left="105"/>
              <w:spacing w:after="0"/>
              <w:rPr>
                <w:sz w:val="20"/>
                <w:szCs w:val="20"/>
                <w:color w:val="auto"/>
              </w:rPr>
            </w:pPr>
            <w:r>
              <w:rPr>
                <w:rFonts w:ascii="Courier New" w:cs="Courier New" w:eastAsia="Courier New" w:hAnsi="Courier New"/>
                <w:sz w:val="15"/>
                <w:szCs w:val="15"/>
                <w:color w:val="auto"/>
              </w:rPr>
              <w:t>Gross</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rPr>
              <w:t>Gross</w:t>
            </w:r>
          </w:p>
        </w:tc>
        <w:tc>
          <w:tcPr>
            <w:tcW w:w="940" w:type="dxa"/>
            <w:vAlign w:val="bottom"/>
          </w:tcPr>
          <w:p>
            <w:pPr>
              <w:spacing w:after="0"/>
              <w:rPr>
                <w:sz w:val="14"/>
                <w:szCs w:val="14"/>
                <w:color w:val="auto"/>
              </w:rPr>
            </w:pPr>
          </w:p>
        </w:tc>
      </w:tr>
      <w:tr>
        <w:trPr>
          <w:trHeight w:val="172"/>
        </w:trPr>
        <w:tc>
          <w:tcPr>
            <w:tcW w:w="2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Unrealized</w:t>
            </w:r>
          </w:p>
        </w:tc>
        <w:tc>
          <w:tcPr>
            <w:tcW w:w="14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Unrealized</w:t>
            </w:r>
          </w:p>
        </w:tc>
        <w:tc>
          <w:tcPr>
            <w:tcW w:w="940" w:type="dxa"/>
            <w:vAlign w:val="bottom"/>
          </w:tcPr>
          <w:p>
            <w:pPr>
              <w:spacing w:after="0"/>
              <w:rPr>
                <w:sz w:val="14"/>
                <w:szCs w:val="14"/>
                <w:color w:val="auto"/>
              </w:rPr>
            </w:pPr>
          </w:p>
        </w:tc>
      </w:tr>
      <w:tr>
        <w:trPr>
          <w:trHeight w:val="172"/>
        </w:trPr>
        <w:tc>
          <w:tcPr>
            <w:tcW w:w="2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8"/>
              </w:rPr>
              <w:t>Holding</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8"/>
              </w:rPr>
              <w:t>Holding</w:t>
            </w:r>
          </w:p>
        </w:tc>
        <w:tc>
          <w:tcPr>
            <w:tcW w:w="940" w:type="dxa"/>
            <w:vAlign w:val="bottom"/>
          </w:tcPr>
          <w:p>
            <w:pPr>
              <w:ind w:left="400"/>
              <w:spacing w:after="0"/>
              <w:rPr>
                <w:sz w:val="20"/>
                <w:szCs w:val="20"/>
                <w:color w:val="auto"/>
              </w:rPr>
            </w:pPr>
            <w:r>
              <w:rPr>
                <w:rFonts w:ascii="Courier New" w:cs="Courier New" w:eastAsia="Courier New" w:hAnsi="Courier New"/>
                <w:sz w:val="15"/>
                <w:szCs w:val="15"/>
                <w:color w:val="auto"/>
              </w:rPr>
              <w:t>Fair</w:t>
            </w:r>
          </w:p>
        </w:tc>
      </w:tr>
      <w:tr>
        <w:trPr>
          <w:trHeight w:val="172"/>
        </w:trPr>
        <w:tc>
          <w:tcPr>
            <w:tcW w:w="2180" w:type="dxa"/>
            <w:vAlign w:val="bottom"/>
          </w:tcPr>
          <w:p>
            <w:pPr>
              <w:spacing w:after="0"/>
              <w:rPr>
                <w:sz w:val="14"/>
                <w:szCs w:val="14"/>
                <w:color w:val="auto"/>
              </w:rPr>
            </w:pP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Cost</w:t>
            </w:r>
          </w:p>
        </w:tc>
        <w:tc>
          <w:tcPr>
            <w:tcW w:w="1440" w:type="dxa"/>
            <w:vAlign w:val="bottom"/>
          </w:tcPr>
          <w:p>
            <w:pPr>
              <w:jc w:val="center"/>
              <w:ind w:left="105"/>
              <w:spacing w:after="0"/>
              <w:rPr>
                <w:sz w:val="20"/>
                <w:szCs w:val="20"/>
                <w:color w:val="auto"/>
              </w:rPr>
            </w:pPr>
            <w:r>
              <w:rPr>
                <w:rFonts w:ascii="Courier New" w:cs="Courier New" w:eastAsia="Courier New" w:hAnsi="Courier New"/>
                <w:sz w:val="15"/>
                <w:szCs w:val="15"/>
                <w:color w:val="auto"/>
              </w:rPr>
              <w:t>Gains</w:t>
            </w:r>
          </w:p>
        </w:tc>
        <w:tc>
          <w:tcPr>
            <w:tcW w:w="14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Losses</w:t>
            </w:r>
          </w:p>
        </w:tc>
        <w:tc>
          <w:tcPr>
            <w:tcW w:w="940" w:type="dxa"/>
            <w:vAlign w:val="bottom"/>
          </w:tcPr>
          <w:p>
            <w:pPr>
              <w:ind w:left="400"/>
              <w:spacing w:after="0"/>
              <w:rPr>
                <w:sz w:val="20"/>
                <w:szCs w:val="20"/>
                <w:color w:val="auto"/>
              </w:rPr>
            </w:pPr>
            <w:r>
              <w:rPr>
                <w:rFonts w:ascii="Courier New" w:cs="Courier New" w:eastAsia="Courier New" w:hAnsi="Courier New"/>
                <w:sz w:val="15"/>
                <w:szCs w:val="15"/>
                <w:color w:val="auto"/>
              </w:rPr>
              <w:t>Value</w:t>
            </w:r>
          </w:p>
        </w:tc>
      </w:tr>
      <w:tr>
        <w:trPr>
          <w:trHeight w:val="172"/>
        </w:trPr>
        <w:tc>
          <w:tcPr>
            <w:tcW w:w="2180" w:type="dxa"/>
            <w:vAlign w:val="bottom"/>
          </w:tcPr>
          <w:p>
            <w:pPr>
              <w:spacing w:after="0"/>
              <w:rPr>
                <w:sz w:val="14"/>
                <w:szCs w:val="14"/>
                <w:color w:val="auto"/>
              </w:rPr>
            </w:pP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ind w:left="10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180" w:type="dxa"/>
            <w:vAlign w:val="bottom"/>
          </w:tcPr>
          <w:p>
            <w:pPr>
              <w:spacing w:after="0"/>
              <w:rPr>
                <w:sz w:val="20"/>
                <w:szCs w:val="20"/>
                <w:color w:val="auto"/>
              </w:rPr>
            </w:pPr>
            <w:r>
              <w:rPr>
                <w:rFonts w:ascii="Courier New" w:cs="Courier New" w:eastAsia="Courier New" w:hAnsi="Courier New"/>
                <w:sz w:val="15"/>
                <w:szCs w:val="15"/>
                <w:color w:val="auto"/>
              </w:rPr>
              <w:t>Equity securities</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$26.5</w:t>
            </w:r>
          </w:p>
        </w:tc>
        <w:tc>
          <w:tcPr>
            <w:tcW w:w="14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$6.6</w:t>
            </w:r>
          </w:p>
        </w:tc>
        <w:tc>
          <w:tcPr>
            <w:tcW w:w="14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$2.2</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$30.9</w:t>
            </w: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Mutual funds</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5.6</w:t>
            </w:r>
          </w:p>
        </w:tc>
        <w:tc>
          <w:tcPr>
            <w:tcW w:w="14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0.4</w:t>
            </w:r>
          </w:p>
        </w:tc>
        <w:tc>
          <w:tcPr>
            <w:tcW w:w="14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0.1</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w:t>
            </w: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Municipal securities</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w:t>
            </w:r>
          </w:p>
        </w:tc>
        <w:tc>
          <w:tcPr>
            <w:tcW w:w="14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-0-</w:t>
            </w:r>
          </w:p>
        </w:tc>
        <w:tc>
          <w:tcPr>
            <w:tcW w:w="14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0.1</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w:t>
            </w: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w:t>
            </w:r>
          </w:p>
        </w:tc>
        <w:tc>
          <w:tcPr>
            <w:tcW w:w="14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-0-</w:t>
            </w:r>
          </w:p>
        </w:tc>
        <w:tc>
          <w:tcPr>
            <w:tcW w:w="14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0.1</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w:t>
            </w:r>
          </w:p>
        </w:tc>
      </w:tr>
      <w:tr>
        <w:trPr>
          <w:trHeight w:val="172"/>
        </w:trPr>
        <w:tc>
          <w:tcPr>
            <w:tcW w:w="2180" w:type="dxa"/>
            <w:vAlign w:val="bottom"/>
          </w:tcPr>
          <w:p>
            <w:pPr>
              <w:spacing w:after="0"/>
              <w:rPr>
                <w:sz w:val="14"/>
                <w:szCs w:val="14"/>
                <w:color w:val="auto"/>
              </w:rPr>
            </w:pP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180" w:type="dxa"/>
            <w:vAlign w:val="bottom"/>
          </w:tcPr>
          <w:p>
            <w:pPr>
              <w:spacing w:after="0"/>
              <w:rPr>
                <w:sz w:val="14"/>
                <w:szCs w:val="14"/>
                <w:color w:val="auto"/>
              </w:rPr>
            </w:pP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$39.1</w:t>
            </w:r>
          </w:p>
        </w:tc>
        <w:tc>
          <w:tcPr>
            <w:tcW w:w="14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$7.0</w:t>
            </w:r>
          </w:p>
        </w:tc>
        <w:tc>
          <w:tcPr>
            <w:tcW w:w="14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$2.5</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$43.6</w:t>
            </w:r>
          </w:p>
        </w:tc>
      </w:tr>
      <w:tr>
        <w:trPr>
          <w:trHeight w:val="172"/>
        </w:trPr>
        <w:tc>
          <w:tcPr>
            <w:tcW w:w="2180" w:type="dxa"/>
            <w:vAlign w:val="bottom"/>
          </w:tcPr>
          <w:p>
            <w:pPr>
              <w:spacing w:after="0"/>
              <w:rPr>
                <w:sz w:val="14"/>
                <w:szCs w:val="14"/>
                <w:color w:val="auto"/>
              </w:rPr>
            </w:pP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Maturities of the municipal securities are within five years.</w:t>
      </w:r>
    </w:p>
    <w:p>
      <w:pPr>
        <w:sectPr>
          <w:pgSz w:w="11900" w:h="16838" w:orient="portrait"/>
          <w:cols w:equalWidth="0" w:num="1">
            <w:col w:w="10227"/>
          </w:cols>
          <w:pgMar w:left="232" w:top="312" w:right="1440" w:bottom="1440" w:gutter="0" w:footer="0" w:header="0"/>
        </w:sectPr>
      </w:pPr>
    </w:p>
    <w:bookmarkStart w:id="17" w:name="page18"/>
    <w:bookmarkEnd w:id="17"/>
    <w:p>
      <w:pPr>
        <w:spacing w:after="0" w:line="12"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5</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Page 17 of 23</w:t>
      </w:r>
    </w:p>
    <w:p>
      <w:pPr>
        <w:spacing w:after="0" w:line="348" w:lineRule="exact"/>
        <w:rPr>
          <w:sz w:val="20"/>
          <w:szCs w:val="20"/>
          <w:color w:val="auto"/>
        </w:rPr>
      </w:pPr>
    </w:p>
    <w:p>
      <w:pPr>
        <w:ind w:left="8" w:right="4959"/>
        <w:spacing w:after="0" w:line="274" w:lineRule="auto"/>
        <w:rPr>
          <w:sz w:val="20"/>
          <w:szCs w:val="20"/>
          <w:color w:val="auto"/>
        </w:rPr>
      </w:pPr>
      <w:r>
        <w:rPr>
          <w:rFonts w:ascii="Courier New" w:cs="Courier New" w:eastAsia="Courier New" w:hAnsi="Courier New"/>
          <w:sz w:val="14"/>
          <w:szCs w:val="14"/>
          <w:color w:val="auto"/>
        </w:rPr>
        <w:t>NOTES TO CONSOLIDATED FINANCIAL STATEMENTS - CONTINUED Bassett Furniture Industries, Incorporated and Subsidiaries</w:t>
      </w:r>
    </w:p>
    <w:p>
      <w:pPr>
        <w:spacing w:after="0" w:line="152" w:lineRule="exact"/>
        <w:rPr>
          <w:sz w:val="20"/>
          <w:szCs w:val="20"/>
          <w:color w:val="auto"/>
        </w:rPr>
      </w:pPr>
    </w:p>
    <w:p>
      <w:pPr>
        <w:ind w:left="448" w:hanging="448"/>
        <w:spacing w:after="0"/>
        <w:tabs>
          <w:tab w:leader="none" w:pos="44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IN AFFILIATED COMPANIES</w:t>
      </w:r>
    </w:p>
    <w:p>
      <w:pPr>
        <w:spacing w:after="0" w:line="176" w:lineRule="exact"/>
        <w:rPr>
          <w:sz w:val="20"/>
          <w:szCs w:val="20"/>
          <w:color w:val="auto"/>
        </w:rPr>
      </w:pPr>
    </w:p>
    <w:p>
      <w:pPr>
        <w:ind w:left="8" w:right="3339"/>
        <w:spacing w:after="0" w:line="242" w:lineRule="auto"/>
        <w:rPr>
          <w:sz w:val="20"/>
          <w:szCs w:val="20"/>
          <w:color w:val="auto"/>
        </w:rPr>
      </w:pPr>
      <w:r>
        <w:rPr>
          <w:rFonts w:ascii="Courier New" w:cs="Courier New" w:eastAsia="Courier New" w:hAnsi="Courier New"/>
          <w:sz w:val="15"/>
          <w:szCs w:val="15"/>
          <w:color w:val="auto"/>
        </w:rPr>
        <w:t>The Company has an equity interest in a company which leases exhibition space to furniture and accessory manufacturers and an equity interest in a manufacturer of particleboard for use principally in the furniture industry. The Company's share of income from operations and net income from these affiliates is as follows: (in millions)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040" w:type="dxa"/>
            <w:vAlign w:val="bottom"/>
          </w:tcPr>
          <w:p>
            <w:pPr>
              <w:spacing w:after="0"/>
              <w:rPr>
                <w:sz w:val="14"/>
                <w:szCs w:val="14"/>
                <w:color w:val="auto"/>
              </w:rPr>
            </w:pPr>
          </w:p>
        </w:tc>
        <w:tc>
          <w:tcPr>
            <w:tcW w:w="19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1995</w:t>
            </w:r>
          </w:p>
        </w:tc>
        <w:tc>
          <w:tcPr>
            <w:tcW w:w="13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r>
        <w:trPr>
          <w:trHeight w:val="172"/>
        </w:trPr>
        <w:tc>
          <w:tcPr>
            <w:tcW w:w="3040" w:type="dxa"/>
            <w:vAlign w:val="bottom"/>
          </w:tcPr>
          <w:p>
            <w:pPr>
              <w:spacing w:after="0"/>
              <w:rPr>
                <w:sz w:val="14"/>
                <w:szCs w:val="14"/>
                <w:color w:val="auto"/>
              </w:rPr>
            </w:pPr>
          </w:p>
        </w:tc>
        <w:tc>
          <w:tcPr>
            <w:tcW w:w="19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9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$8.3</w:t>
            </w:r>
          </w:p>
        </w:tc>
        <w:tc>
          <w:tcPr>
            <w:tcW w:w="13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$7.3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9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5.0</w:t>
            </w:r>
          </w:p>
        </w:tc>
        <w:tc>
          <w:tcPr>
            <w:tcW w:w="13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bl>
    <w:p>
      <w:pPr>
        <w:spacing w:after="0" w:line="346" w:lineRule="exact"/>
        <w:rPr>
          <w:sz w:val="20"/>
          <w:szCs w:val="20"/>
          <w:color w:val="auto"/>
        </w:rPr>
      </w:pPr>
    </w:p>
    <w:p>
      <w:pPr>
        <w:ind w:left="448" w:hanging="448"/>
        <w:spacing w:after="0"/>
        <w:tabs>
          <w:tab w:leader="none" w:pos="44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6"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Effective December 1, 1993, the Company adopted the provisions of Statement of Financial Accounting Standards No. 109, Accounting for Income Taxes, and has reported the cumulative effect of the change in the method of accounting for income taxes in the financial statements for 1994, in the amount of $510,200. The principal cause of this adjustment was due to the basis difference of an acquisition made in prior years which was accounted for as a purchase transaction.</w:t>
      </w:r>
    </w:p>
    <w:p>
      <w:pPr>
        <w:spacing w:after="0" w:line="177" w:lineRule="exact"/>
        <w:rPr>
          <w:sz w:val="20"/>
          <w:szCs w:val="20"/>
          <w:color w:val="auto"/>
        </w:rPr>
      </w:pPr>
    </w:p>
    <w:p>
      <w:pPr>
        <w:ind w:left="8" w:right="3159"/>
        <w:spacing w:after="0"/>
        <w:rPr>
          <w:sz w:val="20"/>
          <w:szCs w:val="20"/>
          <w:color w:val="auto"/>
        </w:rPr>
      </w:pPr>
      <w:r>
        <w:rPr>
          <w:rFonts w:ascii="Courier New" w:cs="Courier New" w:eastAsia="Courier New" w:hAnsi="Courier New"/>
          <w:sz w:val="15"/>
          <w:szCs w:val="15"/>
          <w:color w:val="auto"/>
        </w:rPr>
        <w:t>A reconciliation of the statutory federal income tax rate and the effective tax rate, as a percentage of pretax income, is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520" w:type="dxa"/>
            <w:vAlign w:val="bottom"/>
          </w:tcPr>
          <w:p>
            <w:pPr>
              <w:spacing w:after="0"/>
              <w:rPr>
                <w:sz w:val="14"/>
                <w:szCs w:val="14"/>
                <w:color w:val="auto"/>
              </w:rPr>
            </w:pP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1995</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1994</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1993</w:t>
            </w:r>
          </w:p>
        </w:tc>
      </w:tr>
      <w:tr>
        <w:trPr>
          <w:trHeight w:val="172"/>
        </w:trPr>
        <w:tc>
          <w:tcPr>
            <w:tcW w:w="3520" w:type="dxa"/>
            <w:vAlign w:val="bottom"/>
          </w:tcPr>
          <w:p>
            <w:pPr>
              <w:spacing w:after="0"/>
              <w:rPr>
                <w:sz w:val="14"/>
                <w:szCs w:val="14"/>
                <w:color w:val="auto"/>
              </w:rPr>
            </w:pP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3520" w:type="dxa"/>
            <w:vAlign w:val="bottom"/>
          </w:tcPr>
          <w:p>
            <w:pPr>
              <w:spacing w:after="0"/>
              <w:rPr>
                <w:sz w:val="20"/>
                <w:szCs w:val="20"/>
                <w:color w:val="auto"/>
              </w:rPr>
            </w:pPr>
            <w:r>
              <w:rPr>
                <w:rFonts w:ascii="Courier New" w:cs="Courier New" w:eastAsia="Courier New" w:hAnsi="Courier New"/>
                <w:sz w:val="15"/>
                <w:szCs w:val="15"/>
                <w:color w:val="auto"/>
              </w:rPr>
              <w:t>Statutory federal income tax rate</w:t>
            </w:r>
          </w:p>
        </w:tc>
        <w:tc>
          <w:tcPr>
            <w:tcW w:w="14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35.0%</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35.0%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Dividends received exclusion</w:t>
            </w:r>
          </w:p>
        </w:tc>
        <w:tc>
          <w:tcPr>
            <w:tcW w:w="14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(1.7)</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Tax exempt interest</w:t>
            </w:r>
          </w:p>
        </w:tc>
        <w:tc>
          <w:tcPr>
            <w:tcW w:w="14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(2.4)</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Tax credits</w:t>
            </w:r>
          </w:p>
        </w:tc>
        <w:tc>
          <w:tcPr>
            <w:tcW w:w="14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(0.2)</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(0.8)</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Unremitted affiliate income</w:t>
            </w:r>
          </w:p>
        </w:tc>
        <w:tc>
          <w:tcPr>
            <w:tcW w:w="14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(4.5)</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State income tax, net of</w:t>
            </w:r>
          </w:p>
        </w:tc>
        <w:tc>
          <w:tcPr>
            <w:tcW w:w="1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520" w:type="dxa"/>
            <w:vAlign w:val="bottom"/>
          </w:tcPr>
          <w:p>
            <w:pPr>
              <w:ind w:left="80"/>
              <w:spacing w:after="0"/>
              <w:rPr>
                <w:sz w:val="20"/>
                <w:szCs w:val="20"/>
                <w:color w:val="auto"/>
              </w:rPr>
            </w:pPr>
            <w:r>
              <w:rPr>
                <w:rFonts w:ascii="Courier New" w:cs="Courier New" w:eastAsia="Courier New" w:hAnsi="Courier New"/>
                <w:sz w:val="15"/>
                <w:szCs w:val="15"/>
                <w:color w:val="auto"/>
              </w:rPr>
              <w:t>federal benefit</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2.5</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w:t>
            </w: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Corporate owned life insurance</w:t>
            </w:r>
          </w:p>
        </w:tc>
        <w:tc>
          <w:tcPr>
            <w:tcW w:w="14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(2.7)</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(1.3)</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w:t>
            </w: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4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(1.4)</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(0.8)</w:t>
            </w:r>
          </w:p>
        </w:tc>
      </w:tr>
      <w:tr>
        <w:trPr>
          <w:trHeight w:val="172"/>
        </w:trPr>
        <w:tc>
          <w:tcPr>
            <w:tcW w:w="3520" w:type="dxa"/>
            <w:vAlign w:val="bottom"/>
          </w:tcPr>
          <w:p>
            <w:pPr>
              <w:spacing w:after="0"/>
              <w:rPr>
                <w:sz w:val="14"/>
                <w:szCs w:val="14"/>
                <w:color w:val="auto"/>
              </w:rPr>
            </w:pP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Effective tax rate</w:t>
            </w:r>
          </w:p>
        </w:tc>
        <w:tc>
          <w:tcPr>
            <w:tcW w:w="14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24.0%</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28.2%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29.2%</w:t>
            </w:r>
          </w:p>
        </w:tc>
      </w:tr>
      <w:tr>
        <w:trPr>
          <w:trHeight w:val="172"/>
        </w:trPr>
        <w:tc>
          <w:tcPr>
            <w:tcW w:w="3520" w:type="dxa"/>
            <w:vAlign w:val="bottom"/>
          </w:tcPr>
          <w:p>
            <w:pPr>
              <w:spacing w:after="0"/>
              <w:rPr>
                <w:sz w:val="14"/>
                <w:szCs w:val="14"/>
                <w:color w:val="auto"/>
              </w:rPr>
            </w:pP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 w:right="3159"/>
        <w:spacing w:after="0" w:line="241" w:lineRule="auto"/>
        <w:rPr>
          <w:sz w:val="20"/>
          <w:szCs w:val="20"/>
          <w:color w:val="auto"/>
        </w:rPr>
      </w:pPr>
      <w:r>
        <w:rPr>
          <w:rFonts w:ascii="Courier New" w:cs="Courier New" w:eastAsia="Courier New" w:hAnsi="Courier New"/>
          <w:sz w:val="15"/>
          <w:szCs w:val="15"/>
          <w:color w:val="auto"/>
        </w:rPr>
        <w:t>The tax effects of temporary differences that give rise to significant portions of the deferred tax assets and deferred tax liabilities at November 30, are presented below: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500" w:type="dxa"/>
            <w:vAlign w:val="bottom"/>
          </w:tcPr>
          <w:p>
            <w:pPr>
              <w:spacing w:after="0"/>
              <w:rPr>
                <w:sz w:val="14"/>
                <w:szCs w:val="14"/>
                <w:color w:val="auto"/>
              </w:rPr>
            </w:pPr>
          </w:p>
        </w:tc>
        <w:tc>
          <w:tcPr>
            <w:tcW w:w="17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4500" w:type="dxa"/>
            <w:vAlign w:val="bottom"/>
          </w:tcPr>
          <w:p>
            <w:pPr>
              <w:spacing w:after="0"/>
              <w:rPr>
                <w:sz w:val="14"/>
                <w:szCs w:val="14"/>
                <w:color w:val="auto"/>
              </w:rPr>
            </w:pPr>
          </w:p>
        </w:tc>
        <w:tc>
          <w:tcPr>
            <w:tcW w:w="17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50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7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2"/>
        </w:trPr>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Accrued retirement benefits</w:t>
            </w:r>
          </w:p>
        </w:tc>
        <w:tc>
          <w:tcPr>
            <w:tcW w:w="17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$3,901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$3,584</w:t>
            </w:r>
          </w:p>
        </w:tc>
      </w:tr>
      <w:tr>
        <w:trPr>
          <w:trHeight w:val="172"/>
        </w:trPr>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Provision for doubtful accounts</w:t>
            </w:r>
          </w:p>
        </w:tc>
        <w:tc>
          <w:tcPr>
            <w:tcW w:w="17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596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518</w:t>
            </w:r>
          </w:p>
        </w:tc>
      </w:tr>
      <w:tr>
        <w:trPr>
          <w:trHeight w:val="172"/>
        </w:trPr>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Insurance claims and reserves</w:t>
            </w:r>
          </w:p>
        </w:tc>
        <w:tc>
          <w:tcPr>
            <w:tcW w:w="17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1,359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1,141</w:t>
            </w:r>
          </w:p>
        </w:tc>
      </w:tr>
      <w:tr>
        <w:trPr>
          <w:trHeight w:val="172"/>
        </w:trPr>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Excess of tax over financial statement</w:t>
            </w:r>
          </w:p>
        </w:tc>
        <w:tc>
          <w:tcPr>
            <w:tcW w:w="17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4500" w:type="dxa"/>
            <w:vAlign w:val="bottom"/>
          </w:tcPr>
          <w:p>
            <w:pPr>
              <w:ind w:left="340"/>
              <w:spacing w:after="0"/>
              <w:rPr>
                <w:sz w:val="20"/>
                <w:szCs w:val="20"/>
                <w:color w:val="auto"/>
              </w:rPr>
            </w:pPr>
            <w:r>
              <w:rPr>
                <w:rFonts w:ascii="Courier New" w:cs="Courier New" w:eastAsia="Courier New" w:hAnsi="Courier New"/>
                <w:sz w:val="15"/>
                <w:szCs w:val="15"/>
                <w:color w:val="auto"/>
              </w:rPr>
              <w:t>basis of investment securities</w:t>
            </w:r>
          </w:p>
        </w:tc>
        <w:tc>
          <w:tcPr>
            <w:tcW w:w="17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603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647</w:t>
            </w:r>
          </w:p>
        </w:tc>
      </w:tr>
      <w:tr>
        <w:trPr>
          <w:trHeight w:val="172"/>
        </w:trPr>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17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450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756</w:t>
            </w:r>
          </w:p>
        </w:tc>
      </w:tr>
      <w:tr>
        <w:trPr>
          <w:trHeight w:val="172"/>
        </w:trPr>
        <w:tc>
          <w:tcPr>
            <w:tcW w:w="4500" w:type="dxa"/>
            <w:vAlign w:val="bottom"/>
          </w:tcPr>
          <w:p>
            <w:pPr>
              <w:spacing w:after="0"/>
              <w:rPr>
                <w:sz w:val="14"/>
                <w:szCs w:val="14"/>
                <w:color w:val="auto"/>
              </w:rPr>
            </w:pPr>
          </w:p>
        </w:tc>
        <w:tc>
          <w:tcPr>
            <w:tcW w:w="17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500" w:type="dxa"/>
            <w:vAlign w:val="bottom"/>
          </w:tcPr>
          <w:p>
            <w:pPr>
              <w:ind w:left="340"/>
              <w:spacing w:after="0"/>
              <w:rPr>
                <w:sz w:val="20"/>
                <w:szCs w:val="20"/>
                <w:color w:val="auto"/>
              </w:rPr>
            </w:pPr>
            <w:r>
              <w:rPr>
                <w:rFonts w:ascii="Courier New" w:cs="Courier New" w:eastAsia="Courier New" w:hAnsi="Courier New"/>
                <w:sz w:val="15"/>
                <w:szCs w:val="15"/>
                <w:color w:val="auto"/>
              </w:rPr>
              <w:t>Total gross deferred tax assets</w:t>
            </w:r>
          </w:p>
        </w:tc>
        <w:tc>
          <w:tcPr>
            <w:tcW w:w="17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6,909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6,646</w:t>
            </w:r>
          </w:p>
        </w:tc>
      </w:tr>
      <w:tr>
        <w:trPr>
          <w:trHeight w:val="172"/>
        </w:trPr>
        <w:tc>
          <w:tcPr>
            <w:tcW w:w="4500" w:type="dxa"/>
            <w:vAlign w:val="bottom"/>
          </w:tcPr>
          <w:p>
            <w:pPr>
              <w:ind w:left="340"/>
              <w:spacing w:after="0"/>
              <w:rPr>
                <w:sz w:val="20"/>
                <w:szCs w:val="20"/>
                <w:color w:val="auto"/>
              </w:rPr>
            </w:pPr>
            <w:r>
              <w:rPr>
                <w:rFonts w:ascii="Courier New" w:cs="Courier New" w:eastAsia="Courier New" w:hAnsi="Courier New"/>
                <w:sz w:val="15"/>
                <w:szCs w:val="15"/>
                <w:color w:val="auto"/>
              </w:rPr>
              <w:t>Less valuation allowance</w:t>
            </w:r>
          </w:p>
        </w:tc>
        <w:tc>
          <w:tcPr>
            <w:tcW w:w="17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4500" w:type="dxa"/>
            <w:vAlign w:val="bottom"/>
          </w:tcPr>
          <w:p>
            <w:pPr>
              <w:spacing w:after="0"/>
              <w:rPr>
                <w:sz w:val="14"/>
                <w:szCs w:val="14"/>
                <w:color w:val="auto"/>
              </w:rPr>
            </w:pPr>
          </w:p>
        </w:tc>
        <w:tc>
          <w:tcPr>
            <w:tcW w:w="17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500" w:type="dxa"/>
            <w:vAlign w:val="bottom"/>
          </w:tcPr>
          <w:p>
            <w:pPr>
              <w:ind w:left="340"/>
              <w:spacing w:after="0"/>
              <w:rPr>
                <w:sz w:val="20"/>
                <w:szCs w:val="20"/>
                <w:color w:val="auto"/>
              </w:rPr>
            </w:pPr>
            <w:r>
              <w:rPr>
                <w:rFonts w:ascii="Courier New" w:cs="Courier New" w:eastAsia="Courier New" w:hAnsi="Courier New"/>
                <w:sz w:val="15"/>
                <w:szCs w:val="15"/>
                <w:color w:val="auto"/>
              </w:rPr>
              <w:t>Net deferred tax assets</w:t>
            </w:r>
          </w:p>
        </w:tc>
        <w:tc>
          <w:tcPr>
            <w:tcW w:w="17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6,909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6,646</w:t>
            </w:r>
          </w:p>
        </w:tc>
      </w:tr>
      <w:tr>
        <w:trPr>
          <w:trHeight w:val="344"/>
        </w:trPr>
        <w:tc>
          <w:tcPr>
            <w:tcW w:w="4500" w:type="dxa"/>
            <w:vAlign w:val="bottom"/>
          </w:tcPr>
          <w:p>
            <w:pPr>
              <w:spacing w:after="0"/>
              <w:rPr>
                <w:sz w:val="24"/>
                <w:szCs w:val="24"/>
                <w:color w:val="auto"/>
              </w:rPr>
            </w:pPr>
          </w:p>
        </w:tc>
        <w:tc>
          <w:tcPr>
            <w:tcW w:w="17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4500" w:type="dxa"/>
            <w:vAlign w:val="bottom"/>
          </w:tcPr>
          <w:p>
            <w:pPr>
              <w:spacing w:after="0"/>
              <w:rPr>
                <w:sz w:val="14"/>
                <w:szCs w:val="14"/>
                <w:color w:val="auto"/>
              </w:rPr>
            </w:pPr>
          </w:p>
        </w:tc>
        <w:tc>
          <w:tcPr>
            <w:tcW w:w="17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50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7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Unremitted affiliate income</w:t>
            </w:r>
          </w:p>
        </w:tc>
        <w:tc>
          <w:tcPr>
            <w:tcW w:w="17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$2,243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$1,917</w:t>
            </w:r>
          </w:p>
        </w:tc>
      </w:tr>
      <w:tr>
        <w:trPr>
          <w:trHeight w:val="172"/>
        </w:trPr>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Excess of financial statement over tax</w:t>
            </w:r>
          </w:p>
        </w:tc>
        <w:tc>
          <w:tcPr>
            <w:tcW w:w="17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4500" w:type="dxa"/>
            <w:vAlign w:val="bottom"/>
          </w:tcPr>
          <w:p>
            <w:pPr>
              <w:ind w:left="340"/>
              <w:spacing w:after="0"/>
              <w:rPr>
                <w:sz w:val="20"/>
                <w:szCs w:val="20"/>
                <w:color w:val="auto"/>
              </w:rPr>
            </w:pPr>
            <w:r>
              <w:rPr>
                <w:rFonts w:ascii="Courier New" w:cs="Courier New" w:eastAsia="Courier New" w:hAnsi="Courier New"/>
                <w:sz w:val="15"/>
                <w:szCs w:val="15"/>
                <w:color w:val="auto"/>
              </w:rPr>
              <w:t>basis of property, plant and equipment</w:t>
            </w:r>
          </w:p>
        </w:tc>
        <w:tc>
          <w:tcPr>
            <w:tcW w:w="17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1,508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1,534</w:t>
            </w:r>
          </w:p>
        </w:tc>
      </w:tr>
      <w:tr>
        <w:trPr>
          <w:trHeight w:val="172"/>
        </w:trPr>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Unrealized holding gains and losses</w:t>
            </w:r>
          </w:p>
        </w:tc>
        <w:tc>
          <w:tcPr>
            <w:tcW w:w="17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3,000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1,722</w:t>
            </w:r>
          </w:p>
        </w:tc>
      </w:tr>
      <w:tr>
        <w:trPr>
          <w:trHeight w:val="172"/>
        </w:trPr>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17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279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424</w:t>
            </w:r>
          </w:p>
        </w:tc>
      </w:tr>
      <w:tr>
        <w:trPr>
          <w:trHeight w:val="172"/>
        </w:trPr>
        <w:tc>
          <w:tcPr>
            <w:tcW w:w="4500" w:type="dxa"/>
            <w:vAlign w:val="bottom"/>
          </w:tcPr>
          <w:p>
            <w:pPr>
              <w:spacing w:after="0"/>
              <w:rPr>
                <w:sz w:val="14"/>
                <w:szCs w:val="14"/>
                <w:color w:val="auto"/>
              </w:rPr>
            </w:pPr>
          </w:p>
        </w:tc>
        <w:tc>
          <w:tcPr>
            <w:tcW w:w="17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500" w:type="dxa"/>
            <w:vAlign w:val="bottom"/>
          </w:tcPr>
          <w:p>
            <w:pPr>
              <w:ind w:left="340"/>
              <w:spacing w:after="0"/>
              <w:rPr>
                <w:sz w:val="20"/>
                <w:szCs w:val="20"/>
                <w:color w:val="auto"/>
              </w:rPr>
            </w:pPr>
            <w:r>
              <w:rPr>
                <w:rFonts w:ascii="Courier New" w:cs="Courier New" w:eastAsia="Courier New" w:hAnsi="Courier New"/>
                <w:sz w:val="15"/>
                <w:szCs w:val="15"/>
                <w:color w:val="auto"/>
              </w:rPr>
              <w:t>Total gross deferred tax liabilities</w:t>
            </w:r>
          </w:p>
        </w:tc>
        <w:tc>
          <w:tcPr>
            <w:tcW w:w="17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7,030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5,597</w:t>
            </w:r>
          </w:p>
        </w:tc>
      </w:tr>
      <w:tr>
        <w:trPr>
          <w:trHeight w:val="172"/>
        </w:trPr>
        <w:tc>
          <w:tcPr>
            <w:tcW w:w="4500" w:type="dxa"/>
            <w:vAlign w:val="bottom"/>
          </w:tcPr>
          <w:p>
            <w:pPr>
              <w:spacing w:after="0"/>
              <w:rPr>
                <w:sz w:val="14"/>
                <w:szCs w:val="14"/>
                <w:color w:val="auto"/>
              </w:rPr>
            </w:pPr>
          </w:p>
        </w:tc>
        <w:tc>
          <w:tcPr>
            <w:tcW w:w="17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500" w:type="dxa"/>
            <w:vAlign w:val="bottom"/>
          </w:tcPr>
          <w:p>
            <w:pPr>
              <w:ind w:left="340"/>
              <w:spacing w:after="0"/>
              <w:rPr>
                <w:sz w:val="20"/>
                <w:szCs w:val="20"/>
                <w:color w:val="auto"/>
              </w:rPr>
            </w:pPr>
            <w:r>
              <w:rPr>
                <w:rFonts w:ascii="Courier New" w:cs="Courier New" w:eastAsia="Courier New" w:hAnsi="Courier New"/>
                <w:sz w:val="15"/>
                <w:szCs w:val="15"/>
                <w:color w:val="auto"/>
              </w:rPr>
              <w:t>Net deferred tax (liability) asset</w:t>
            </w:r>
          </w:p>
        </w:tc>
        <w:tc>
          <w:tcPr>
            <w:tcW w:w="1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(121)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$1,049</w:t>
            </w:r>
          </w:p>
        </w:tc>
      </w:tr>
      <w:tr>
        <w:trPr>
          <w:trHeight w:val="172"/>
        </w:trPr>
        <w:tc>
          <w:tcPr>
            <w:tcW w:w="4500" w:type="dxa"/>
            <w:vAlign w:val="bottom"/>
          </w:tcPr>
          <w:p>
            <w:pPr>
              <w:spacing w:after="0"/>
              <w:rPr>
                <w:sz w:val="14"/>
                <w:szCs w:val="14"/>
                <w:color w:val="auto"/>
              </w:rPr>
            </w:pPr>
          </w:p>
        </w:tc>
        <w:tc>
          <w:tcPr>
            <w:tcW w:w="17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 w:right="3339"/>
        <w:spacing w:after="0" w:line="274" w:lineRule="auto"/>
        <w:rPr>
          <w:sz w:val="20"/>
          <w:szCs w:val="20"/>
          <w:color w:val="auto"/>
        </w:rPr>
      </w:pPr>
      <w:r>
        <w:rPr>
          <w:rFonts w:ascii="Courier New" w:cs="Courier New" w:eastAsia="Courier New" w:hAnsi="Courier New"/>
          <w:sz w:val="14"/>
          <w:szCs w:val="14"/>
          <w:color w:val="auto"/>
        </w:rPr>
        <w:t>Based upon the level of historical taxable income and projections for future taxable income over the periods which the deferred tax assets are deductible,</w:t>
      </w:r>
    </w:p>
    <w:p>
      <w:pPr>
        <w:sectPr>
          <w:pgSz w:w="11900" w:h="16850" w:orient="portrait"/>
          <w:cols w:equalWidth="0" w:num="1">
            <w:col w:w="10227"/>
          </w:cols>
          <w:pgMar w:left="232" w:top="289" w:right="1440" w:bottom="0" w:gutter="0" w:footer="0" w:header="0"/>
        </w:sectPr>
      </w:pPr>
    </w:p>
    <w:bookmarkStart w:id="18" w:name="page19"/>
    <w:bookmarkEnd w:id="18"/>
    <w:p>
      <w:pPr>
        <w:ind w:left="8" w:right="3519"/>
        <w:spacing w:after="0"/>
        <w:rPr>
          <w:sz w:val="20"/>
          <w:szCs w:val="20"/>
          <w:color w:val="auto"/>
        </w:rPr>
      </w:pPr>
      <w:r>
        <w:rPr>
          <w:rFonts w:ascii="Courier New" w:cs="Courier New" w:eastAsia="Courier New" w:hAnsi="Courier New"/>
          <w:sz w:val="15"/>
          <w:szCs w:val="15"/>
          <w:color w:val="auto"/>
        </w:rPr>
        <w:t>management believes it is more likely than not the Company will realize the benefits of the deferred tax assets.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provision for deferred income taxes in 1993 is comprised of the following:</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Special credits</w:t>
            </w:r>
          </w:p>
        </w:tc>
        <w:tc>
          <w:tcPr>
            <w:tcW w:w="1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$190</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Unremitted affiliate income</w:t>
            </w:r>
          </w:p>
        </w:tc>
        <w:tc>
          <w:tcPr>
            <w:tcW w:w="1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331</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Accrued retirement benefits</w:t>
            </w: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(280)</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Depreciation</w:t>
            </w: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(114)</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217</w:t>
            </w:r>
          </w:p>
        </w:tc>
      </w:tr>
      <w:tr>
        <w:trPr>
          <w:trHeight w:val="172"/>
        </w:trPr>
        <w:tc>
          <w:tcPr>
            <w:tcW w:w="3920" w:type="dxa"/>
            <w:vAlign w:val="bottom"/>
          </w:tcPr>
          <w:p>
            <w:pPr>
              <w:spacing w:after="0"/>
              <w:rPr>
                <w:sz w:val="14"/>
                <w:szCs w:val="14"/>
                <w:color w:val="auto"/>
              </w:rPr>
            </w:pPr>
          </w:p>
        </w:tc>
        <w:tc>
          <w:tcPr>
            <w:tcW w:w="1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14"/>
                <w:szCs w:val="14"/>
                <w:color w:val="auto"/>
              </w:rPr>
            </w:pPr>
          </w:p>
        </w:tc>
        <w:tc>
          <w:tcPr>
            <w:tcW w:w="1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$344</w:t>
            </w:r>
          </w:p>
        </w:tc>
      </w:tr>
      <w:tr>
        <w:trPr>
          <w:trHeight w:val="172"/>
        </w:trPr>
        <w:tc>
          <w:tcPr>
            <w:tcW w:w="3920" w:type="dxa"/>
            <w:vAlign w:val="bottom"/>
          </w:tcPr>
          <w:p>
            <w:pPr>
              <w:spacing w:after="0"/>
              <w:rPr>
                <w:sz w:val="14"/>
                <w:szCs w:val="14"/>
                <w:color w:val="auto"/>
              </w:rPr>
            </w:pPr>
          </w:p>
        </w:tc>
        <w:tc>
          <w:tcPr>
            <w:tcW w:w="1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448" w:hanging="448"/>
        <w:spacing w:after="0"/>
        <w:tabs>
          <w:tab w:leader="none" w:pos="4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PLANS</w:t>
      </w:r>
    </w:p>
    <w:p>
      <w:pPr>
        <w:spacing w:after="0" w:line="176" w:lineRule="exact"/>
        <w:rPr>
          <w:sz w:val="20"/>
          <w:szCs w:val="20"/>
          <w:color w:val="auto"/>
        </w:rPr>
      </w:pPr>
    </w:p>
    <w:p>
      <w:pPr>
        <w:ind w:left="8" w:right="3259"/>
        <w:spacing w:after="0" w:line="262" w:lineRule="auto"/>
        <w:rPr>
          <w:sz w:val="20"/>
          <w:szCs w:val="20"/>
          <w:color w:val="auto"/>
        </w:rPr>
      </w:pPr>
      <w:r>
        <w:rPr>
          <w:rFonts w:ascii="Courier New" w:cs="Courier New" w:eastAsia="Courier New" w:hAnsi="Courier New"/>
          <w:sz w:val="14"/>
          <w:szCs w:val="14"/>
          <w:color w:val="auto"/>
        </w:rPr>
        <w:t>The Company has a qualified defined contribution plan (Employee Savings/Retirement Plan) which covers all employees, with over one year service, who elect to participate and have fulfilled the necessary service requirements. Employee contributions to the Plan are matched by the Company at the rate of 115% of the first 2% through 5% of the employee's contribution, based on seniority. The Plan incorporates provisions of Section 401(k) of the Internal Revenue Code. The expense for the Plan for 1995, 1994 and 1993, amounted to approximately $2,395,000, $2,444,000 and $2,337,000, respectively.</w:t>
      </w:r>
    </w:p>
    <w:p>
      <w:pPr>
        <w:spacing w:after="0" w:line="163"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The Company has a supplemental retirement Income Plan that covers certain senior executives and provides additional retirement and death benefits. Also, the Company has a Deferred Compensation Plan for certain senior executives which provides for voluntary deferral of compensation, otherwise payable. The unfunded future liability of the Company under these Plans is included in deferred liabilities.</w:t>
      </w:r>
    </w:p>
    <w:p>
      <w:pPr>
        <w:spacing w:after="0" w:line="174" w:lineRule="exact"/>
        <w:rPr>
          <w:sz w:val="20"/>
          <w:szCs w:val="20"/>
          <w:color w:val="auto"/>
        </w:rPr>
      </w:pPr>
    </w:p>
    <w:p>
      <w:pPr>
        <w:ind w:left="448" w:hanging="448"/>
        <w:spacing w:after="0"/>
        <w:tabs>
          <w:tab w:leader="none" w:pos="44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 PLANS</w:t>
      </w:r>
    </w:p>
    <w:p>
      <w:pPr>
        <w:spacing w:after="0" w:line="176"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In 1994, the stockholders approved the 1993 Long Term Incentive Plan for key employees of the Company. The Company has reserved for issuance 450,000 shares of common stock pursuant to the Plan. Options granted under the Plan may be for such terms and exercised at such times as determined at the time of grant by the Organization and Compensation Committee of the Board of Directors. No options to purchase shares of Common Stock were granted in 1995. Options to purchase 68,650 shares of Common Stock were granted in 1994 at $26.25 per share, the fair market value at date of grant. No options were exercised in 1995 or 1994. Additionally, the Plan includes provisions for the granting of stock appreciation rights and certain restricted awards. No stock appreciation rights or restricted stock awards were granted in 1995 or 1994.</w:t>
      </w:r>
    </w:p>
    <w:p>
      <w:pPr>
        <w:sectPr>
          <w:pgSz w:w="11900" w:h="16838" w:orient="portrait"/>
          <w:cols w:equalWidth="0" w:num="1">
            <w:col w:w="10227"/>
          </w:cols>
          <w:pgMar w:left="232" w:top="141" w:right="1440" w:bottom="1440" w:gutter="0" w:footer="0" w:header="0"/>
        </w:sectPr>
      </w:pPr>
    </w:p>
    <w:bookmarkStart w:id="19" w:name="page20"/>
    <w:bookmarkEnd w:id="19"/>
    <w:p>
      <w:pPr>
        <w:ind w:left="268"/>
        <w:spacing w:after="0"/>
        <w:rPr>
          <w:sz w:val="20"/>
          <w:szCs w:val="20"/>
          <w:color w:val="auto"/>
        </w:rPr>
      </w:pPr>
      <w:r>
        <w:rPr>
          <w:rFonts w:ascii="Courier New" w:cs="Courier New" w:eastAsia="Courier New" w:hAnsi="Courier New"/>
          <w:sz w:val="15"/>
          <w:szCs w:val="15"/>
          <w:color w:val="auto"/>
        </w:rPr>
        <w:t>6</w:t>
      </w:r>
    </w:p>
    <w:p>
      <w:pPr>
        <w:spacing w:after="0" w:line="2" w:lineRule="exact"/>
        <w:rPr>
          <w:sz w:val="20"/>
          <w:szCs w:val="20"/>
          <w:color w:val="auto"/>
        </w:rPr>
      </w:pPr>
    </w:p>
    <w:p>
      <w:pPr>
        <w:ind w:left="5988"/>
        <w:spacing w:after="0"/>
        <w:rPr>
          <w:sz w:val="20"/>
          <w:szCs w:val="20"/>
          <w:color w:val="auto"/>
        </w:rPr>
      </w:pPr>
      <w:r>
        <w:rPr>
          <w:rFonts w:ascii="Courier New" w:cs="Courier New" w:eastAsia="Courier New" w:hAnsi="Courier New"/>
          <w:sz w:val="15"/>
          <w:szCs w:val="15"/>
          <w:color w:val="auto"/>
        </w:rPr>
        <w:t>Page 18 of 23</w:t>
      </w:r>
    </w:p>
    <w:p>
      <w:pPr>
        <w:spacing w:after="0" w:line="348" w:lineRule="exact"/>
        <w:rPr>
          <w:sz w:val="20"/>
          <w:szCs w:val="20"/>
          <w:color w:val="auto"/>
        </w:rPr>
      </w:pPr>
    </w:p>
    <w:p>
      <w:pPr>
        <w:ind w:left="8" w:right="4959"/>
        <w:spacing w:after="0" w:line="274" w:lineRule="auto"/>
        <w:rPr>
          <w:sz w:val="20"/>
          <w:szCs w:val="20"/>
          <w:color w:val="auto"/>
        </w:rPr>
      </w:pPr>
      <w:r>
        <w:rPr>
          <w:rFonts w:ascii="Courier New" w:cs="Courier New" w:eastAsia="Courier New" w:hAnsi="Courier New"/>
          <w:sz w:val="14"/>
          <w:szCs w:val="14"/>
          <w:color w:val="auto"/>
        </w:rPr>
        <w:t>NOTES TO CONSOLIDATED FINANCIAL STATEMENTS - CONTINUED Bassett Furniture Industries, Incorporated and Subsidiaries</w:t>
      </w:r>
    </w:p>
    <w:p>
      <w:pPr>
        <w:spacing w:after="0" w:line="152" w:lineRule="exact"/>
        <w:rPr>
          <w:sz w:val="20"/>
          <w:szCs w:val="20"/>
          <w:color w:val="auto"/>
        </w:rPr>
      </w:pPr>
    </w:p>
    <w:p>
      <w:pPr>
        <w:ind w:left="448" w:hanging="448"/>
        <w:spacing w:after="0"/>
        <w:tabs>
          <w:tab w:leader="none" w:pos="4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 PLANS - CONTINUED</w:t>
      </w:r>
    </w:p>
    <w:p>
      <w:pPr>
        <w:spacing w:after="0" w:line="176" w:lineRule="exact"/>
        <w:rPr>
          <w:sz w:val="20"/>
          <w:szCs w:val="20"/>
          <w:color w:val="auto"/>
        </w:rPr>
      </w:pPr>
    </w:p>
    <w:p>
      <w:pPr>
        <w:ind w:left="8" w:right="3339"/>
        <w:spacing w:after="0" w:line="242" w:lineRule="auto"/>
        <w:rPr>
          <w:sz w:val="20"/>
          <w:szCs w:val="20"/>
          <w:color w:val="auto"/>
        </w:rPr>
      </w:pPr>
      <w:r>
        <w:rPr>
          <w:rFonts w:ascii="Courier New" w:cs="Courier New" w:eastAsia="Courier New" w:hAnsi="Courier New"/>
          <w:sz w:val="15"/>
          <w:szCs w:val="15"/>
          <w:color w:val="auto"/>
        </w:rPr>
        <w:t>Also in 1994, the stockholders approved the 1993 Stock Plan for Non-Employee Directors. Pursuant to this Plan, 75,000 shares of Common Stock have been reserved. Under terms of the Plan, each non-employee director will automatically be granted an option to purchase 500 shares of Common Stock on April 1 of each year beginning on April 1, 1994. Options to purchase 4,500 shares of Common Stock were granted in 1995 and 1994 at $26.50 and $27.75 per share, respectively, the fair market value at date of grant. No options were exercised in 1995 or 1994.</w:t>
      </w:r>
    </w:p>
    <w:p>
      <w:pPr>
        <w:spacing w:after="0" w:line="177" w:lineRule="exact"/>
        <w:rPr>
          <w:sz w:val="20"/>
          <w:szCs w:val="20"/>
          <w:color w:val="auto"/>
        </w:rPr>
      </w:pPr>
    </w:p>
    <w:p>
      <w:pPr>
        <w:ind w:left="8" w:right="3259"/>
        <w:spacing w:after="0" w:line="274" w:lineRule="auto"/>
        <w:rPr>
          <w:sz w:val="20"/>
          <w:szCs w:val="20"/>
          <w:color w:val="auto"/>
        </w:rPr>
      </w:pPr>
      <w:r>
        <w:rPr>
          <w:rFonts w:ascii="Courier New" w:cs="Courier New" w:eastAsia="Courier New" w:hAnsi="Courier New"/>
          <w:sz w:val="14"/>
          <w:szCs w:val="14"/>
          <w:color w:val="auto"/>
        </w:rPr>
        <w:t>The Company's 1982 Stock Option Plan terminated in 1993. Stock option activity during 1993, 1994 and 1995 follows: (adjusted for the stock split in 1993)</w:t>
      </w:r>
    </w:p>
    <w:p>
      <w:pPr>
        <w:spacing w:after="0" w:line="200" w:lineRule="exact"/>
        <w:rPr>
          <w:sz w:val="20"/>
          <w:szCs w:val="20"/>
          <w:color w:val="auto"/>
        </w:rPr>
      </w:pPr>
    </w:p>
    <w:p>
      <w:pPr>
        <w:spacing w:after="0" w:line="296"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2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Number of</w:t>
            </w:r>
          </w:p>
        </w:tc>
        <w:tc>
          <w:tcPr>
            <w:tcW w:w="16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8"/>
              </w:rPr>
              <w:t>Option price</w:t>
            </w:r>
          </w:p>
        </w:tc>
      </w:tr>
      <w:tr>
        <w:trPr>
          <w:trHeight w:val="172"/>
        </w:trPr>
        <w:tc>
          <w:tcPr>
            <w:tcW w:w="12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shares</w:t>
            </w:r>
          </w:p>
        </w:tc>
        <w:tc>
          <w:tcPr>
            <w:tcW w:w="160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8"/>
              </w:rPr>
              <w:t>per share</w:t>
            </w:r>
          </w:p>
        </w:tc>
      </w:tr>
      <w:tr>
        <w:trPr>
          <w:trHeight w:val="172"/>
        </w:trPr>
        <w:tc>
          <w:tcPr>
            <w:tcW w:w="12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Outstanding at December 1, 1992</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165,937</w:t>
            </w:r>
          </w:p>
        </w:tc>
        <w:tc>
          <w:tcPr>
            <w:tcW w:w="16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$28.00</w:t>
            </w:r>
          </w:p>
        </w:tc>
      </w:tr>
      <w:tr>
        <w:trPr>
          <w:trHeight w:val="172"/>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Granted in 1993</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174,063</w:t>
            </w:r>
          </w:p>
        </w:tc>
        <w:tc>
          <w:tcPr>
            <w:tcW w:w="16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$37.40</w:t>
            </w:r>
          </w:p>
        </w:tc>
      </w:tr>
      <w:tr>
        <w:trPr>
          <w:trHeight w:val="172"/>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w w:val="99"/>
              </w:rPr>
              <w:t>Exercised in</w:t>
            </w:r>
          </w:p>
        </w:tc>
        <w:tc>
          <w:tcPr>
            <w:tcW w:w="2280" w:type="dxa"/>
            <w:vAlign w:val="bottom"/>
          </w:tcPr>
          <w:p>
            <w:pPr>
              <w:jc w:val="right"/>
              <w:ind w:right="1785"/>
              <w:spacing w:after="0"/>
              <w:rPr>
                <w:sz w:val="20"/>
                <w:szCs w:val="20"/>
                <w:color w:val="auto"/>
              </w:rPr>
            </w:pPr>
            <w:r>
              <w:rPr>
                <w:rFonts w:ascii="Courier New" w:cs="Courier New" w:eastAsia="Courier New" w:hAnsi="Courier New"/>
                <w:sz w:val="15"/>
                <w:szCs w:val="15"/>
                <w:color w:val="auto"/>
              </w:rPr>
              <w:t>1993</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(51,783)</w:t>
            </w:r>
          </w:p>
        </w:tc>
        <w:tc>
          <w:tcPr>
            <w:tcW w:w="16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$28.00</w:t>
            </w:r>
          </w:p>
        </w:tc>
      </w:tr>
      <w:tr>
        <w:trPr>
          <w:trHeight w:val="172"/>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w w:val="99"/>
              </w:rPr>
              <w:t>Cancelled in</w:t>
            </w:r>
          </w:p>
        </w:tc>
        <w:tc>
          <w:tcPr>
            <w:tcW w:w="2280" w:type="dxa"/>
            <w:vAlign w:val="bottom"/>
          </w:tcPr>
          <w:p>
            <w:pPr>
              <w:jc w:val="right"/>
              <w:ind w:right="1785"/>
              <w:spacing w:after="0"/>
              <w:rPr>
                <w:sz w:val="20"/>
                <w:szCs w:val="20"/>
                <w:color w:val="auto"/>
              </w:rPr>
            </w:pPr>
            <w:r>
              <w:rPr>
                <w:rFonts w:ascii="Courier New" w:cs="Courier New" w:eastAsia="Courier New" w:hAnsi="Courier New"/>
                <w:sz w:val="15"/>
                <w:szCs w:val="15"/>
                <w:color w:val="auto"/>
              </w:rPr>
              <w:t>1993</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w:t>
            </w:r>
          </w:p>
        </w:tc>
        <w:tc>
          <w:tcPr>
            <w:tcW w:w="160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88"/>
              </w:rPr>
              <w:t>-</w:t>
            </w:r>
          </w:p>
        </w:tc>
      </w:tr>
      <w:tr>
        <w:trPr>
          <w:trHeight w:val="172"/>
        </w:trPr>
        <w:tc>
          <w:tcPr>
            <w:tcW w:w="12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spacing w:after="0"/>
              <w:rPr>
                <w:sz w:val="14"/>
                <w:szCs w:val="14"/>
                <w:color w:val="auto"/>
              </w:rPr>
            </w:pPr>
          </w:p>
        </w:tc>
      </w:tr>
      <w:tr>
        <w:trPr>
          <w:trHeight w:val="344"/>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Outstanding at November 30, 1993</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288,217</w:t>
            </w:r>
          </w:p>
        </w:tc>
        <w:tc>
          <w:tcPr>
            <w:tcW w:w="160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$28.00 - $37.40</w:t>
            </w:r>
          </w:p>
        </w:tc>
      </w:tr>
      <w:tr>
        <w:trPr>
          <w:trHeight w:val="172"/>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Granted in 1994</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73,150</w:t>
            </w:r>
          </w:p>
        </w:tc>
        <w:tc>
          <w:tcPr>
            <w:tcW w:w="160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$26.25 - $27.75</w:t>
            </w:r>
          </w:p>
        </w:tc>
      </w:tr>
      <w:tr>
        <w:trPr>
          <w:trHeight w:val="172"/>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w w:val="99"/>
              </w:rPr>
              <w:t>Exercised in</w:t>
            </w:r>
          </w:p>
        </w:tc>
        <w:tc>
          <w:tcPr>
            <w:tcW w:w="2280" w:type="dxa"/>
            <w:vAlign w:val="bottom"/>
          </w:tcPr>
          <w:p>
            <w:pPr>
              <w:jc w:val="right"/>
              <w:ind w:right="1785"/>
              <w:spacing w:after="0"/>
              <w:rPr>
                <w:sz w:val="20"/>
                <w:szCs w:val="20"/>
                <w:color w:val="auto"/>
              </w:rPr>
            </w:pPr>
            <w:r>
              <w:rPr>
                <w:rFonts w:ascii="Courier New" w:cs="Courier New" w:eastAsia="Courier New" w:hAnsi="Courier New"/>
                <w:sz w:val="15"/>
                <w:szCs w:val="15"/>
                <w:color w:val="auto"/>
              </w:rPr>
              <w:t>1994</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w:t>
            </w:r>
          </w:p>
        </w:tc>
        <w:tc>
          <w:tcPr>
            <w:tcW w:w="160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88"/>
              </w:rPr>
              <w:t>-</w:t>
            </w:r>
          </w:p>
        </w:tc>
      </w:tr>
      <w:tr>
        <w:trPr>
          <w:trHeight w:val="172"/>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w w:val="99"/>
              </w:rPr>
              <w:t>Cancelled in</w:t>
            </w:r>
          </w:p>
        </w:tc>
        <w:tc>
          <w:tcPr>
            <w:tcW w:w="2280" w:type="dxa"/>
            <w:vAlign w:val="bottom"/>
          </w:tcPr>
          <w:p>
            <w:pPr>
              <w:jc w:val="right"/>
              <w:ind w:right="1785"/>
              <w:spacing w:after="0"/>
              <w:rPr>
                <w:sz w:val="20"/>
                <w:szCs w:val="20"/>
                <w:color w:val="auto"/>
              </w:rPr>
            </w:pPr>
            <w:r>
              <w:rPr>
                <w:rFonts w:ascii="Courier New" w:cs="Courier New" w:eastAsia="Courier New" w:hAnsi="Courier New"/>
                <w:sz w:val="15"/>
                <w:szCs w:val="15"/>
                <w:color w:val="auto"/>
              </w:rPr>
              <w:t>1994</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(16,150)</w:t>
            </w:r>
          </w:p>
        </w:tc>
        <w:tc>
          <w:tcPr>
            <w:tcW w:w="160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$26.25 - $37.40</w:t>
            </w:r>
          </w:p>
        </w:tc>
      </w:tr>
      <w:tr>
        <w:trPr>
          <w:trHeight w:val="172"/>
        </w:trPr>
        <w:tc>
          <w:tcPr>
            <w:tcW w:w="12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spacing w:after="0"/>
              <w:rPr>
                <w:sz w:val="14"/>
                <w:szCs w:val="14"/>
                <w:color w:val="auto"/>
              </w:rPr>
            </w:pPr>
          </w:p>
        </w:tc>
      </w:tr>
      <w:tr>
        <w:trPr>
          <w:trHeight w:val="344"/>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Outstanding at November 30, 1994</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345,217</w:t>
            </w:r>
          </w:p>
        </w:tc>
        <w:tc>
          <w:tcPr>
            <w:tcW w:w="160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$26.25 - $37.40</w:t>
            </w:r>
          </w:p>
        </w:tc>
      </w:tr>
      <w:tr>
        <w:trPr>
          <w:trHeight w:val="172"/>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Granted in 1995</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4,500</w:t>
            </w:r>
          </w:p>
        </w:tc>
        <w:tc>
          <w:tcPr>
            <w:tcW w:w="16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$26.50</w:t>
            </w:r>
          </w:p>
        </w:tc>
      </w:tr>
      <w:tr>
        <w:trPr>
          <w:trHeight w:val="172"/>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w w:val="99"/>
              </w:rPr>
              <w:t>Exercised in</w:t>
            </w:r>
          </w:p>
        </w:tc>
        <w:tc>
          <w:tcPr>
            <w:tcW w:w="2280" w:type="dxa"/>
            <w:vAlign w:val="bottom"/>
          </w:tcPr>
          <w:p>
            <w:pPr>
              <w:jc w:val="right"/>
              <w:ind w:right="1785"/>
              <w:spacing w:after="0"/>
              <w:rPr>
                <w:sz w:val="20"/>
                <w:szCs w:val="20"/>
                <w:color w:val="auto"/>
              </w:rPr>
            </w:pPr>
            <w:r>
              <w:rPr>
                <w:rFonts w:ascii="Courier New" w:cs="Courier New" w:eastAsia="Courier New" w:hAnsi="Courier New"/>
                <w:sz w:val="15"/>
                <w:szCs w:val="15"/>
                <w:color w:val="auto"/>
              </w:rPr>
              <w:t>1995</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w:t>
            </w:r>
          </w:p>
        </w:tc>
        <w:tc>
          <w:tcPr>
            <w:tcW w:w="160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88"/>
              </w:rPr>
              <w:t>-</w:t>
            </w:r>
          </w:p>
        </w:tc>
      </w:tr>
      <w:tr>
        <w:trPr>
          <w:trHeight w:val="172"/>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w w:val="99"/>
              </w:rPr>
              <w:t>Cancelled in</w:t>
            </w:r>
          </w:p>
        </w:tc>
        <w:tc>
          <w:tcPr>
            <w:tcW w:w="2280" w:type="dxa"/>
            <w:vAlign w:val="bottom"/>
          </w:tcPr>
          <w:p>
            <w:pPr>
              <w:jc w:val="right"/>
              <w:ind w:right="1785"/>
              <w:spacing w:after="0"/>
              <w:rPr>
                <w:sz w:val="20"/>
                <w:szCs w:val="20"/>
                <w:color w:val="auto"/>
              </w:rPr>
            </w:pPr>
            <w:r>
              <w:rPr>
                <w:rFonts w:ascii="Courier New" w:cs="Courier New" w:eastAsia="Courier New" w:hAnsi="Courier New"/>
                <w:sz w:val="15"/>
                <w:szCs w:val="15"/>
                <w:color w:val="auto"/>
              </w:rPr>
              <w:t>1995</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(17,292)</w:t>
            </w:r>
          </w:p>
        </w:tc>
        <w:tc>
          <w:tcPr>
            <w:tcW w:w="160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$26.25 - $37.40</w:t>
            </w:r>
          </w:p>
        </w:tc>
      </w:tr>
      <w:tr>
        <w:trPr>
          <w:trHeight w:val="172"/>
        </w:trPr>
        <w:tc>
          <w:tcPr>
            <w:tcW w:w="12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spacing w:after="0"/>
              <w:rPr>
                <w:sz w:val="14"/>
                <w:szCs w:val="14"/>
                <w:color w:val="auto"/>
              </w:rPr>
            </w:pPr>
          </w:p>
        </w:tc>
      </w:tr>
      <w:tr>
        <w:trPr>
          <w:trHeight w:val="344"/>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Outstanding at November 30, 1995</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332,425</w:t>
            </w:r>
          </w:p>
        </w:tc>
        <w:tc>
          <w:tcPr>
            <w:tcW w:w="160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$26.25 - $37.40</w:t>
            </w:r>
          </w:p>
        </w:tc>
      </w:tr>
      <w:tr>
        <w:trPr>
          <w:trHeight w:val="172"/>
        </w:trPr>
        <w:tc>
          <w:tcPr>
            <w:tcW w:w="12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spacing w:after="0"/>
              <w:rPr>
                <w:sz w:val="14"/>
                <w:szCs w:val="14"/>
                <w:color w:val="auto"/>
              </w:rPr>
            </w:pPr>
          </w:p>
        </w:tc>
      </w:tr>
      <w:tr>
        <w:trPr>
          <w:trHeight w:val="344"/>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Exercisable at November 30, 1995</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251,923</w:t>
            </w:r>
          </w:p>
        </w:tc>
        <w:tc>
          <w:tcPr>
            <w:tcW w:w="160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$26.25 - $37.40</w:t>
            </w:r>
          </w:p>
        </w:tc>
      </w:tr>
      <w:tr>
        <w:trPr>
          <w:trHeight w:val="172"/>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Exercisable at November 30, 1994</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200,128</w:t>
            </w:r>
          </w:p>
        </w:tc>
        <w:tc>
          <w:tcPr>
            <w:tcW w:w="160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$26.25 - $37.40</w:t>
            </w:r>
          </w:p>
        </w:tc>
      </w:tr>
      <w:tr>
        <w:trPr>
          <w:trHeight w:val="172"/>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Exercisable at November 30, 1993</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93,743</w:t>
            </w:r>
          </w:p>
        </w:tc>
        <w:tc>
          <w:tcPr>
            <w:tcW w:w="160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$28.00 - $37.40</w:t>
            </w:r>
          </w:p>
        </w:tc>
      </w:tr>
    </w:tbl>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H. OTHER INCOME, NET (in millions)</w:t>
            </w: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88"/>
        </w:trPr>
        <w:tc>
          <w:tcPr>
            <w:tcW w:w="3480" w:type="dxa"/>
            <w:vAlign w:val="bottom"/>
          </w:tcPr>
          <w:p>
            <w:pPr>
              <w:spacing w:after="0"/>
              <w:rPr>
                <w:sz w:val="24"/>
                <w:szCs w:val="24"/>
                <w:color w:val="auto"/>
              </w:rPr>
            </w:pP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1995</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1994</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1993</w:t>
            </w:r>
          </w:p>
        </w:tc>
      </w:tr>
      <w:tr>
        <w:trPr>
          <w:trHeight w:val="172"/>
        </w:trPr>
        <w:tc>
          <w:tcPr>
            <w:tcW w:w="3480" w:type="dxa"/>
            <w:vAlign w:val="bottom"/>
          </w:tcPr>
          <w:p>
            <w:pPr>
              <w:spacing w:after="0"/>
              <w:rPr>
                <w:sz w:val="14"/>
                <w:szCs w:val="14"/>
                <w:color w:val="auto"/>
              </w:rPr>
            </w:pP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rPr>
              <w:t>Equity in unremitted income</w:t>
            </w: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of affiliated companies</w:t>
            </w: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$ 5.0</w:t>
            </w: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$4.5</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Dividends</w:t>
            </w: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2.2</w:t>
            </w: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2.3</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Interest (principally tax exempt)</w:t>
            </w: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2.4</w:t>
            </w: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1.7</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gain from sales of investment</w:t>
            </w: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securities</w:t>
            </w: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4.1</w:t>
            </w: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0.5</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0.7</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gain from sales of property,</w:t>
            </w: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plant and equipment</w:t>
            </w: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Corporate owned life insurance,</w:t>
            </w: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net of interest expense</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Contributions</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(0.1)</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(0.6)</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1.1</w:t>
            </w: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1.1</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w:t>
            </w:r>
          </w:p>
        </w:tc>
      </w:tr>
      <w:tr>
        <w:trPr>
          <w:trHeight w:val="172"/>
        </w:trPr>
        <w:tc>
          <w:tcPr>
            <w:tcW w:w="3480" w:type="dxa"/>
            <w:vAlign w:val="bottom"/>
          </w:tcPr>
          <w:p>
            <w:pPr>
              <w:spacing w:after="0"/>
              <w:rPr>
                <w:sz w:val="14"/>
                <w:szCs w:val="14"/>
                <w:color w:val="auto"/>
              </w:rPr>
            </w:pP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$13.0</w:t>
            </w: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$9.7</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$9.3</w:t>
            </w:r>
          </w:p>
        </w:tc>
      </w:tr>
      <w:tr>
        <w:trPr>
          <w:trHeight w:val="172"/>
        </w:trPr>
        <w:tc>
          <w:tcPr>
            <w:tcW w:w="3480" w:type="dxa"/>
            <w:vAlign w:val="bottom"/>
          </w:tcPr>
          <w:p>
            <w:pPr>
              <w:spacing w:after="0"/>
              <w:rPr>
                <w:sz w:val="14"/>
                <w:szCs w:val="14"/>
                <w:color w:val="auto"/>
              </w:rPr>
            </w:pP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 w:right="3779"/>
        <w:spacing w:after="0"/>
        <w:rPr>
          <w:sz w:val="20"/>
          <w:szCs w:val="20"/>
          <w:color w:val="auto"/>
        </w:rPr>
      </w:pPr>
      <w:r>
        <w:rPr>
          <w:rFonts w:ascii="Courier New" w:cs="Courier New" w:eastAsia="Courier New" w:hAnsi="Courier New"/>
          <w:sz w:val="15"/>
          <w:szCs w:val="15"/>
          <w:color w:val="auto"/>
        </w:rPr>
        <w:t>Interest expense on corporate owned life insurance policy loans was $3.9 million in 1995, $1.4 million in 1994 and $.6 million in 1993.</w:t>
      </w:r>
    </w:p>
    <w:p>
      <w:pPr>
        <w:sectPr>
          <w:pgSz w:w="11900" w:h="16838" w:orient="portrait"/>
          <w:cols w:equalWidth="0" w:num="1">
            <w:col w:w="10227"/>
          </w:cols>
          <w:pgMar w:left="232" w:top="289"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7</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Page 19 of 23</w:t>
      </w:r>
    </w:p>
    <w:p>
      <w:pPr>
        <w:spacing w:after="0" w:line="346"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INDEPENDENT AUDITORS' REPORT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Bassett Furniture Industries, Incorporated</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We have audited the accompanying consolidated balance sheets of Bassett Furniture Industries, Incorporated and subsidiaries as of November 30, 1995 and 1994, and the related consolidated statements of income, stockholders' equity and cash flows for each of the years in the three-year period ended November 30, 1995. These consolidated financial statements are the responsibility of the Company's management. Our responsibility is to express an opinion on these consolidated financial statements based on our audits.</w:t>
      </w:r>
    </w:p>
    <w:p>
      <w:pPr>
        <w:spacing w:after="0" w:line="177"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financial position of Bassett Furniture Industries, Incorporated and subsidiaries as of November 30, 1995 and 1994, and the results of their operations and their cash flows for each of the years in the three-year period ended November 30, 1995 in conformity with generally accepted accounting principles.</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As discussed in notes A and E, the Company adopted the provisions of the Financial Accounting Standards Board Statement No. 109, "Accounting for Income Taxes," and Statement No. 115, "Accounting for Certain Investments in Debt and Equity Securities," in 1994.</w:t>
      </w:r>
    </w:p>
    <w:p>
      <w:pPr>
        <w:spacing w:after="0" w:line="173" w:lineRule="exact"/>
        <w:rPr>
          <w:sz w:val="20"/>
          <w:szCs w:val="20"/>
          <w:color w:val="auto"/>
        </w:rPr>
      </w:pPr>
    </w:p>
    <w:p>
      <w:pPr>
        <w:jc w:val="center"/>
        <w:ind w:right="-40"/>
        <w:spacing w:after="0"/>
        <w:rPr>
          <w:sz w:val="20"/>
          <w:szCs w:val="20"/>
          <w:color w:val="auto"/>
        </w:rPr>
      </w:pPr>
      <w:r>
        <w:rPr>
          <w:rFonts w:ascii="Courier New" w:cs="Courier New" w:eastAsia="Courier New" w:hAnsi="Courier New"/>
          <w:sz w:val="15"/>
          <w:szCs w:val="15"/>
          <w:color w:val="auto"/>
        </w:rPr>
        <w:t>/s/ KPMG PEAT MARWICK LLP</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Greensboro, North Carolina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15, 1995</w:t>
      </w:r>
    </w:p>
    <w:p>
      <w:pPr>
        <w:sectPr>
          <w:pgSz w:w="11900" w:h="16838" w:orient="portrait"/>
          <w:cols w:equalWidth="0" w:num="1">
            <w:col w:w="10219"/>
          </w:cols>
          <w:pgMar w:left="240" w:top="289"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8</w:t>
      </w:r>
    </w:p>
    <w:p>
      <w:pPr>
        <w:spacing w:after="0" w:line="2" w:lineRule="exact"/>
        <w:rPr>
          <w:sz w:val="20"/>
          <w:szCs w:val="20"/>
          <w:color w:val="auto"/>
        </w:rPr>
      </w:pPr>
    </w:p>
    <w:p>
      <w:pPr>
        <w:ind w:left="5980"/>
        <w:spacing w:after="0"/>
        <w:rPr>
          <w:sz w:val="20"/>
          <w:szCs w:val="20"/>
          <w:color w:val="auto"/>
        </w:rPr>
      </w:pPr>
      <w:r>
        <w:rPr>
          <w:rFonts w:ascii="Courier New" w:cs="Courier New" w:eastAsia="Courier New" w:hAnsi="Courier New"/>
          <w:sz w:val="15"/>
          <w:szCs w:val="15"/>
          <w:color w:val="auto"/>
        </w:rPr>
        <w:t>Page 20 of 23</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BUSINESS DATA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SELECTED FINANCIAL DATA</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1995</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1994</w:t>
            </w:r>
          </w:p>
        </w:tc>
        <w:tc>
          <w:tcPr>
            <w:tcW w:w="14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1993</w:t>
            </w: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1992</w:t>
            </w:r>
          </w:p>
        </w:tc>
        <w:tc>
          <w:tcPr>
            <w:tcW w:w="1240" w:type="dxa"/>
            <w:vAlign w:val="bottom"/>
          </w:tcPr>
          <w:p>
            <w:pPr>
              <w:ind w:left="440"/>
              <w:spacing w:after="0"/>
              <w:rPr>
                <w:sz w:val="20"/>
                <w:szCs w:val="20"/>
                <w:color w:val="auto"/>
              </w:rPr>
            </w:pPr>
            <w:r>
              <w:rPr>
                <w:rFonts w:ascii="Courier New" w:cs="Courier New" w:eastAsia="Courier New" w:hAnsi="Courier New"/>
                <w:sz w:val="15"/>
                <w:szCs w:val="15"/>
                <w:color w:val="auto"/>
              </w:rPr>
              <w:t>1991</w:t>
            </w:r>
          </w:p>
        </w:tc>
      </w:tr>
      <w:tr>
        <w:trPr>
          <w:trHeight w:val="344"/>
        </w:trPr>
        <w:tc>
          <w:tcPr>
            <w:tcW w:w="4380" w:type="dxa"/>
            <w:vAlign w:val="bottom"/>
          </w:tcPr>
          <w:p>
            <w:pPr>
              <w:spacing w:after="0"/>
              <w:rPr>
                <w:sz w:val="20"/>
                <w:szCs w:val="20"/>
                <w:color w:val="auto"/>
              </w:rPr>
            </w:pPr>
            <w:r>
              <w:rPr>
                <w:rFonts w:ascii="Courier New" w:cs="Courier New" w:eastAsia="Courier New" w:hAnsi="Courier New"/>
                <w:sz w:val="15"/>
                <w:szCs w:val="15"/>
                <w:color w:val="auto"/>
              </w:rPr>
              <w:t>Net Sales . . . . . . . . . . . . . . . . .</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$490,816,681</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$510,560,858</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$503,770,060</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$473,401,341</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$401,616,062</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Cost of Sales . . . . . . . . . . . . . . .</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407,749,396</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419,393,531</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413,055,371</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385,294,583</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331,139,815</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Income Before Income Taxes  . . . . . . . .</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30,128,786</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34,780,404</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36,512,830</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39,266,698</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26,873,028</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Income Taxes  . . . . . . . . . . . . . . .</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7,226,000</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9,804,000</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10,644,000</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11,774,000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7,030,000</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Net Income  . . . . . . . . . . . . . . . .</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22,902,786</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24,466,204</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25,868,830</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27,492,698</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19,843,028</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Net Income Per Share  . . . . . . . . . . .</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1.63</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1.71</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1.79</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1.91</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1.37</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Cash Dividends Declared . . . . . . . . . .</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11,196,755</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11,411,357</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11,358,213</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9,205,978</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7,705,563</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Cash Dividends Per Share  . . . . . . . . .</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.78</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.64</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.53</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Total Assets  . . . . . . . . . . . . . . .</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346,720,454</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340,498,230</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330,677,879</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318,583,145</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291,259,296</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Current Ratio . . . . . . . . . . . . . . .</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5.79 to 1</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5.67 to 1</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6.07 to 1</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5.22 to 1</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6.95 to 1</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Book Value Per Share  . . . . . . . . . . .</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21.88</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20.96</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19.99</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18.99</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17.72</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Weighted Average Number of Shares . . . . .</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14,052,794</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14,294,803</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14,440,341</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14,416,534</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14,450,385</w:t>
            </w:r>
          </w:p>
        </w:tc>
      </w:tr>
      <w:tr>
        <w:trPr>
          <w:trHeight w:val="688"/>
        </w:trPr>
        <w:tc>
          <w:tcPr>
            <w:tcW w:w="4380" w:type="dxa"/>
            <w:vAlign w:val="bottom"/>
          </w:tcPr>
          <w:p>
            <w:pPr>
              <w:spacing w:after="0"/>
              <w:rPr>
                <w:sz w:val="20"/>
                <w:szCs w:val="20"/>
                <w:color w:val="auto"/>
              </w:rPr>
            </w:pPr>
            <w:r>
              <w:rPr>
                <w:rFonts w:ascii="Courier New" w:cs="Courier New" w:eastAsia="Courier New" w:hAnsi="Courier New"/>
                <w:sz w:val="15"/>
                <w:szCs w:val="15"/>
                <w:color w:val="auto"/>
              </w:rPr>
              <w:t>QUARTERLY RESULTS OF OPERATIONS</w:t>
            </w: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688"/>
        </w:trPr>
        <w:tc>
          <w:tcPr>
            <w:tcW w:w="4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2"/>
        </w:trPr>
        <w:tc>
          <w:tcPr>
            <w:tcW w:w="4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3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FIRST</w:t>
            </w:r>
          </w:p>
        </w:tc>
        <w:tc>
          <w:tcPr>
            <w:tcW w:w="14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SECOND</w:t>
            </w: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THIRD</w:t>
            </w:r>
          </w:p>
        </w:tc>
        <w:tc>
          <w:tcPr>
            <w:tcW w:w="1240" w:type="dxa"/>
            <w:vAlign w:val="bottom"/>
          </w:tcPr>
          <w:p>
            <w:pPr>
              <w:ind w:left="440"/>
              <w:spacing w:after="0"/>
              <w:rPr>
                <w:sz w:val="20"/>
                <w:szCs w:val="20"/>
                <w:color w:val="auto"/>
              </w:rPr>
            </w:pPr>
            <w:r>
              <w:rPr>
                <w:rFonts w:ascii="Courier New" w:cs="Courier New" w:eastAsia="Courier New" w:hAnsi="Courier New"/>
                <w:sz w:val="15"/>
                <w:szCs w:val="15"/>
                <w:color w:val="auto"/>
              </w:rPr>
              <w:t>FOURTH</w:t>
            </w:r>
          </w:p>
        </w:tc>
      </w:tr>
      <w:tr>
        <w:trPr>
          <w:trHeight w:val="172"/>
        </w:trPr>
        <w:tc>
          <w:tcPr>
            <w:tcW w:w="4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380" w:type="dxa"/>
            <w:vAlign w:val="bottom"/>
          </w:tcPr>
          <w:p>
            <w:pPr>
              <w:spacing w:after="0"/>
              <w:rPr>
                <w:sz w:val="20"/>
                <w:szCs w:val="20"/>
                <w:color w:val="auto"/>
              </w:rPr>
            </w:pPr>
            <w:r>
              <w:rPr>
                <w:rFonts w:ascii="Courier New" w:cs="Courier New" w:eastAsia="Courier New" w:hAnsi="Courier New"/>
                <w:sz w:val="15"/>
                <w:szCs w:val="15"/>
                <w:color w:val="auto"/>
                <w:w w:val="98"/>
              </w:rPr>
              <w:t>Net Sales . . . . . . . . . . . . . . . . . . . .</w:t>
            </w: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 . . .</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$123,550,551</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$119,018,005</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$119,183,765</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$129,064,360</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w w:val="98"/>
              </w:rPr>
              <w:t>Gross Profit  . . . . . . . . . . . . . . . . . .</w:t>
            </w: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 . . .</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20,621,989</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19,321,610</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20,711,678</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22,412,008</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w w:val="98"/>
              </w:rPr>
              <w:t>Net Income  . . . . . . . . . . . . . . . . . . .</w:t>
            </w: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 . . .</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4,896,346</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4,976,750</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5,781,291</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7,248,399</w:t>
            </w: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w w:val="98"/>
              </w:rPr>
              <w:t>Per Share   . . . . . . . . . . . . . . . . . .</w:t>
            </w: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 . . .</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.35</w:t>
            </w:r>
          </w:p>
        </w:tc>
        <w:tc>
          <w:tcPr>
            <w:tcW w:w="14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.35</w:t>
            </w: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.41</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5580" w:type="dxa"/>
            <w:vAlign w:val="bottom"/>
          </w:tcPr>
          <w:p>
            <w:pPr>
              <w:spacing w:after="0"/>
              <w:rPr>
                <w:sz w:val="14"/>
                <w:szCs w:val="14"/>
                <w:color w:val="auto"/>
              </w:rPr>
            </w:pPr>
          </w:p>
        </w:tc>
        <w:tc>
          <w:tcPr>
            <w:tcW w:w="53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580" w:type="dxa"/>
            <w:vAlign w:val="bottom"/>
          </w:tcPr>
          <w:p>
            <w:pPr>
              <w:spacing w:after="0"/>
              <w:rPr>
                <w:sz w:val="14"/>
                <w:szCs w:val="14"/>
                <w:color w:val="auto"/>
              </w:rPr>
            </w:pP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FIRST</w:t>
            </w:r>
          </w:p>
        </w:tc>
        <w:tc>
          <w:tcPr>
            <w:tcW w:w="14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SECOND</w:t>
            </w: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THIRD</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FOURTH</w:t>
            </w:r>
          </w:p>
        </w:tc>
      </w:tr>
      <w:tr>
        <w:trPr>
          <w:trHeight w:val="172"/>
        </w:trPr>
        <w:tc>
          <w:tcPr>
            <w:tcW w:w="5580" w:type="dxa"/>
            <w:vAlign w:val="bottom"/>
          </w:tcPr>
          <w:p>
            <w:pPr>
              <w:spacing w:after="0"/>
              <w:rPr>
                <w:sz w:val="14"/>
                <w:szCs w:val="14"/>
                <w:color w:val="auto"/>
              </w:rPr>
            </w:pP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580" w:type="dxa"/>
            <w:vAlign w:val="bottom"/>
          </w:tcPr>
          <w:p>
            <w:pPr>
              <w:spacing w:after="0"/>
              <w:rPr>
                <w:sz w:val="20"/>
                <w:szCs w:val="20"/>
                <w:color w:val="auto"/>
              </w:rPr>
            </w:pPr>
            <w:r>
              <w:rPr>
                <w:rFonts w:ascii="Courier New" w:cs="Courier New" w:eastAsia="Courier New" w:hAnsi="Courier New"/>
                <w:sz w:val="15"/>
                <w:szCs w:val="15"/>
                <w:color w:val="auto"/>
              </w:rPr>
              <w:t>Net Sales . . . . . . . . . . . . . . . . . . . . . . . . .</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$121,664,291</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$134,639,355</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$124,967,415</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$129,289,797</w:t>
            </w: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Gross Profit  . . . . . . . . . . . . . . . . . . . . . . .</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19,836,837</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25,797,650</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21,507,700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24,025,140</w:t>
            </w: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Income Before Cumulative Effect of Accounting Change  . . .</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4,730,413</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7,679,398</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4,589,051</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7,977,542</w:t>
            </w: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Net Income  . . . . . . . . . . . . . . . . . . . . . . . .</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4,220,213</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7,679,398</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4,589,051</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7,977,542</w:t>
            </w:r>
          </w:p>
        </w:tc>
      </w:tr>
      <w:tr>
        <w:trPr>
          <w:trHeight w:val="172"/>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Per Share</w:t>
            </w:r>
          </w:p>
        </w:tc>
        <w:tc>
          <w:tcPr>
            <w:tcW w:w="1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5580" w:type="dxa"/>
            <w:vAlign w:val="bottom"/>
          </w:tcPr>
          <w:p>
            <w:pPr>
              <w:ind w:left="340"/>
              <w:spacing w:after="0"/>
              <w:rPr>
                <w:sz w:val="20"/>
                <w:szCs w:val="20"/>
                <w:color w:val="auto"/>
              </w:rPr>
            </w:pPr>
            <w:r>
              <w:rPr>
                <w:rFonts w:ascii="Courier New" w:cs="Courier New" w:eastAsia="Courier New" w:hAnsi="Courier New"/>
                <w:sz w:val="15"/>
                <w:szCs w:val="15"/>
                <w:color w:val="auto"/>
              </w:rPr>
              <w:t>Before Cumulative Effect of Accounting Change . . . . . .</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.53</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.32</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.57</w:t>
            </w:r>
          </w:p>
        </w:tc>
      </w:tr>
      <w:tr>
        <w:trPr>
          <w:trHeight w:val="172"/>
        </w:trPr>
        <w:tc>
          <w:tcPr>
            <w:tcW w:w="5580" w:type="dxa"/>
            <w:vAlign w:val="bottom"/>
          </w:tcPr>
          <w:p>
            <w:pPr>
              <w:ind w:left="340"/>
              <w:spacing w:after="0"/>
              <w:rPr>
                <w:sz w:val="20"/>
                <w:szCs w:val="20"/>
                <w:color w:val="auto"/>
              </w:rPr>
            </w:pPr>
            <w:r>
              <w:rPr>
                <w:rFonts w:ascii="Courier New" w:cs="Courier New" w:eastAsia="Courier New" w:hAnsi="Courier New"/>
                <w:sz w:val="15"/>
                <w:szCs w:val="15"/>
                <w:color w:val="auto"/>
              </w:rPr>
              <w:t>Net Income  . . . . . . . . . . . . . . . . . . . . . . .</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.53</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.32</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.57</w:t>
            </w: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AND DIVIDEND INFORMATION</w:t>
      </w:r>
    </w:p>
    <w:p>
      <w:pPr>
        <w:spacing w:after="0" w:line="176" w:lineRule="exact"/>
        <w:rPr>
          <w:sz w:val="20"/>
          <w:szCs w:val="20"/>
          <w:color w:val="auto"/>
        </w:rPr>
      </w:pPr>
    </w:p>
    <w:p>
      <w:pPr>
        <w:ind w:right="3940"/>
        <w:spacing w:after="0" w:line="242" w:lineRule="auto"/>
        <w:rPr>
          <w:sz w:val="20"/>
          <w:szCs w:val="20"/>
          <w:color w:val="auto"/>
        </w:rPr>
      </w:pPr>
      <w:r>
        <w:rPr>
          <w:rFonts w:ascii="Courier New" w:cs="Courier New" w:eastAsia="Courier New" w:hAnsi="Courier New"/>
          <w:sz w:val="15"/>
          <w:szCs w:val="15"/>
          <w:color w:val="auto"/>
        </w:rPr>
        <w:t>The Company's common stock is traded on the over-the-counter market and is listed on the NASDAQNational Market System.The Company had approximately 2,200 stockholders at November 30, 1995. The range of high and low market prices and dividends declared for the last two fiscal years are listed below:</w:t>
      </w:r>
    </w:p>
    <w:p>
      <w:pPr>
        <w:spacing w:after="0" w:line="200" w:lineRule="exact"/>
        <w:rPr>
          <w:sz w:val="20"/>
          <w:szCs w:val="20"/>
          <w:color w:val="auto"/>
        </w:rPr>
      </w:pPr>
    </w:p>
    <w:p>
      <w:pPr>
        <w:spacing w:after="0" w:line="317"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1280" w:type="dxa"/>
            <w:vAlign w:val="bottom"/>
          </w:tcPr>
          <w:p>
            <w:pPr>
              <w:spacing w:after="0"/>
              <w:rPr>
                <w:sz w:val="14"/>
                <w:szCs w:val="14"/>
                <w:color w:val="auto"/>
              </w:rPr>
            </w:pPr>
          </w:p>
        </w:tc>
        <w:tc>
          <w:tcPr>
            <w:tcW w:w="31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Market Prices of Common</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Stock</w:t>
            </w:r>
          </w:p>
        </w:tc>
        <w:tc>
          <w:tcPr>
            <w:tcW w:w="1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Dividends Declared</w:t>
            </w:r>
          </w:p>
        </w:tc>
      </w:tr>
      <w:tr>
        <w:trPr>
          <w:trHeight w:val="172"/>
        </w:trPr>
        <w:tc>
          <w:tcPr>
            <w:tcW w:w="1280" w:type="dxa"/>
            <w:vAlign w:val="bottom"/>
          </w:tcPr>
          <w:p>
            <w:pPr>
              <w:spacing w:after="0"/>
              <w:rPr>
                <w:sz w:val="14"/>
                <w:szCs w:val="14"/>
                <w:color w:val="auto"/>
              </w:rPr>
            </w:pPr>
          </w:p>
        </w:tc>
        <w:tc>
          <w:tcPr>
            <w:tcW w:w="23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280" w:type="dxa"/>
            <w:vAlign w:val="bottom"/>
          </w:tcPr>
          <w:p>
            <w:pPr>
              <w:spacing w:after="0"/>
              <w:rPr>
                <w:sz w:val="20"/>
                <w:szCs w:val="20"/>
                <w:color w:val="auto"/>
              </w:rPr>
            </w:pPr>
            <w:r>
              <w:rPr>
                <w:rFonts w:ascii="Courier New" w:cs="Courier New" w:eastAsia="Courier New" w:hAnsi="Courier New"/>
                <w:sz w:val="15"/>
                <w:szCs w:val="15"/>
                <w:color w:val="auto"/>
              </w:rPr>
              <w:t>QUARTER</w:t>
            </w:r>
          </w:p>
        </w:tc>
        <w:tc>
          <w:tcPr>
            <w:tcW w:w="1400" w:type="dxa"/>
            <w:vAlign w:val="bottom"/>
          </w:tcPr>
          <w:p>
            <w:pPr>
              <w:spacing w:after="0"/>
              <w:rPr>
                <w:sz w:val="14"/>
                <w:szCs w:val="14"/>
                <w:color w:val="auto"/>
              </w:rPr>
            </w:pPr>
          </w:p>
        </w:tc>
        <w:tc>
          <w:tcPr>
            <w:tcW w:w="98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4"/>
              </w:rPr>
              <w:t>1995</w:t>
            </w:r>
          </w:p>
        </w:tc>
        <w:tc>
          <w:tcPr>
            <w:tcW w:w="76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1994</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1995</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12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3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1280" w:type="dxa"/>
            <w:vAlign w:val="bottom"/>
          </w:tcPr>
          <w:p>
            <w:pPr>
              <w:spacing w:after="0"/>
              <w:rPr>
                <w:sz w:val="24"/>
                <w:szCs w:val="24"/>
                <w:color w:val="auto"/>
              </w:rPr>
            </w:pP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HIGH</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LOW</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HIGH</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LOW</w:t>
            </w: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516"/>
        </w:trPr>
        <w:tc>
          <w:tcPr>
            <w:tcW w:w="1280" w:type="dxa"/>
            <w:vAlign w:val="bottom"/>
          </w:tcPr>
          <w:p>
            <w:pPr>
              <w:spacing w:after="0"/>
              <w:rPr>
                <w:sz w:val="20"/>
                <w:szCs w:val="20"/>
                <w:color w:val="auto"/>
              </w:rPr>
            </w:pPr>
            <w:r>
              <w:rPr>
                <w:rFonts w:ascii="Courier New" w:cs="Courier New" w:eastAsia="Courier New" w:hAnsi="Courier New"/>
                <w:sz w:val="15"/>
                <w:szCs w:val="15"/>
                <w:color w:val="auto"/>
              </w:rPr>
              <w:t>First</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$30.25</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$27.25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$36.75</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$28.75</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r>
      <w:tr>
        <w:trPr>
          <w:trHeight w:val="172"/>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Second</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29.25</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25.50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29.50</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25.50</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r>
      <w:tr>
        <w:trPr>
          <w:trHeight w:val="172"/>
        </w:trPr>
        <w:tc>
          <w:tcPr>
            <w:tcW w:w="1280" w:type="dxa"/>
            <w:vAlign w:val="bottom"/>
          </w:tcPr>
          <w:p>
            <w:pPr>
              <w:spacing w:after="0"/>
              <w:rPr>
                <w:sz w:val="20"/>
                <w:szCs w:val="20"/>
                <w:color w:val="auto"/>
              </w:rPr>
            </w:pPr>
            <w:r>
              <w:rPr>
                <w:rFonts w:ascii="Courier New" w:cs="Courier New" w:eastAsia="Courier New" w:hAnsi="Courier New"/>
                <w:sz w:val="15"/>
                <w:szCs w:val="15"/>
                <w:color w:val="auto"/>
              </w:rPr>
              <w:t>Third</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29.25</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29.75</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26.63</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r>
      <w:tr>
        <w:trPr>
          <w:trHeight w:val="172"/>
        </w:trPr>
        <w:tc>
          <w:tcPr>
            <w:tcW w:w="1280" w:type="dxa"/>
            <w:vAlign w:val="bottom"/>
          </w:tcPr>
          <w:p>
            <w:pPr>
              <w:spacing w:after="0"/>
              <w:rPr>
                <w:sz w:val="20"/>
                <w:szCs w:val="20"/>
                <w:color w:val="auto"/>
              </w:rPr>
            </w:pPr>
            <w:r>
              <w:rPr>
                <w:rFonts w:ascii="Courier New" w:cs="Courier New" w:eastAsia="Courier New" w:hAnsi="Courier New"/>
                <w:sz w:val="15"/>
                <w:szCs w:val="15"/>
                <w:color w:val="auto"/>
              </w:rPr>
              <w:t>Fourth</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25.75</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20.13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30.25</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26.06</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r>
    </w:tbl>
    <w:p>
      <w:pPr>
        <w:spacing w:after="0" w:line="348" w:lineRule="exact"/>
        <w:rPr>
          <w:sz w:val="20"/>
          <w:szCs w:val="20"/>
          <w:color w:val="auto"/>
        </w:rPr>
      </w:pPr>
    </w:p>
    <w:p>
      <w:pPr>
        <w:ind w:right="4020"/>
        <w:spacing w:after="0"/>
        <w:rPr>
          <w:sz w:val="20"/>
          <w:szCs w:val="20"/>
          <w:color w:val="auto"/>
        </w:rPr>
      </w:pPr>
      <w:r>
        <w:rPr>
          <w:rFonts w:ascii="Courier New" w:cs="Courier New" w:eastAsia="Courier New" w:hAnsi="Courier New"/>
          <w:sz w:val="15"/>
          <w:szCs w:val="15"/>
          <w:color w:val="auto"/>
        </w:rPr>
        <w:t>(All market information and per share data has been restated to reflect the 5 for 4 stock split in 1993 and the 3 for 2 stock split in 1992)</w:t>
      </w:r>
    </w:p>
    <w:p>
      <w:pPr>
        <w:sectPr>
          <w:pgSz w:w="11900" w:h="16838" w:orient="portrait"/>
          <w:cols w:equalWidth="0" w:num="1">
            <w:col w:w="10900"/>
          </w:cols>
          <w:pgMar w:left="240" w:top="289" w:right="759" w:bottom="334" w:gutter="0" w:footer="0" w:header="0"/>
        </w:sectPr>
      </w:pPr>
    </w:p>
    <w:bookmarkStart w:id="22" w:name="page23"/>
    <w:bookmarkEnd w:id="22"/>
    <w:p>
      <w:pPr>
        <w:spacing w:after="0" w:line="1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9</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Page 21 of 23</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BUSINESS DATA - CONTINUED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348" w:lineRule="exact"/>
        <w:rPr>
          <w:sz w:val="20"/>
          <w:szCs w:val="20"/>
          <w:color w:val="auto"/>
        </w:rPr>
      </w:pPr>
    </w:p>
    <w:p>
      <w:pPr>
        <w:ind w:right="3599"/>
        <w:spacing w:after="0"/>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6"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Major components of net income expressed as a percentage of net sales were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60" w:type="dxa"/>
            <w:vAlign w:val="bottom"/>
          </w:tcPr>
          <w:p>
            <w:pPr>
              <w:spacing w:after="0"/>
              <w:rPr>
                <w:sz w:val="14"/>
                <w:szCs w:val="14"/>
                <w:color w:val="auto"/>
              </w:rPr>
            </w:pP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1995</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1994</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1993</w:t>
            </w:r>
          </w:p>
        </w:tc>
      </w:tr>
      <w:tr>
        <w:trPr>
          <w:trHeight w:val="172"/>
        </w:trPr>
        <w:tc>
          <w:tcPr>
            <w:tcW w:w="3260" w:type="dxa"/>
            <w:vAlign w:val="bottom"/>
          </w:tcPr>
          <w:p>
            <w:pPr>
              <w:spacing w:after="0"/>
              <w:rPr>
                <w:sz w:val="14"/>
                <w:szCs w:val="14"/>
                <w:color w:val="auto"/>
              </w:rPr>
            </w:pP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326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18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83.1%</w:t>
            </w: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82.2%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82.0%</w:t>
            </w:r>
          </w:p>
        </w:tc>
      </w:tr>
      <w:tr>
        <w:trPr>
          <w:trHeight w:val="172"/>
        </w:trPr>
        <w:tc>
          <w:tcPr>
            <w:tcW w:w="326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16.9</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17.8</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18.0</w:t>
            </w:r>
          </w:p>
        </w:tc>
      </w:tr>
      <w:tr>
        <w:trPr>
          <w:trHeight w:val="172"/>
        </w:trPr>
        <w:tc>
          <w:tcPr>
            <w:tcW w:w="3260" w:type="dxa"/>
            <w:vAlign w:val="bottom"/>
          </w:tcPr>
          <w:p>
            <w:pPr>
              <w:spacing w:after="0"/>
              <w:rPr>
                <w:sz w:val="20"/>
                <w:szCs w:val="20"/>
                <w:color w:val="auto"/>
              </w:rPr>
            </w:pPr>
            <w:r>
              <w:rPr>
                <w:rFonts w:ascii="Courier New" w:cs="Courier New" w:eastAsia="Courier New" w:hAnsi="Courier New"/>
                <w:sz w:val="15"/>
                <w:szCs w:val="15"/>
                <w:color w:val="auto"/>
              </w:rPr>
              <w:t>S G &amp; A expenses</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13.4</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12.9</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12.6</w:t>
            </w:r>
          </w:p>
        </w:tc>
      </w:tr>
      <w:tr>
        <w:trPr>
          <w:trHeight w:val="172"/>
        </w:trPr>
        <w:tc>
          <w:tcPr>
            <w:tcW w:w="326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3.5</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4.9</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5.4</w:t>
            </w:r>
          </w:p>
        </w:tc>
      </w:tr>
      <w:tr>
        <w:trPr>
          <w:trHeight w:val="172"/>
        </w:trPr>
        <w:tc>
          <w:tcPr>
            <w:tcW w:w="326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2.6</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w:t>
            </w:r>
          </w:p>
        </w:tc>
      </w:tr>
      <w:tr>
        <w:trPr>
          <w:trHeight w:val="172"/>
        </w:trPr>
        <w:tc>
          <w:tcPr>
            <w:tcW w:w="326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6.1</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6.8</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7.2</w:t>
            </w:r>
          </w:p>
        </w:tc>
      </w:tr>
      <w:tr>
        <w:trPr>
          <w:trHeight w:val="172"/>
        </w:trPr>
        <w:tc>
          <w:tcPr>
            <w:tcW w:w="326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1.4</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w:t>
            </w:r>
          </w:p>
        </w:tc>
      </w:tr>
      <w:tr>
        <w:trPr>
          <w:trHeight w:val="172"/>
        </w:trPr>
        <w:tc>
          <w:tcPr>
            <w:tcW w:w="3260" w:type="dxa"/>
            <w:vAlign w:val="bottom"/>
          </w:tcPr>
          <w:p>
            <w:pPr>
              <w:spacing w:after="0"/>
              <w:rPr>
                <w:sz w:val="20"/>
                <w:szCs w:val="20"/>
                <w:color w:val="auto"/>
              </w:rPr>
            </w:pPr>
            <w:r>
              <w:rPr>
                <w:rFonts w:ascii="Courier New" w:cs="Courier New" w:eastAsia="Courier New" w:hAnsi="Courier New"/>
                <w:sz w:val="15"/>
                <w:szCs w:val="15"/>
                <w:color w:val="auto"/>
              </w:rPr>
              <w:t>Accounting change</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0.1</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w:t>
            </w:r>
          </w:p>
        </w:tc>
      </w:tr>
      <w:tr>
        <w:trPr>
          <w:trHeight w:val="172"/>
        </w:trPr>
        <w:tc>
          <w:tcPr>
            <w:tcW w:w="32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4.7</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4.8</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SALES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sales for 1995 compared to 1994 and 1993 were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15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1995</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1994</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1993</w:t>
            </w:r>
          </w:p>
        </w:tc>
      </w:tr>
      <w:tr>
        <w:trPr>
          <w:trHeight w:val="172"/>
        </w:trPr>
        <w:tc>
          <w:tcPr>
            <w:tcW w:w="3480" w:type="dxa"/>
            <w:vAlign w:val="bottom"/>
          </w:tcPr>
          <w:p>
            <w:pPr>
              <w:spacing w:after="0"/>
              <w:rPr>
                <w:sz w:val="14"/>
                <w:szCs w:val="14"/>
                <w:color w:val="auto"/>
              </w:rPr>
            </w:pPr>
          </w:p>
        </w:tc>
        <w:tc>
          <w:tcPr>
            <w:tcW w:w="15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sales (in millions)</w:t>
            </w:r>
          </w:p>
        </w:tc>
        <w:tc>
          <w:tcPr>
            <w:tcW w:w="15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$490.8</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$510.6</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$503.8</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Percentage change from prior year</w:t>
            </w:r>
          </w:p>
        </w:tc>
        <w:tc>
          <w:tcPr>
            <w:tcW w:w="15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(3.9)%</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r>
    </w:tbl>
    <w:p>
      <w:pPr>
        <w:spacing w:after="0" w:line="348"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Net sales increased at the Bedding Division in 1995 over 1994 levels, however this increase was offset by decreased sales in the Motion, National/Mt. Airy and Impact Divisions. The other Divisions remained level with 1994. The majority of the sales increase from 1993 to 1994 came from the Table Division with other Divisions reporting flat sales. The increase from 1992 to 1993 was evenly spread throughout all Divisions.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 AND EXPENSES</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Cost of sales increased approximately 90 basis points in 1995 over 1994 primarily because of increases in the cost of raw materials which could not be passed through to the retail sector by increasing selling prices. Cost of sales remained level in 1994 and 1993. During each of the three years ending in 1995, the relationship of each cost component comprising cost of sales remained relatively constant: materials (50% - 1995; 49% - 1994 and 1993); labor (21%); production overhead (12%).</w:t>
      </w:r>
    </w:p>
    <w:p>
      <w:pPr>
        <w:spacing w:after="0" w:line="177"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Selling, general and administrative costs increased approximately 50 basis point in 1995 over 1994 principally due to increased costs associated with the efforts to gain market share (marketing and merchandising costs in general, and expenses incurred in Bassett Direct Plus and our Bassett Gallery Program). These costs remained largely steady during 1994 and 1993.</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 NET</w:t>
      </w:r>
    </w:p>
    <w:p>
      <w:pPr>
        <w:spacing w:after="0" w:line="176" w:lineRule="exact"/>
        <w:rPr>
          <w:sz w:val="20"/>
          <w:szCs w:val="20"/>
          <w:color w:val="auto"/>
        </w:rPr>
      </w:pPr>
    </w:p>
    <w:p>
      <w:pPr>
        <w:ind w:right="3959"/>
        <w:spacing w:after="0"/>
        <w:rPr>
          <w:sz w:val="20"/>
          <w:szCs w:val="20"/>
          <w:color w:val="auto"/>
        </w:rPr>
      </w:pPr>
      <w:r>
        <w:rPr>
          <w:rFonts w:ascii="Courier New" w:cs="Courier New" w:eastAsia="Courier New" w:hAnsi="Courier New"/>
          <w:sz w:val="15"/>
          <w:szCs w:val="15"/>
          <w:color w:val="auto"/>
        </w:rPr>
        <w:t>Note H in the Notes to Consolidated Financial Statements discloses the components of other income.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effective tax rate for 1995 was 24.0%, down from 28.2% and 29.2% in 1994 and 1993, respectively. The Company adopted the provisions of Statement of Financial Accounting Standards No. 109, "Accounting for Income Taxes," in 1994 and reported the cumulative effect of the change in accounting for income taxes in the amount of $510,200 in the 1994 financial statements. Note E in the Notes to Consolidated Financial Statements contains complete disclosure of the Company's income tax status.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Cash provided by operating activities has increased in the last three years ($26.3 million in 1995, $23.7 million in 1994 and $22.4 million in 1993). The growth in inventories in 1994 and 1993 barred additional generation of cash. The increase in inventory levels is closely monitored and controlled by senior management.</w:t>
      </w:r>
    </w:p>
    <w:p>
      <w:pPr>
        <w:spacing w:after="0" w:line="175" w:lineRule="exact"/>
        <w:rPr>
          <w:sz w:val="20"/>
          <w:szCs w:val="20"/>
          <w:color w:val="auto"/>
        </w:rPr>
      </w:pPr>
    </w:p>
    <w:p>
      <w:pPr>
        <w:ind w:right="3699"/>
        <w:spacing w:after="0" w:line="274" w:lineRule="auto"/>
        <w:rPr>
          <w:sz w:val="20"/>
          <w:szCs w:val="20"/>
          <w:color w:val="auto"/>
        </w:rPr>
      </w:pPr>
      <w:r>
        <w:rPr>
          <w:rFonts w:ascii="Courier New" w:cs="Courier New" w:eastAsia="Courier New" w:hAnsi="Courier New"/>
          <w:sz w:val="14"/>
          <w:szCs w:val="14"/>
          <w:color w:val="auto"/>
        </w:rPr>
        <w:t>Traditionally, the Company has purchased (rather than leased) its capital equipment requirements. During 1995, $7.2 million was expended for new</w:t>
      </w:r>
    </w:p>
    <w:p>
      <w:pPr>
        <w:sectPr>
          <w:pgSz w:w="11900" w:h="16850" w:orient="portrait"/>
          <w:cols w:equalWidth="0" w:num="1">
            <w:col w:w="10219"/>
          </w:cols>
          <w:pgMar w:left="240" w:top="289" w:right="1440" w:bottom="0" w:gutter="0" w:footer="0" w:header="0"/>
        </w:sectPr>
      </w:pPr>
    </w:p>
    <w:bookmarkStart w:id="23" w:name="page24"/>
    <w:bookmarkEnd w:id="23"/>
    <w:p>
      <w:pPr>
        <w:ind w:right="3599"/>
        <w:spacing w:after="0"/>
        <w:rPr>
          <w:sz w:val="20"/>
          <w:szCs w:val="20"/>
          <w:color w:val="auto"/>
        </w:rPr>
      </w:pPr>
      <w:r>
        <w:rPr>
          <w:rFonts w:ascii="Courier New" w:cs="Courier New" w:eastAsia="Courier New" w:hAnsi="Courier New"/>
          <w:sz w:val="15"/>
          <w:szCs w:val="15"/>
          <w:color w:val="auto"/>
        </w:rPr>
        <w:t>equipment and facilities. A comparison of purchases of property, plant and equipment and depreciation charges follows: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20" w:type="dxa"/>
            <w:vAlign w:val="bottom"/>
          </w:tcPr>
          <w:p>
            <w:pPr>
              <w:spacing w:after="0"/>
              <w:rPr>
                <w:sz w:val="14"/>
                <w:szCs w:val="14"/>
                <w:color w:val="auto"/>
              </w:rPr>
            </w:pPr>
          </w:p>
        </w:tc>
        <w:tc>
          <w:tcPr>
            <w:tcW w:w="13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1995</w:t>
            </w:r>
          </w:p>
        </w:tc>
        <w:tc>
          <w:tcPr>
            <w:tcW w:w="13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r>
        <w:trPr>
          <w:trHeight w:val="172"/>
        </w:trPr>
        <w:tc>
          <w:tcPr>
            <w:tcW w:w="3620" w:type="dxa"/>
            <w:vAlign w:val="bottom"/>
          </w:tcPr>
          <w:p>
            <w:pPr>
              <w:spacing w:after="0"/>
              <w:rPr>
                <w:sz w:val="14"/>
                <w:szCs w:val="14"/>
                <w:color w:val="auto"/>
              </w:rPr>
            </w:pPr>
          </w:p>
        </w:tc>
        <w:tc>
          <w:tcPr>
            <w:tcW w:w="13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620" w:type="dxa"/>
            <w:vAlign w:val="bottom"/>
          </w:tcPr>
          <w:p>
            <w:pPr>
              <w:spacing w:after="0"/>
              <w:rPr>
                <w:sz w:val="20"/>
                <w:szCs w:val="20"/>
                <w:color w:val="auto"/>
              </w:rPr>
            </w:pPr>
            <w:r>
              <w:rPr>
                <w:rFonts w:ascii="Courier New" w:cs="Courier New" w:eastAsia="Courier New" w:hAnsi="Courier New"/>
                <w:sz w:val="15"/>
                <w:szCs w:val="15"/>
                <w:color w:val="auto"/>
              </w:rPr>
              <w:t>Purchases of property, plant and</w:t>
            </w: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equipment (in millions)</w:t>
            </w:r>
          </w:p>
        </w:tc>
        <w:tc>
          <w:tcPr>
            <w:tcW w:w="13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$7.2</w:t>
            </w:r>
          </w:p>
        </w:tc>
        <w:tc>
          <w:tcPr>
            <w:tcW w:w="13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Depreciation charges (in millions)</w:t>
            </w:r>
          </w:p>
        </w:tc>
        <w:tc>
          <w:tcPr>
            <w:tcW w:w="13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8.6</w:t>
            </w:r>
          </w:p>
        </w:tc>
        <w:tc>
          <w:tcPr>
            <w:tcW w:w="13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8.8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r>
    </w:tbl>
    <w:p>
      <w:pPr>
        <w:spacing w:after="0" w:line="348" w:lineRule="exact"/>
        <w:rPr>
          <w:sz w:val="20"/>
          <w:szCs w:val="20"/>
          <w:color w:val="auto"/>
        </w:rPr>
      </w:pPr>
    </w:p>
    <w:p>
      <w:pPr>
        <w:ind w:right="3439"/>
        <w:spacing w:after="0" w:line="242" w:lineRule="auto"/>
        <w:rPr>
          <w:sz w:val="20"/>
          <w:szCs w:val="20"/>
          <w:color w:val="auto"/>
        </w:rPr>
      </w:pPr>
      <w:r>
        <w:rPr>
          <w:rFonts w:ascii="Courier New" w:cs="Courier New" w:eastAsia="Courier New" w:hAnsi="Courier New"/>
          <w:sz w:val="15"/>
          <w:szCs w:val="15"/>
          <w:color w:val="auto"/>
        </w:rPr>
        <w:t>The Company continued to repurchase its Common Stock in 1995, purchasing 429,701 shares at an average cost of $23.56 or a total expenditure of $10.1 million. This follows the repurchase of 361,386 shares in 1994 at an average cost of $26.42 or a total expenditure of $9.5 million.</w:t>
      </w:r>
    </w:p>
    <w:p>
      <w:pPr>
        <w:spacing w:after="0" w:line="175"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The current ratio was 5.79 to 1 and 5.67 to 1 at November 30, 1995 and 1994, respectively. Working capital was $170 million and $164 million at November 30, 1995 and 1994, respectively.</w:t>
      </w:r>
    </w:p>
    <w:p>
      <w:pPr>
        <w:spacing w:after="0" w:line="176"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Cash provided by operating activities is expected to be adequate for normal future cash requirements.</w:t>
      </w:r>
    </w:p>
    <w:p>
      <w:pPr>
        <w:spacing w:after="0" w:line="176" w:lineRule="exact"/>
        <w:rPr>
          <w:sz w:val="20"/>
          <w:szCs w:val="20"/>
          <w:color w:val="auto"/>
        </w:rPr>
      </w:pPr>
    </w:p>
    <w:p>
      <w:pPr>
        <w:ind w:right="3519"/>
        <w:spacing w:after="0" w:line="241" w:lineRule="auto"/>
        <w:rPr>
          <w:sz w:val="20"/>
          <w:szCs w:val="20"/>
          <w:color w:val="auto"/>
        </w:rPr>
      </w:pPr>
      <w:r>
        <w:rPr>
          <w:rFonts w:ascii="Courier New" w:cs="Courier New" w:eastAsia="Courier New" w:hAnsi="Courier New"/>
          <w:sz w:val="15"/>
          <w:szCs w:val="15"/>
          <w:color w:val="auto"/>
        </w:rPr>
        <w:t>There were no material commitments for capital expenditures at November 30, 1995. Capital expenditures made in the future for normal expansion are anticipated to be made from funds generated by operating activities.</w:t>
      </w:r>
    </w:p>
    <w:p>
      <w:pPr>
        <w:spacing w:after="0" w:line="176"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The Company has never used the debt or equity markets as sources of funds or capital.</w:t>
      </w:r>
    </w:p>
    <w:p>
      <w:pPr>
        <w:spacing w:after="0" w:line="176" w:lineRule="exact"/>
        <w:rPr>
          <w:sz w:val="20"/>
          <w:szCs w:val="20"/>
          <w:color w:val="auto"/>
        </w:rPr>
      </w:pPr>
    </w:p>
    <w:p>
      <w:pPr>
        <w:ind w:right="3439"/>
        <w:spacing w:after="0" w:line="242" w:lineRule="auto"/>
        <w:rPr>
          <w:sz w:val="20"/>
          <w:szCs w:val="20"/>
          <w:color w:val="auto"/>
        </w:rPr>
      </w:pPr>
      <w:r>
        <w:rPr>
          <w:rFonts w:ascii="Courier New" w:cs="Courier New" w:eastAsia="Courier New" w:hAnsi="Courier New"/>
          <w:sz w:val="15"/>
          <w:szCs w:val="15"/>
          <w:color w:val="auto"/>
        </w:rPr>
        <w:t>The Company's consolidated financial statements are prepared on the basis of historical dollars and are not intended to show the impact of inflation or changing prices. Neither inflation nor changing prices has had a material effect on the Company's consolidated financial position and results of operations in prior years.</w:t>
      </w:r>
    </w:p>
    <w:p>
      <w:pPr>
        <w:sectPr>
          <w:pgSz w:w="11900" w:h="16838" w:orient="portrait"/>
          <w:cols w:equalWidth="0" w:num="1">
            <w:col w:w="10219"/>
          </w:cols>
          <w:pgMar w:left="240" w:top="141"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Page 22 of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EXHIBIT 21 - LIST OF SUBSIDIARIES</w:t>
      </w:r>
    </w:p>
    <w:p>
      <w:pPr>
        <w:spacing w:after="0" w:line="176" w:lineRule="exact"/>
        <w:rPr>
          <w:sz w:val="20"/>
          <w:szCs w:val="20"/>
          <w:color w:val="auto"/>
        </w:rPr>
      </w:pPr>
    </w:p>
    <w:p>
      <w:pPr>
        <w:ind w:left="2140" w:right="3259" w:hanging="798"/>
        <w:spacing w:after="0"/>
        <w:tabs>
          <w:tab w:leader="none" w:pos="21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Bassett Furniture Industries of North Carolina Inc. (North Carolina corporation)</w:t>
      </w:r>
    </w:p>
    <w:p>
      <w:pPr>
        <w:spacing w:after="0" w:line="174" w:lineRule="exact"/>
        <w:rPr>
          <w:rFonts w:ascii="Courier New" w:cs="Courier New" w:eastAsia="Courier New" w:hAnsi="Courier New"/>
          <w:sz w:val="15"/>
          <w:szCs w:val="15"/>
          <w:color w:val="auto"/>
        </w:rPr>
      </w:pPr>
    </w:p>
    <w:p>
      <w:pPr>
        <w:ind w:left="2140" w:hanging="798"/>
        <w:spacing w:after="0"/>
        <w:tabs>
          <w:tab w:leader="none" w:pos="21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 Malone Corporation (Delaware corporation)</w:t>
      </w:r>
    </w:p>
    <w:p>
      <w:pPr>
        <w:sectPr>
          <w:pgSz w:w="11900" w:h="16838" w:orient="portrait"/>
          <w:cols w:equalWidth="0" w:num="1">
            <w:col w:w="9959"/>
          </w:cols>
          <w:pgMar w:left="500" w:top="140"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Page 23 of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Exhibit 23</w:t>
      </w:r>
    </w:p>
    <w:p>
      <w:pPr>
        <w:spacing w:after="0" w:line="17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CONSENT OF INDEPENDENT AUDITORS</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Bassett Furniture Industries, Incorporated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Bassett, Virginia</w:t>
      </w:r>
    </w:p>
    <w:p>
      <w:pPr>
        <w:spacing w:after="0" w:line="348"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We consent to incorporation by reference in the Registration Statements (Nos. 33-52405 and 33-52407) on FormES-8 of Bassett Furniture Industries, Incorporated and subsidiaries of our report dated December 15, 1995, relating to the consolidated balance sheets of Bassett Furniture Industries, Incorporated and subsidiaries as of November 30, 1995 and 1994 and the related consolidated statements of income, stockholdersG equity and cash flows for each of the years in the three-year period ended November 30, 1995 which report is incorporated by reference in the November 30, 1995 annual report on the Form 10-K of Bassett Furniture Industries, Incorporated and subsidiaries.</w:t>
      </w:r>
    </w:p>
    <w:p>
      <w:pPr>
        <w:spacing w:after="0" w:line="178" w:lineRule="exact"/>
        <w:rPr>
          <w:sz w:val="20"/>
          <w:szCs w:val="20"/>
          <w:color w:val="auto"/>
        </w:rPr>
      </w:pPr>
    </w:p>
    <w:p>
      <w:pPr>
        <w:ind w:right="3439"/>
        <w:spacing w:after="0" w:line="265" w:lineRule="auto"/>
        <w:rPr>
          <w:sz w:val="20"/>
          <w:szCs w:val="20"/>
          <w:color w:val="auto"/>
        </w:rPr>
      </w:pPr>
      <w:r>
        <w:rPr>
          <w:rFonts w:ascii="Courier New" w:cs="Courier New" w:eastAsia="Courier New" w:hAnsi="Courier New"/>
          <w:sz w:val="14"/>
          <w:szCs w:val="14"/>
          <w:color w:val="auto"/>
        </w:rPr>
        <w:t>As discussed in notes A and E to the consolidated financial statements, the Company adopted the provisions of the Financial Accounting Standards Board Statement No. 109, OAccounting for Income Taxes,O and Statement No. 115, OAccounting for Certain Investments in Debt and Equity Securities,O in 1994.</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KPMG Peat Marwick LLP</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Greensboro, North Carolina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21, 1996</w:t>
      </w:r>
    </w:p>
    <w:p>
      <w:pPr>
        <w:sectPr>
          <w:pgSz w:w="11900" w:h="16838" w:orient="portrait"/>
          <w:cols w:equalWidth="0" w:num="1">
            <w:col w:w="10219"/>
          </w:cols>
          <w:pgMar w:left="240" w:top="140"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w:t>
      </w:r>
    </w:p>
    <w:p>
      <w:pPr>
        <w:spacing w:after="0" w:line="346"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YEAR</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NOV-30-1995</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DEC-01-1994</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NOV-30-1995</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51,331</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39,055</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70,062</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1,470</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81,227</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204,915</w:t>
      </w:r>
    </w:p>
    <w:p>
      <w:pPr>
        <w:spacing w:after="0" w:line="2"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211,790</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158,666</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346,720</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35,392</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68,295</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230,609</w:t>
      </w:r>
    </w:p>
    <w:p>
      <w:pPr>
        <w:spacing w:after="0" w:line="2"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346,720</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490,817</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503,816</w:t>
      </w:r>
    </w:p>
    <w:p>
      <w:pPr>
        <w:spacing w:after="0" w:line="2" w:lineRule="exact"/>
        <w:rPr>
          <w:sz w:val="20"/>
          <w:szCs w:val="20"/>
          <w:color w:val="auto"/>
        </w:rPr>
      </w:pPr>
    </w:p>
    <w:p>
      <w:pPr>
        <w:jc w:val="right"/>
        <w:ind w:right="5839"/>
        <w:spacing w:after="0"/>
        <w:rPr>
          <w:sz w:val="20"/>
          <w:szCs w:val="20"/>
          <w:color w:val="auto"/>
        </w:rPr>
      </w:pPr>
      <w:r>
        <w:rPr>
          <w:rFonts w:ascii="Courier New" w:cs="Courier New" w:eastAsia="Courier New" w:hAnsi="Courier New"/>
          <w:sz w:val="15"/>
          <w:szCs w:val="15"/>
          <w:color w:val="auto"/>
        </w:rPr>
        <w:t>407,749</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473,687</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607</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3,900</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30,129</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7,226</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22,903</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22,903</w:t>
      </w:r>
    </w:p>
    <w:p>
      <w:pPr>
        <w:spacing w:after="0" w:line="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1.63</w:t>
      </w:r>
    </w:p>
    <w:p>
      <w:pPr>
        <w:spacing w:after="0" w:line="2"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0</w:t>
      </w:r>
    </w:p>
    <w:sectPr>
      <w:pgSz w:w="11900" w:h="16838" w:orient="portrait"/>
      <w:cols w:equalWidth="0" w:num="1">
        <w:col w:w="10139"/>
      </w:cols>
      <w:pgMar w:left="320" w:top="4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1"/>
    </w:lvl>
  </w:abstractNum>
  <w:abstractNum w:abstractNumId="1">
    <w:nsid w:val="12200854"/>
    <w:multiLevelType w:val="hybridMultilevel"/>
    <w:lvl w:ilvl="0">
      <w:lvlJc w:val="left"/>
      <w:lvlText w:val="(%1)"/>
      <w:numFmt w:val="upperLetter"/>
      <w:start w:val="1"/>
    </w:lvl>
  </w:abstractNum>
  <w:abstractNum w:abstractNumId="2">
    <w:nsid w:val="4DB127F8"/>
    <w:multiLevelType w:val="hybridMultilevel"/>
    <w:lvl w:ilvl="0">
      <w:lvlJc w:val="left"/>
      <w:lvlText w:val="(%1)"/>
      <w:numFmt w:val="lowerLetter"/>
      <w:start w:val="1"/>
    </w:lvl>
    <w:lvl w:ilvl="1">
      <w:lvlJc w:val="left"/>
      <w:lvlText w:val="(%2)"/>
      <w:numFmt w:val="decimal"/>
      <w:start w:val="2"/>
    </w:lvl>
    <w:lvl w:ilvl="2">
      <w:lvlJc w:val="left"/>
      <w:lvlText w:val="%3."/>
      <w:numFmt w:val="decimal"/>
      <w:start w:val="3"/>
    </w:lvl>
  </w:abstractNum>
  <w:abstractNum w:abstractNumId="3">
    <w:nsid w:val="216231B"/>
    <w:multiLevelType w:val="hybridMultilevel"/>
    <w:lvl w:ilvl="0">
      <w:lvlJc w:val="left"/>
      <w:lvlText w:val="%1."/>
      <w:numFmt w:val="decimal"/>
      <w:start w:val="13"/>
    </w:lvl>
  </w:abstractNum>
  <w:abstractNum w:abstractNumId="4">
    <w:nsid w:val="1F16E9E8"/>
    <w:multiLevelType w:val="hybridMultilevel"/>
    <w:lvl w:ilvl="0">
      <w:lvlJc w:val="left"/>
      <w:lvlText w:val="%1."/>
      <w:numFmt w:val="decimal"/>
      <w:start w:val="21"/>
    </w:lvl>
  </w:abstractNum>
  <w:abstractNum w:abstractNumId="5">
    <w:nsid w:val="1190CDE7"/>
    <w:multiLevelType w:val="hybridMultilevel"/>
    <w:lvl w:ilvl="0">
      <w:lvlJc w:val="left"/>
      <w:lvlText w:val="%1."/>
      <w:numFmt w:val="decimal"/>
      <w:start w:val="23"/>
    </w:lvl>
  </w:abstractNum>
  <w:abstractNum w:abstractNumId="6">
    <w:nsid w:val="66EF438D"/>
    <w:multiLevelType w:val="hybridMultilevel"/>
    <w:lvl w:ilvl="0">
      <w:lvlJc w:val="left"/>
      <w:lvlText w:val="%1."/>
      <w:numFmt w:val="decimal"/>
      <w:start w:val="27"/>
    </w:lvl>
  </w:abstractNum>
  <w:abstractNum w:abstractNumId="7">
    <w:nsid w:val="140E0F76"/>
    <w:multiLevelType w:val="hybridMultilevel"/>
    <w:lvl w:ilvl="0">
      <w:lvlJc w:val="left"/>
      <w:lvlText w:val="(%1)"/>
      <w:numFmt w:val="lowerLetter"/>
      <w:start w:val="2"/>
    </w:lvl>
  </w:abstractNum>
  <w:abstractNum w:abstractNumId="8">
    <w:nsid w:val="3352255A"/>
    <w:multiLevelType w:val="hybridMultilevel"/>
    <w:lvl w:ilvl="0">
      <w:lvlJc w:val="left"/>
      <w:lvlText w:val="%1."/>
      <w:numFmt w:val="decimal"/>
      <w:start w:val="13"/>
    </w:lvl>
  </w:abstractNum>
  <w:abstractNum w:abstractNumId="9">
    <w:nsid w:val="109CF92E"/>
    <w:multiLevelType w:val="hybridMultilevel"/>
    <w:lvl w:ilvl="0">
      <w:lvlJc w:val="left"/>
      <w:lvlText w:val="%1."/>
      <w:numFmt w:val="upperLetter"/>
      <w:start w:val="1"/>
    </w:lvl>
  </w:abstractNum>
  <w:abstractNum w:abstractNumId="10">
    <w:nsid w:val="DED7263"/>
    <w:multiLevelType w:val="hybridMultilevel"/>
    <w:lvl w:ilvl="0">
      <w:lvlJc w:val="left"/>
      <w:lvlText w:val="%1."/>
      <w:numFmt w:val="upperLetter"/>
      <w:start w:val="3"/>
    </w:lvl>
  </w:abstractNum>
  <w:abstractNum w:abstractNumId="11">
    <w:nsid w:val="7FDCC233"/>
    <w:multiLevelType w:val="hybridMultilevel"/>
    <w:lvl w:ilvl="0">
      <w:lvlJc w:val="left"/>
      <w:lvlText w:val="%1."/>
      <w:numFmt w:val="upperLetter"/>
      <w:start w:val="4"/>
    </w:lvl>
  </w:abstractNum>
  <w:abstractNum w:abstractNumId="12">
    <w:nsid w:val="1BEFD79F"/>
    <w:multiLevelType w:val="hybridMultilevel"/>
    <w:lvl w:ilvl="0">
      <w:lvlJc w:val="left"/>
      <w:lvlText w:val="%1."/>
      <w:numFmt w:val="upperLetter"/>
      <w:start w:val="5"/>
    </w:lvl>
  </w:abstractNum>
  <w:abstractNum w:abstractNumId="13">
    <w:nsid w:val="41A7C4C9"/>
    <w:multiLevelType w:val="hybridMultilevel"/>
    <w:lvl w:ilvl="0">
      <w:lvlJc w:val="left"/>
      <w:lvlText w:val="%1."/>
      <w:numFmt w:val="upperLetter"/>
      <w:start w:val="6"/>
    </w:lvl>
  </w:abstractNum>
  <w:abstractNum w:abstractNumId="14">
    <w:nsid w:val="6B68079A"/>
    <w:multiLevelType w:val="hybridMultilevel"/>
    <w:lvl w:ilvl="0">
      <w:lvlJc w:val="left"/>
      <w:lvlText w:val="%1."/>
      <w:numFmt w:val="upperLetter"/>
      <w:start w:val="7"/>
    </w:lvl>
  </w:abstractNum>
  <w:abstractNum w:abstractNumId="15">
    <w:nsid w:val="4E6AFB66"/>
    <w:multiLevelType w:val="hybridMultilevel"/>
    <w:lvl w:ilvl="0">
      <w:lvlJc w:val="left"/>
      <w:lvlText w:val="%1."/>
      <w:numFmt w:val="upperLetter"/>
      <w:start w:val="7"/>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2019-12-20T04:22:59Z</dcterms:created>
  <dcterms:modified xsi:type="dcterms:W3CDTF">2019-12-20T04:22:59Z</dcterms:modified>
</cp:coreProperties>
</file>