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Bassett Furniture Industries Inc.</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070203-10-4</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070203-10-4</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9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p>
    <w:p>
      <w:pPr>
        <w:ind w:left="960"/>
        <w:spacing w:after="0" w:line="237"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Lazard Freres &amp; Co. LLC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360" w:val="left"/>
          <w:tab w:leader="none" w:pos="80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spacing w:after="0" w:line="201" w:lineRule="exact"/>
        <w:rPr>
          <w:sz w:val="24"/>
          <w:szCs w:val="24"/>
          <w:color w:val="auto"/>
        </w:rPr>
      </w:pPr>
    </w:p>
    <w:p>
      <w:pPr>
        <w:ind w:left="7380"/>
        <w:spacing w:after="0"/>
        <w:tabs>
          <w:tab w:leader="none" w:pos="80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|_|</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800" w:hanging="948"/>
        <w:spacing w:after="0" w:line="238" w:lineRule="auto"/>
        <w:tabs>
          <w:tab w:leader="none" w:pos="38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447" w:right="1440" w:bottom="0" w:gutter="0" w:footer="0" w:header="0"/>
        </w:sectPr>
      </w:pP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NUMBER</w:t>
      </w:r>
    </w:p>
    <w:p>
      <w:pPr>
        <w:spacing w:after="0" w:line="218"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OF</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697,300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ectPr>
          <w:pgSz w:w="11900" w:h="16838" w:orient="portrait"/>
          <w:cols w:equalWidth="0" w:num="2">
            <w:col w:w="2140" w:space="720"/>
            <w:col w:w="7359"/>
          </w:cols>
          <w:pgMar w:left="240" w:top="447" w:right="1440" w:bottom="0" w:gutter="0" w:footer="0" w:header="0"/>
          <w:type w:val="continuous"/>
        </w:sectPr>
      </w:pPr>
    </w:p>
    <w:bookmarkStart w:id="1" w:name="page2"/>
    <w:bookmarkEnd w:id="1"/>
    <w:tbl>
      <w:tblPr>
        <w:tblLayout w:type="fixed"/>
        <w:tblInd w:w="96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spacing w:after="0"/>
              <w:rPr>
                <w:sz w:val="17"/>
                <w:szCs w:val="17"/>
                <w:color w:val="auto"/>
              </w:rPr>
            </w:pPr>
          </w:p>
        </w:tc>
        <w:tc>
          <w:tcPr>
            <w:tcW w:w="5000" w:type="dxa"/>
            <w:vAlign w:val="bottom"/>
          </w:tcPr>
          <w:p>
            <w:pPr>
              <w:ind w:left="36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580" w:type="dxa"/>
            <w:vAlign w:val="bottom"/>
          </w:tcPr>
          <w:p>
            <w:pPr>
              <w:spacing w:after="0"/>
              <w:rPr>
                <w:sz w:val="17"/>
                <w:szCs w:val="17"/>
                <w:color w:val="auto"/>
              </w:rPr>
            </w:pPr>
          </w:p>
        </w:tc>
        <w:tc>
          <w:tcPr>
            <w:tcW w:w="5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5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5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742,800</w:t>
            </w:r>
          </w:p>
        </w:tc>
      </w:tr>
      <w:tr>
        <w:trPr>
          <w:trHeight w:val="203"/>
        </w:trPr>
        <w:tc>
          <w:tcPr>
            <w:tcW w:w="1580" w:type="dxa"/>
            <w:vAlign w:val="bottom"/>
          </w:tcPr>
          <w:p>
            <w:pPr>
              <w:spacing w:after="0"/>
              <w:rPr>
                <w:sz w:val="17"/>
                <w:szCs w:val="17"/>
                <w:color w:val="auto"/>
              </w:rPr>
            </w:pPr>
          </w:p>
        </w:tc>
        <w:tc>
          <w:tcPr>
            <w:tcW w:w="5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5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900" w:type="dxa"/>
            <w:vAlign w:val="bottom"/>
          </w:tcPr>
          <w:p>
            <w:pPr>
              <w:spacing w:after="0"/>
              <w:rPr>
                <w:sz w:val="24"/>
                <w:szCs w:val="24"/>
                <w:color w:val="auto"/>
              </w:rPr>
            </w:pPr>
          </w:p>
        </w:tc>
        <w:tc>
          <w:tcPr>
            <w:tcW w:w="5000" w:type="dxa"/>
            <w:vAlign w:val="bottom"/>
          </w:tcPr>
          <w:p>
            <w:pPr>
              <w:ind w:left="360"/>
              <w:spacing w:after="0"/>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742,800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020"/>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5.46%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line="193" w:lineRule="auto"/>
        <w:framePr w:w="2920" w:h="146" w:wrap="auto" w:vAnchor="page" w:hAnchor="page" w:x="1580" w:y="7206"/>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070203-10-4</w:t>
      </w:r>
    </w:p>
    <w:p>
      <w:pPr>
        <w:spacing w:after="0" w:line="193" w:lineRule="auto"/>
        <w:framePr w:w="7140" w:h="146" w:wrap="auto" w:vAnchor="page" w:hAnchor="page" w:x="1580" w:y="7611"/>
        <w:rPr>
          <w:rFonts w:ascii="Courier New" w:cs="Courier New" w:eastAsia="Courier New" w:hAnsi="Courier New"/>
          <w:sz w:val="16"/>
          <w:szCs w:val="16"/>
          <w:color w:val="auto"/>
        </w:rPr>
      </w:pPr>
      <w:r>
        <w:rPr>
          <w:rFonts w:ascii="Courier New" w:cs="Courier New" w:eastAsia="Courier New" w:hAnsi="Courier New"/>
          <w:sz w:val="16"/>
          <w:szCs w:val="16"/>
          <w:color w:val="auto"/>
        </w:rPr>
        <w:t>IF THIS STATEMENT IS FILED PURSUANT TO RULES 13D-1(B), OR 13D-2(B),</w:t>
      </w:r>
    </w:p>
    <w:p>
      <w:pPr>
        <w:spacing w:after="0" w:line="193" w:lineRule="auto"/>
        <w:framePr w:w="3980" w:h="146" w:wrap="auto" w:vAnchor="page" w:hAnchor="page" w:x="1580" w:y="7813"/>
        <w:rPr>
          <w:rFonts w:ascii="Courier New" w:cs="Courier New" w:eastAsia="Courier New" w:hAnsi="Courier New"/>
          <w:sz w:val="16"/>
          <w:szCs w:val="16"/>
          <w:color w:val="auto"/>
        </w:rPr>
      </w:pPr>
      <w:r>
        <w:rPr>
          <w:rFonts w:ascii="Courier New" w:cs="Courier New" w:eastAsia="Courier New" w:hAnsi="Courier New"/>
          <w:sz w:val="16"/>
          <w:szCs w:val="16"/>
          <w:color w:val="auto"/>
        </w:rPr>
        <w:t>CHECK WHETHER THE PERSON FILING IS A:</w:t>
      </w:r>
    </w:p>
    <w:p>
      <w:pPr>
        <w:spacing w:after="0" w:line="193" w:lineRule="auto"/>
        <w:framePr w:w="7040" w:h="146" w:wrap="auto" w:vAnchor="page" w:hAnchor="page" w:x="1580" w:y="8218"/>
        <w:rPr>
          <w:rFonts w:ascii="Courier New" w:cs="Courier New" w:eastAsia="Courier New" w:hAnsi="Courier New"/>
          <w:sz w:val="16"/>
          <w:szCs w:val="16"/>
          <w:color w:val="auto"/>
        </w:rPr>
      </w:pPr>
      <w:r>
        <w:rPr>
          <w:rFonts w:ascii="Courier New" w:cs="Courier New" w:eastAsia="Courier New" w:hAnsi="Courier New"/>
          <w:sz w:val="16"/>
          <w:szCs w:val="16"/>
          <w:color w:val="auto"/>
        </w:rPr>
        <w:t>[_]   (a)  Broker or Dealer Registered Under Section 15 of the Act</w:t>
      </w:r>
    </w:p>
    <w:p>
      <w:pPr>
        <w:spacing w:after="0" w:line="205" w:lineRule="auto"/>
        <w:framePr w:w="6920" w:h="349" w:wrap="auto" w:vAnchor="page" w:hAnchor="page" w:x="1580" w:y="8624"/>
        <w:rPr>
          <w:rFonts w:ascii="Courier New" w:cs="Courier New" w:eastAsia="Courier New" w:hAnsi="Courier New"/>
          <w:sz w:val="18"/>
          <w:szCs w:val="18"/>
          <w:color w:val="auto"/>
        </w:rPr>
      </w:pPr>
      <w:r>
        <w:rPr>
          <w:rFonts w:ascii="Courier New" w:cs="Courier New" w:eastAsia="Courier New" w:hAnsi="Courier New"/>
          <w:sz w:val="18"/>
          <w:szCs w:val="18"/>
          <w:color w:val="auto"/>
        </w:rPr>
        <w:t>[_] (e) Investment Adviser registered under section 203 of the Investment Advisers Act of 1940</w:t>
      </w:r>
    </w:p>
    <w:p>
      <w:pPr>
        <w:ind w:left="3580"/>
        <w:spacing w:after="0"/>
        <w:rPr>
          <w:sz w:val="20"/>
          <w:szCs w:val="20"/>
          <w:color w:val="auto"/>
        </w:rPr>
      </w:pPr>
      <w:r>
        <w:rPr>
          <w:rFonts w:ascii="Courier New" w:cs="Courier New" w:eastAsia="Courier New" w:hAnsi="Courier New"/>
          <w:sz w:val="18"/>
          <w:szCs w:val="18"/>
          <w:color w:val="auto"/>
        </w:rPr>
        <w:t>Schedule 13G</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rFonts w:ascii="Courier New" w:cs="Courier New" w:eastAsia="Courier New" w:hAnsi="Courier New"/>
          <w:sz w:val="18"/>
          <w:szCs w:val="18"/>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rFonts w:ascii="Courier New" w:cs="Courier New" w:eastAsia="Courier New" w:hAnsi="Courier New"/>
          <w:sz w:val="18"/>
          <w:szCs w:val="18"/>
          <w:color w:val="auto"/>
        </w:rPr>
      </w:pPr>
    </w:p>
    <w:p>
      <w:pPr>
        <w:spacing w:after="0"/>
        <w:rPr>
          <w:sz w:val="20"/>
          <w:szCs w:val="20"/>
          <w:color w:val="auto"/>
        </w:rPr>
      </w:pPr>
      <w:r>
        <w:rPr>
          <w:rFonts w:ascii="Courier New" w:cs="Courier New" w:eastAsia="Courier New" w:hAnsi="Courier New"/>
          <w:sz w:val="18"/>
          <w:szCs w:val="18"/>
          <w:color w:val="auto"/>
        </w:rPr>
        <w:t>Bassett Furniture Industries Inc.</w:t>
      </w:r>
    </w:p>
    <w:p>
      <w:pPr>
        <w:spacing w:after="0" w:line="201" w:lineRule="exact"/>
        <w:rPr>
          <w:rFonts w:ascii="Courier New" w:cs="Courier New" w:eastAsia="Courier New" w:hAnsi="Courier New"/>
          <w:sz w:val="18"/>
          <w:szCs w:val="18"/>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rFonts w:ascii="Courier New" w:cs="Courier New" w:eastAsia="Courier New" w:hAnsi="Courier New"/>
          <w:sz w:val="18"/>
          <w:szCs w:val="18"/>
          <w:color w:val="auto"/>
        </w:rPr>
      </w:pPr>
    </w:p>
    <w:p>
      <w:pPr>
        <w:spacing w:after="0"/>
        <w:rPr>
          <w:sz w:val="20"/>
          <w:szCs w:val="20"/>
          <w:color w:val="auto"/>
        </w:rPr>
      </w:pPr>
      <w:r>
        <w:rPr>
          <w:rFonts w:ascii="Courier New" w:cs="Courier New" w:eastAsia="Courier New" w:hAnsi="Courier New"/>
          <w:sz w:val="18"/>
          <w:szCs w:val="18"/>
          <w:color w:val="auto"/>
        </w:rPr>
        <w:t>Main Street</w:t>
      </w:r>
    </w:p>
    <w:p>
      <w:pPr>
        <w:spacing w:after="0" w:line="238" w:lineRule="auto"/>
        <w:rPr>
          <w:sz w:val="20"/>
          <w:szCs w:val="20"/>
          <w:color w:val="auto"/>
        </w:rPr>
      </w:pPr>
      <w:r>
        <w:rPr>
          <w:rFonts w:ascii="Courier New" w:cs="Courier New" w:eastAsia="Courier New" w:hAnsi="Courier New"/>
          <w:sz w:val="18"/>
          <w:szCs w:val="18"/>
          <w:color w:val="auto"/>
        </w:rPr>
        <w:t>Bassett, Virginia</w:t>
      </w:r>
    </w:p>
    <w:p>
      <w:pPr>
        <w:spacing w:after="0"/>
        <w:rPr>
          <w:sz w:val="20"/>
          <w:szCs w:val="20"/>
          <w:color w:val="auto"/>
        </w:rPr>
      </w:pPr>
      <w:r>
        <w:rPr>
          <w:rFonts w:ascii="Courier New" w:cs="Courier New" w:eastAsia="Courier New" w:hAnsi="Courier New"/>
          <w:sz w:val="18"/>
          <w:szCs w:val="18"/>
          <w:color w:val="auto"/>
        </w:rPr>
        <w:t>24055</w:t>
      </w:r>
    </w:p>
    <w:p>
      <w:pPr>
        <w:spacing w:after="0" w:line="200" w:lineRule="exact"/>
        <w:rPr>
          <w:rFonts w:ascii="Courier New" w:cs="Courier New" w:eastAsia="Courier New" w:hAnsi="Courier New"/>
          <w:sz w:val="18"/>
          <w:szCs w:val="18"/>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rFonts w:ascii="Courier New" w:cs="Courier New" w:eastAsia="Courier New" w:hAnsi="Courier New"/>
          <w:sz w:val="18"/>
          <w:szCs w:val="18"/>
          <w:color w:val="auto"/>
        </w:rPr>
      </w:pPr>
    </w:p>
    <w:p>
      <w:pPr>
        <w:spacing w:after="0"/>
        <w:rPr>
          <w:sz w:val="20"/>
          <w:szCs w:val="20"/>
          <w:color w:val="auto"/>
        </w:rPr>
      </w:pPr>
      <w:r>
        <w:rPr>
          <w:rFonts w:ascii="Courier New" w:cs="Courier New" w:eastAsia="Courier New" w:hAnsi="Courier New"/>
          <w:sz w:val="18"/>
          <w:szCs w:val="18"/>
          <w:color w:val="auto"/>
        </w:rPr>
        <w:t>Lazard Freres &amp; Co. LLC</w:t>
      </w:r>
    </w:p>
    <w:p>
      <w:pPr>
        <w:spacing w:after="0" w:line="201" w:lineRule="exact"/>
        <w:rPr>
          <w:rFonts w:ascii="Courier New" w:cs="Courier New" w:eastAsia="Courier New" w:hAnsi="Courier New"/>
          <w:sz w:val="18"/>
          <w:szCs w:val="18"/>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spacing w:after="0"/>
        <w:rPr>
          <w:sz w:val="20"/>
          <w:szCs w:val="20"/>
          <w:color w:val="auto"/>
        </w:rPr>
      </w:pPr>
      <w:r>
        <w:rPr>
          <w:rFonts w:ascii="Courier New" w:cs="Courier New" w:eastAsia="Courier New" w:hAnsi="Courier New"/>
          <w:sz w:val="18"/>
          <w:szCs w:val="18"/>
          <w:color w:val="auto"/>
        </w:rPr>
        <w:t>30 Rockefeller Plaza</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10020</w:t>
      </w:r>
    </w:p>
    <w:p>
      <w:pPr>
        <w:spacing w:after="0" w:line="202" w:lineRule="exact"/>
        <w:rPr>
          <w:rFonts w:ascii="Courier New" w:cs="Courier New" w:eastAsia="Courier New" w:hAnsi="Courier New"/>
          <w:sz w:val="18"/>
          <w:szCs w:val="18"/>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rFonts w:ascii="Courier New" w:cs="Courier New" w:eastAsia="Courier New" w:hAnsi="Courier New"/>
          <w:sz w:val="18"/>
          <w:szCs w:val="18"/>
          <w:color w:val="auto"/>
        </w:rPr>
      </w:pPr>
    </w:p>
    <w:p>
      <w:pPr>
        <w:spacing w:after="0"/>
        <w:rPr>
          <w:sz w:val="20"/>
          <w:szCs w:val="20"/>
          <w:color w:val="auto"/>
        </w:rPr>
      </w:pPr>
      <w:r>
        <w:rPr>
          <w:rFonts w:ascii="Courier New" w:cs="Courier New" w:eastAsia="Courier New" w:hAnsi="Courier New"/>
          <w:sz w:val="18"/>
          <w:szCs w:val="18"/>
          <w:color w:val="auto"/>
        </w:rPr>
        <w:t>New York Limited Liability Company</w:t>
      </w:r>
    </w:p>
    <w:p>
      <w:pPr>
        <w:spacing w:after="0" w:line="201" w:lineRule="exact"/>
        <w:rPr>
          <w:rFonts w:ascii="Courier New" w:cs="Courier New" w:eastAsia="Courier New" w:hAnsi="Courier New"/>
          <w:sz w:val="18"/>
          <w:szCs w:val="18"/>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rFonts w:ascii="Courier New" w:cs="Courier New" w:eastAsia="Courier New" w:hAnsi="Courier New"/>
          <w:sz w:val="18"/>
          <w:szCs w:val="18"/>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spacing w:after="0"/>
        <w:rPr>
          <w:sz w:val="20"/>
          <w:szCs w:val="20"/>
          <w:color w:val="auto"/>
        </w:rPr>
      </w:pPr>
      <w:r>
        <w:rPr>
          <w:rFonts w:ascii="Courier New" w:cs="Courier New" w:eastAsia="Courier New" w:hAnsi="Courier New"/>
          <w:sz w:val="18"/>
          <w:szCs w:val="18"/>
          <w:color w:val="auto"/>
        </w:rPr>
        <w:t>ITEM 2(E).</w:t>
      </w:r>
    </w:p>
    <w:p>
      <w:pPr>
        <w:spacing w:after="0" w:line="201" w:lineRule="exact"/>
        <w:rPr>
          <w:rFonts w:ascii="Courier New" w:cs="Courier New" w:eastAsia="Courier New" w:hAnsi="Courier New"/>
          <w:sz w:val="18"/>
          <w:szCs w:val="18"/>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8"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58" w:lineRule="exact"/>
        <w:rPr>
          <w:rFonts w:ascii="Courier New" w:cs="Courier New" w:eastAsia="Courier New" w:hAnsi="Courier New"/>
          <w:sz w:val="18"/>
          <w:szCs w:val="18"/>
          <w:color w:val="auto"/>
        </w:rPr>
      </w:pPr>
    </w:p>
    <w:p>
      <w:pPr>
        <w:spacing w:after="0" w:line="253" w:lineRule="exact"/>
        <w:rPr>
          <w:rFonts w:ascii="Courier New" w:cs="Courier New" w:eastAsia="Courier New" w:hAnsi="Courier New"/>
          <w:sz w:val="18"/>
          <w:szCs w:val="18"/>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742,800</w:t>
      </w:r>
    </w:p>
    <w:p>
      <w:pPr>
        <w:spacing w:after="0" w:line="201"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5.46%</w:t>
      </w:r>
    </w:p>
    <w:p>
      <w:pPr>
        <w:spacing w:after="0" w:line="201" w:lineRule="exact"/>
        <w:rPr>
          <w:rFonts w:ascii="Courier New" w:cs="Courier New" w:eastAsia="Courier New" w:hAnsi="Courier New"/>
          <w:sz w:val="18"/>
          <w:szCs w:val="18"/>
          <w:color w:val="auto"/>
        </w:rPr>
      </w:pPr>
    </w:p>
    <w:p>
      <w:pPr>
        <w:ind w:left="1800" w:hanging="423"/>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219"/>
          </w:cols>
          <w:pgMar w:left="240" w:top="1122" w:right="1440" w:bottom="1440" w:gutter="0" w:footer="0" w:header="0"/>
        </w:sectPr>
      </w:pPr>
    </w:p>
    <w:bookmarkStart w:id="3" w:name="page4"/>
    <w:bookmarkEnd w:id="3"/>
    <w:p>
      <w:pPr>
        <w:ind w:left="2000" w:hanging="623"/>
        <w:spacing w:after="0"/>
        <w:tabs>
          <w:tab w:leader="none" w:pos="20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697,300</w:t>
      </w:r>
    </w:p>
    <w:p>
      <w:pPr>
        <w:spacing w:after="0" w:line="201" w:lineRule="exact"/>
        <w:rPr>
          <w:rFonts w:ascii="Courier New" w:cs="Courier New" w:eastAsia="Courier New" w:hAnsi="Courier New"/>
          <w:sz w:val="18"/>
          <w:szCs w:val="18"/>
          <w:color w:val="auto"/>
        </w:rPr>
      </w:pPr>
    </w:p>
    <w:p>
      <w:pPr>
        <w:ind w:left="2000" w:hanging="623"/>
        <w:spacing w:after="0"/>
        <w:tabs>
          <w:tab w:leader="none" w:pos="20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206" w:lineRule="exact"/>
        <w:rPr>
          <w:rFonts w:ascii="Courier New" w:cs="Courier New" w:eastAsia="Courier New" w:hAnsi="Courier New"/>
          <w:sz w:val="18"/>
          <w:szCs w:val="18"/>
          <w:color w:val="auto"/>
        </w:rPr>
      </w:pPr>
    </w:p>
    <w:p>
      <w:pPr>
        <w:ind w:left="2000" w:right="2519" w:hanging="623"/>
        <w:spacing w:after="0" w:line="235" w:lineRule="auto"/>
        <w:tabs>
          <w:tab w:leader="none" w:pos="20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742,800</w:t>
      </w:r>
    </w:p>
    <w:p>
      <w:pPr>
        <w:spacing w:after="0" w:line="208" w:lineRule="exact"/>
        <w:rPr>
          <w:rFonts w:ascii="Courier New" w:cs="Courier New" w:eastAsia="Courier New" w:hAnsi="Courier New"/>
          <w:sz w:val="18"/>
          <w:szCs w:val="18"/>
          <w:color w:val="auto"/>
        </w:rPr>
      </w:pPr>
    </w:p>
    <w:p>
      <w:pPr>
        <w:ind w:left="2000" w:hanging="623"/>
        <w:spacing w:after="0"/>
        <w:tabs>
          <w:tab w:leader="none" w:pos="20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None</w:t>
      </w:r>
    </w:p>
    <w:p>
      <w:pPr>
        <w:spacing w:after="0" w:line="223" w:lineRule="exact"/>
        <w:rPr>
          <w:rFonts w:ascii="Courier New" w:cs="Courier New" w:eastAsia="Courier New" w:hAnsi="Courier New"/>
          <w:sz w:val="16"/>
          <w:szCs w:val="16"/>
          <w:color w:val="auto"/>
        </w:rPr>
      </w:pPr>
    </w:p>
    <w:p>
      <w:pPr>
        <w:ind w:left="1380" w:right="4099" w:hanging="1369"/>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5.OWNERSHIP OF FIVE PERCENT OR LESS OF A CLASS. Not applicable</w:t>
      </w:r>
    </w:p>
    <w:p>
      <w:pPr>
        <w:spacing w:after="0" w:line="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jc w:val="both"/>
        <w:ind w:right="1779" w:firstLine="1369"/>
        <w:spacing w:after="0" w:line="237" w:lineRule="auto"/>
        <w:rPr>
          <w:sz w:val="20"/>
          <w:szCs w:val="20"/>
          <w:color w:val="auto"/>
        </w:rPr>
      </w:pPr>
      <w:r>
        <w:rPr>
          <w:rFonts w:ascii="Courier New" w:cs="Courier New" w:eastAsia="Courier New" w:hAnsi="Courier New"/>
          <w:sz w:val="18"/>
          <w:szCs w:val="18"/>
          <w:color w:val="auto"/>
        </w:rPr>
        <w:t>Clients of the Reporting Person have the right to receive dividends and proceeds of sale of the securities reported on this Schedule. To the knowledge of the Reporting Person, no such person has an interest relating to more than five percent of the class of such securities.</w:t>
      </w:r>
    </w:p>
    <w:p>
      <w:pPr>
        <w:spacing w:after="0" w:line="207" w:lineRule="exact"/>
        <w:rPr>
          <w:sz w:val="20"/>
          <w:szCs w:val="20"/>
          <w:color w:val="auto"/>
        </w:rPr>
      </w:pPr>
    </w:p>
    <w:p>
      <w:pPr>
        <w:ind w:left="1380" w:right="1879" w:hanging="1368"/>
        <w:spacing w:after="0" w:line="290"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36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219"/>
          </w:cols>
          <w:pgMar w:left="240" w:top="1325" w:right="1440" w:bottom="1440" w:gutter="0" w:footer="0" w:header="0"/>
        </w:sectPr>
      </w:pPr>
    </w:p>
    <w:bookmarkStart w:id="4" w:name="page5"/>
    <w:bookmarkEnd w:id="4"/>
    <w:p>
      <w:pPr>
        <w:ind w:left="3800"/>
        <w:spacing w:after="0"/>
        <w:rPr>
          <w:sz w:val="20"/>
          <w:szCs w:val="20"/>
          <w:color w:val="auto"/>
        </w:rPr>
      </w:pPr>
      <w:r>
        <w:rPr>
          <w:rFonts w:ascii="Courier New" w:cs="Courier New" w:eastAsia="Courier New" w:hAnsi="Courier New"/>
          <w:sz w:val="18"/>
          <w:szCs w:val="18"/>
          <w:color w:val="auto"/>
        </w:rPr>
        <w:t>SIGNATURE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1369"/>
        <w:spacing w:after="0" w:line="236" w:lineRule="auto"/>
        <w:rPr>
          <w:sz w:val="20"/>
          <w:szCs w:val="20"/>
          <w:color w:val="auto"/>
        </w:rPr>
      </w:pPr>
      <w:r>
        <w:rPr>
          <w:rFonts w:ascii="Courier New" w:cs="Courier New" w:eastAsia="Courier New" w:hAnsi="Courier New"/>
          <w:sz w:val="18"/>
          <w:szCs w:val="18"/>
          <w:color w:val="auto"/>
        </w:rPr>
        <w:t>After reasonable inquiry and to the best knowledge and belief of the undersigned,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1998</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Donald E. Klein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Donald E. Klein</w:t>
      </w:r>
    </w:p>
    <w:p>
      <w:pPr>
        <w:ind w:left="464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3"/>
    </w:lvl>
  </w:abstractNum>
  <w:abstractNum w:abstractNumId="1">
    <w:nsid w:val="3D1B58BA"/>
    <w:multiLevelType w:val="hybridMultilevel"/>
    <w:lvl w:ilvl="0">
      <w:lvlJc w:val="left"/>
      <w:lvlText w:val="%1)"/>
      <w:numFmt w:val="decimal"/>
      <w:start w:val="4"/>
    </w:lvl>
  </w:abstractNum>
  <w:abstractNum w:abstractNumId="2">
    <w:nsid w:val="507ED7AB"/>
    <w:multiLevelType w:val="hybridMultilevel"/>
    <w:lvl w:ilvl="0">
      <w:lvlJc w:val="left"/>
      <w:lvlText w:val="-"/>
      <w:numFmt w:val="bullet"/>
      <w:start w:val="1"/>
    </w:lvl>
    <w:lvl w:ilvl="1">
      <w:lvlJc w:val="left"/>
      <w:lvlText w:val="%2)"/>
      <w:numFmt w:val="decimal"/>
      <w:start w:val="5"/>
    </w:lvl>
  </w:abstractNum>
  <w:abstractNum w:abstractNumId="3">
    <w:nsid w:val="2EB141F2"/>
    <w:multiLevelType w:val="hybridMultilevel"/>
    <w:lvl w:ilvl="0">
      <w:lvlJc w:val="left"/>
      <w:lvlText w:val="%1)"/>
      <w:numFmt w:val="decimal"/>
      <w:start w:val="9"/>
    </w:lvl>
  </w:abstractNum>
  <w:abstractNum w:abstractNumId="4">
    <w:nsid w:val="41B71EFB"/>
    <w:multiLevelType w:val="hybridMultilevel"/>
    <w:lvl w:ilvl="0">
      <w:lvlJc w:val="left"/>
      <w:lvlText w:val="%1)"/>
      <w:numFmt w:val="decimal"/>
      <w:start w:val="10"/>
    </w:lvl>
  </w:abstractNum>
  <w:abstractNum w:abstractNumId="5">
    <w:nsid w:val="79E2A9E3"/>
    <w:multiLevelType w:val="hybridMultilevel"/>
    <w:lvl w:ilvl="0">
      <w:lvlJc w:val="left"/>
      <w:lvlText w:val="%1)"/>
      <w:numFmt w:val="decimal"/>
      <w:start w:val="11"/>
    </w:lvl>
  </w:abstractNum>
  <w:abstractNum w:abstractNumId="6">
    <w:nsid w:val="7545E146"/>
    <w:multiLevelType w:val="hybridMultilevel"/>
    <w:lvl w:ilvl="0">
      <w:lvlJc w:val="left"/>
      <w:lvlText w:val="%1)"/>
      <w:numFmt w:val="decimal"/>
      <w:start w:val="1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2019-12-20T01:14:26Z</dcterms:created>
  <dcterms:modified xsi:type="dcterms:W3CDTF">2019-12-20T01:14:26Z</dcterms:modified>
</cp:coreProperties>
</file>