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FORM 10-Q</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7" w:lineRule="exact"/>
        <w:rPr>
          <w:sz w:val="24"/>
          <w:szCs w:val="24"/>
          <w:color w:val="auto"/>
        </w:rPr>
      </w:pPr>
    </w:p>
    <w:p>
      <w:pPr>
        <w:ind w:left="2600"/>
        <w:spacing w:after="0"/>
        <w:rPr>
          <w:sz w:val="20"/>
          <w:szCs w:val="20"/>
          <w:color w:val="auto"/>
        </w:rPr>
      </w:pPr>
      <w:r>
        <w:rPr>
          <w:rFonts w:ascii="Courier New" w:cs="Courier New" w:eastAsia="Courier New" w:hAnsi="Courier New"/>
          <w:sz w:val="15"/>
          <w:szCs w:val="15"/>
          <w:color w:val="auto"/>
        </w:rPr>
        <w:t>Washington, D.C. 20549</w:t>
      </w:r>
    </w:p>
    <w:p>
      <w:pPr>
        <w:spacing w:after="0" w:line="178" w:lineRule="exact"/>
        <w:rPr>
          <w:sz w:val="24"/>
          <w:szCs w:val="24"/>
          <w:color w:val="auto"/>
        </w:rPr>
      </w:pPr>
    </w:p>
    <w:p>
      <w:pPr>
        <w:ind w:left="1980" w:right="4099" w:hanging="906"/>
        <w:spacing w:after="0" w:line="243" w:lineRule="auto"/>
        <w:tabs>
          <w:tab w:leader="none" w:pos="143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 (d) OF THE SECURITIES EXCHANGE ACT OF 1934</w:t>
      </w:r>
    </w:p>
    <w:p>
      <w:pPr>
        <w:spacing w:after="0" w:line="175"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FOR THE QUARTERLY PERIOD ENDED FEBRUARY 29, 1996</w:t>
      </w:r>
    </w:p>
    <w:p>
      <w:pPr>
        <w:spacing w:after="0" w:line="177" w:lineRule="exact"/>
        <w:rPr>
          <w:sz w:val="24"/>
          <w:szCs w:val="24"/>
          <w:color w:val="auto"/>
        </w:rPr>
      </w:pPr>
    </w:p>
    <w:p>
      <w:pPr>
        <w:ind w:left="3500"/>
        <w:spacing w:after="0"/>
        <w:rPr>
          <w:sz w:val="20"/>
          <w:szCs w:val="20"/>
          <w:color w:val="auto"/>
        </w:rPr>
      </w:pPr>
      <w:r>
        <w:rPr>
          <w:rFonts w:ascii="Courier New" w:cs="Courier New" w:eastAsia="Courier New" w:hAnsi="Courier New"/>
          <w:sz w:val="15"/>
          <w:szCs w:val="15"/>
          <w:color w:val="auto"/>
        </w:rPr>
        <w:t>OR</w:t>
      </w:r>
    </w:p>
    <w:p>
      <w:pPr>
        <w:spacing w:after="0" w:line="178" w:lineRule="exact"/>
        <w:rPr>
          <w:sz w:val="24"/>
          <w:szCs w:val="24"/>
          <w:color w:val="auto"/>
        </w:rPr>
      </w:pPr>
    </w:p>
    <w:p>
      <w:pPr>
        <w:ind w:left="1980" w:right="3999" w:hanging="1086"/>
        <w:spacing w:after="0" w:line="243" w:lineRule="auto"/>
        <w:tabs>
          <w:tab w:leader="none" w:pos="11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 (d) OF THE SECURITIES EXCHANGE ACT OF 1934</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transition period from ____________________ to _______________________</w:t>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No. 0-209</w:t>
      </w:r>
    </w:p>
    <w:p>
      <w:pPr>
        <w:spacing w:after="0" w:line="350" w:lineRule="exact"/>
        <w:rPr>
          <w:sz w:val="24"/>
          <w:szCs w:val="24"/>
          <w:color w:val="auto"/>
        </w:rPr>
      </w:pPr>
    </w:p>
    <w:p>
      <w:pPr>
        <w:ind w:left="1700"/>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3"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24" w:lineRule="exact"/>
        <w:rPr>
          <w:sz w:val="24"/>
          <w:szCs w:val="24"/>
          <w:color w:val="auto"/>
        </w:rPr>
      </w:pPr>
    </w:p>
    <w:p>
      <w:pPr>
        <w:ind w:left="1260"/>
        <w:spacing w:after="0"/>
        <w:tabs>
          <w:tab w:leader="none" w:pos="8720" w:val="left"/>
        </w:tabs>
        <w:rPr>
          <w:sz w:val="20"/>
          <w:szCs w:val="20"/>
          <w:color w:val="auto"/>
        </w:rPr>
      </w:pPr>
      <w:r>
        <w:rPr>
          <w:rFonts w:ascii="Courier New" w:cs="Courier New" w:eastAsia="Courier New" w:hAnsi="Courier New"/>
          <w:sz w:val="15"/>
          <w:szCs w:val="15"/>
          <w:color w:val="auto"/>
        </w:rPr>
        <w:t>Virginia</w:t>
      </w:r>
      <w:r>
        <w:rPr>
          <w:sz w:val="20"/>
          <w:szCs w:val="20"/>
          <w:color w:val="auto"/>
        </w:rPr>
        <w:tab/>
      </w:r>
      <w:r>
        <w:rPr>
          <w:rFonts w:ascii="Courier New" w:cs="Courier New" w:eastAsia="Courier New" w:hAnsi="Courier New"/>
          <w:sz w:val="14"/>
          <w:szCs w:val="14"/>
          <w:color w:val="auto"/>
        </w:rPr>
        <w:t>54-0135270</w:t>
      </w:r>
    </w:p>
    <w:p>
      <w:pPr>
        <w:spacing w:after="0" w:line="3" w:lineRule="exact"/>
        <w:rPr>
          <w:sz w:val="24"/>
          <w:szCs w:val="24"/>
          <w:color w:val="auto"/>
        </w:rPr>
      </w:pPr>
    </w:p>
    <w:p>
      <w:pPr>
        <w:spacing w:after="0"/>
        <w:tabs>
          <w:tab w:leader="none" w:pos="86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3" w:lineRule="exact"/>
        <w:rPr>
          <w:sz w:val="24"/>
          <w:szCs w:val="24"/>
          <w:color w:val="auto"/>
        </w:rPr>
      </w:pPr>
    </w:p>
    <w:p>
      <w:pPr>
        <w:ind w:left="360"/>
        <w:spacing w:after="0"/>
        <w:tabs>
          <w:tab w:leader="none" w:pos="8440" w:val="left"/>
        </w:tabs>
        <w:rPr>
          <w:sz w:val="20"/>
          <w:szCs w:val="20"/>
          <w:color w:val="auto"/>
        </w:rPr>
      </w:pPr>
      <w:r>
        <w:rPr>
          <w:rFonts w:ascii="Courier New" w:cs="Courier New" w:eastAsia="Courier New" w:hAnsi="Courier New"/>
          <w:sz w:val="15"/>
          <w:szCs w:val="15"/>
          <w:color w:val="auto"/>
        </w:rPr>
        <w:t>(State or other jurisdiction</w:t>
      </w:r>
      <w:r>
        <w:rPr>
          <w:sz w:val="20"/>
          <w:szCs w:val="20"/>
          <w:color w:val="auto"/>
        </w:rPr>
        <w:tab/>
      </w:r>
      <w:r>
        <w:rPr>
          <w:rFonts w:ascii="Courier New" w:cs="Courier New" w:eastAsia="Courier New" w:hAnsi="Courier New"/>
          <w:sz w:val="14"/>
          <w:szCs w:val="14"/>
          <w:color w:val="auto"/>
        </w:rPr>
        <w:t>(I.R.S. Employer</w:t>
      </w:r>
    </w:p>
    <w:p>
      <w:pPr>
        <w:spacing w:after="0" w:line="3" w:lineRule="exact"/>
        <w:rPr>
          <w:sz w:val="24"/>
          <w:szCs w:val="24"/>
          <w:color w:val="auto"/>
        </w:rPr>
      </w:pPr>
    </w:p>
    <w:p>
      <w:pPr>
        <w:spacing w:after="0"/>
        <w:tabs>
          <w:tab w:leader="none" w:pos="8360" w:val="left"/>
        </w:tabs>
        <w:rPr>
          <w:sz w:val="20"/>
          <w:szCs w:val="20"/>
          <w:color w:val="auto"/>
        </w:rPr>
      </w:pPr>
      <w:r>
        <w:rPr>
          <w:rFonts w:ascii="Courier New" w:cs="Courier New" w:eastAsia="Courier New" w:hAnsi="Courier New"/>
          <w:sz w:val="15"/>
          <w:szCs w:val="15"/>
          <w:color w:val="auto"/>
        </w:rPr>
        <w:t>of incorporation or organization)</w:t>
      </w:r>
      <w:r>
        <w:rPr>
          <w:sz w:val="20"/>
          <w:szCs w:val="20"/>
          <w:color w:val="auto"/>
        </w:rPr>
        <w:tab/>
      </w:r>
      <w:r>
        <w:rPr>
          <w:rFonts w:ascii="Courier New" w:cs="Courier New" w:eastAsia="Courier New" w:hAnsi="Courier New"/>
          <w:sz w:val="15"/>
          <w:szCs w:val="15"/>
          <w:color w:val="auto"/>
        </w:rPr>
        <w:t>Identification No.)</w:t>
      </w:r>
    </w:p>
    <w:p>
      <w:pPr>
        <w:spacing w:after="0" w:line="350" w:lineRule="exact"/>
        <w:rPr>
          <w:sz w:val="24"/>
          <w:szCs w:val="24"/>
          <w:color w:val="auto"/>
        </w:rPr>
      </w:pPr>
    </w:p>
    <w:p>
      <w:pPr>
        <w:ind w:left="4600"/>
        <w:spacing w:after="0"/>
        <w:tabs>
          <w:tab w:leader="none" w:pos="6380" w:val="left"/>
        </w:tabs>
        <w:rPr>
          <w:sz w:val="20"/>
          <w:szCs w:val="20"/>
          <w:color w:val="auto"/>
        </w:rPr>
      </w:pPr>
      <w:r>
        <w:rPr>
          <w:rFonts w:ascii="Courier New" w:cs="Courier New" w:eastAsia="Courier New" w:hAnsi="Courier New"/>
          <w:sz w:val="15"/>
          <w:szCs w:val="15"/>
          <w:color w:val="auto"/>
        </w:rPr>
        <w:t>Bassett, Virginia</w:t>
      </w:r>
      <w:r>
        <w:rPr>
          <w:sz w:val="20"/>
          <w:szCs w:val="20"/>
          <w:color w:val="auto"/>
        </w:rPr>
        <w:tab/>
      </w:r>
      <w:r>
        <w:rPr>
          <w:rFonts w:ascii="Courier New" w:cs="Courier New" w:eastAsia="Courier New" w:hAnsi="Courier New"/>
          <w:sz w:val="14"/>
          <w:szCs w:val="14"/>
          <w:color w:val="auto"/>
        </w:rPr>
        <w:t>24055</w:t>
      </w:r>
    </w:p>
    <w:p>
      <w:pPr>
        <w:spacing w:after="0" w:line="3" w:lineRule="exact"/>
        <w:rPr>
          <w:sz w:val="24"/>
          <w:szCs w:val="24"/>
          <w:color w:val="auto"/>
        </w:rPr>
      </w:pPr>
    </w:p>
    <w:p>
      <w:pPr>
        <w:ind w:left="43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386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 w:lineRule="exact"/>
        <w:rPr>
          <w:sz w:val="24"/>
          <w:szCs w:val="24"/>
          <w:color w:val="auto"/>
        </w:rPr>
      </w:pPr>
    </w:p>
    <w:p>
      <w:pPr>
        <w:ind w:left="5220"/>
        <w:spacing w:after="0"/>
        <w:rPr>
          <w:sz w:val="20"/>
          <w:szCs w:val="20"/>
          <w:color w:val="auto"/>
        </w:rPr>
      </w:pPr>
      <w:r>
        <w:rPr>
          <w:rFonts w:ascii="Courier New" w:cs="Courier New" w:eastAsia="Courier New" w:hAnsi="Courier New"/>
          <w:sz w:val="15"/>
          <w:szCs w:val="15"/>
          <w:color w:val="auto"/>
        </w:rPr>
        <w:t>(Zip Code)</w:t>
      </w:r>
    </w:p>
    <w:p>
      <w:pPr>
        <w:spacing w:after="0" w:line="200" w:lineRule="exact"/>
        <w:rPr>
          <w:sz w:val="24"/>
          <w:szCs w:val="24"/>
          <w:color w:val="auto"/>
        </w:rPr>
      </w:pPr>
    </w:p>
    <w:p>
      <w:pPr>
        <w:spacing w:after="0" w:line="324"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(540) 629-6000</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Indicate by</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check mark</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whether the</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Registrant (1)</w:t>
            </w:r>
          </w:p>
        </w:tc>
        <w:tc>
          <w:tcPr>
            <w:tcW w:w="27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has filed all reports required</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to be filed</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by Section</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13 or</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15(d)</w:t>
            </w:r>
          </w:p>
        </w:tc>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of the Securities</w:t>
            </w:r>
          </w:p>
        </w:tc>
        <w:tc>
          <w:tcPr>
            <w:tcW w:w="2480" w:type="dxa"/>
            <w:vAlign w:val="bottom"/>
          </w:tcPr>
          <w:p>
            <w:pPr>
              <w:ind w:left="60"/>
              <w:spacing w:after="0"/>
              <w:rPr>
                <w:sz w:val="20"/>
                <w:szCs w:val="20"/>
                <w:color w:val="auto"/>
              </w:rPr>
            </w:pPr>
            <w:r>
              <w:rPr>
                <w:rFonts w:ascii="Courier New" w:cs="Courier New" w:eastAsia="Courier New" w:hAnsi="Courier New"/>
                <w:sz w:val="15"/>
                <w:szCs w:val="15"/>
                <w:color w:val="auto"/>
                <w:w w:val="98"/>
              </w:rPr>
              <w:t>Exchange Act of 1934 during</w:t>
            </w:r>
          </w:p>
        </w:tc>
      </w:tr>
      <w:tr>
        <w:trPr>
          <w:trHeight w:val="173"/>
        </w:trPr>
        <w:tc>
          <w:tcPr>
            <w:tcW w:w="2600" w:type="dxa"/>
            <w:vAlign w:val="bottom"/>
            <w:gridSpan w:val="3"/>
          </w:tcPr>
          <w:p>
            <w:pPr>
              <w:spacing w:after="0"/>
              <w:rPr>
                <w:sz w:val="20"/>
                <w:szCs w:val="20"/>
                <w:color w:val="auto"/>
              </w:rPr>
            </w:pPr>
            <w:r>
              <w:rPr>
                <w:rFonts w:ascii="Courier New" w:cs="Courier New" w:eastAsia="Courier New" w:hAnsi="Courier New"/>
                <w:sz w:val="15"/>
                <w:szCs w:val="15"/>
                <w:color w:val="auto"/>
              </w:rPr>
              <w:t>the preceding 12 months, and</w:t>
            </w:r>
          </w:p>
        </w:tc>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(2) has been subject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480" w:type="dxa"/>
            <w:vAlign w:val="bottom"/>
          </w:tcPr>
          <w:p>
            <w:pPr>
              <w:ind w:left="60"/>
              <w:spacing w:after="0"/>
              <w:rPr>
                <w:sz w:val="20"/>
                <w:szCs w:val="20"/>
                <w:color w:val="auto"/>
              </w:rPr>
            </w:pPr>
            <w:r>
              <w:rPr>
                <w:rFonts w:ascii="Courier New" w:cs="Courier New" w:eastAsia="Courier New" w:hAnsi="Courier New"/>
                <w:sz w:val="15"/>
                <w:szCs w:val="15"/>
                <w:color w:val="auto"/>
              </w:rPr>
              <w:t>such filing requirements</w:t>
            </w:r>
          </w:p>
        </w:tc>
      </w:tr>
      <w:tr>
        <w:trPr>
          <w:trHeight w:val="173"/>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for the past 90 days.</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Yes  X</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w w:val="88"/>
              </w:rPr>
              <w:t>No</w:t>
            </w:r>
          </w:p>
        </w:tc>
        <w:tc>
          <w:tcPr>
            <w:tcW w:w="13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173"/>
        </w:trPr>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2480" w:type="dxa"/>
            <w:vAlign w:val="bottom"/>
          </w:tcPr>
          <w:p>
            <w:pPr>
              <w:spacing w:after="0"/>
              <w:rPr>
                <w:sz w:val="15"/>
                <w:szCs w:val="15"/>
                <w:color w:val="auto"/>
              </w:rPr>
            </w:pPr>
          </w:p>
        </w:tc>
      </w:tr>
    </w:tbl>
    <w:p>
      <w:pPr>
        <w:spacing w:after="0" w:line="178" w:lineRule="exact"/>
        <w:rPr>
          <w:sz w:val="24"/>
          <w:szCs w:val="24"/>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At February 29, 1996, 13,580,253 shares of common stock of the Registrant were outstanding.</w:t>
      </w:r>
    </w:p>
    <w:p>
      <w:pPr>
        <w:spacing w:after="0" w:line="349" w:lineRule="exact"/>
        <w:rPr>
          <w:sz w:val="24"/>
          <w:szCs w:val="24"/>
          <w:color w:val="auto"/>
        </w:rPr>
      </w:pPr>
    </w:p>
    <w:p>
      <w:pPr>
        <w:ind w:left="3060"/>
        <w:spacing w:after="0"/>
        <w:rPr>
          <w:sz w:val="20"/>
          <w:szCs w:val="20"/>
          <w:color w:val="auto"/>
        </w:rPr>
      </w:pPr>
      <w:r>
        <w:rPr>
          <w:rFonts w:ascii="Courier New" w:cs="Courier New" w:eastAsia="Courier New" w:hAnsi="Courier New"/>
          <w:sz w:val="15"/>
          <w:szCs w:val="15"/>
          <w:color w:val="auto"/>
        </w:rPr>
        <w:t>Page 1 of 8</w:t>
      </w:r>
    </w:p>
    <w:p>
      <w:pPr>
        <w:sectPr>
          <w:pgSz w:w="11900" w:h="16838" w:orient="portrait"/>
          <w:cols w:equalWidth="0" w:num="1">
            <w:col w:w="10219"/>
          </w:cols>
          <w:pgMar w:left="240" w:top="233"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3"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5"/>
          <w:szCs w:val="15"/>
          <w:color w:val="auto"/>
        </w:rPr>
        <w:t>PART I - FINANCIAL INFORMATION</w:t>
      </w:r>
    </w:p>
    <w:p>
      <w:pPr>
        <w:spacing w:after="0" w:line="3"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60" w:type="dxa"/>
            <w:vAlign w:val="bottom"/>
            <w:gridSpan w:val="2"/>
          </w:tcPr>
          <w:p>
            <w:pPr>
              <w:jc w:val="right"/>
              <w:ind w:right="1065"/>
              <w:spacing w:after="0"/>
              <w:rPr>
                <w:sz w:val="20"/>
                <w:szCs w:val="20"/>
                <w:color w:val="auto"/>
              </w:rPr>
            </w:pPr>
            <w:r>
              <w:rPr>
                <w:rFonts w:ascii="Courier New" w:cs="Courier New" w:eastAsia="Courier New" w:hAnsi="Courier New"/>
                <w:sz w:val="15"/>
                <w:szCs w:val="15"/>
                <w:color w:val="auto"/>
              </w:rPr>
              <w:t>CONDENSED CONSOLIDATED STATEMENT OF INCOME AND RETAINED EARNINGS - UNAUDITED</w:t>
            </w:r>
          </w:p>
        </w:tc>
        <w:tc>
          <w:tcPr>
            <w:tcW w:w="2300" w:type="dxa"/>
            <w:vAlign w:val="bottom"/>
          </w:tcPr>
          <w:p>
            <w:pPr>
              <w:spacing w:after="0"/>
              <w:rPr>
                <w:sz w:val="14"/>
                <w:szCs w:val="14"/>
                <w:color w:val="auto"/>
              </w:rPr>
            </w:pPr>
          </w:p>
        </w:tc>
      </w:tr>
      <w:tr>
        <w:trPr>
          <w:trHeight w:val="867"/>
        </w:trPr>
        <w:tc>
          <w:tcPr>
            <w:tcW w:w="5080" w:type="dxa"/>
            <w:vAlign w:val="bottom"/>
          </w:tcPr>
          <w:p>
            <w:pPr>
              <w:spacing w:after="0"/>
              <w:rPr>
                <w:sz w:val="24"/>
                <w:szCs w:val="24"/>
                <w:color w:val="auto"/>
              </w:rPr>
            </w:pPr>
          </w:p>
        </w:tc>
        <w:tc>
          <w:tcPr>
            <w:tcW w:w="5380" w:type="dxa"/>
            <w:vAlign w:val="bottom"/>
            <w:gridSpan w:val="2"/>
          </w:tcPr>
          <w:p>
            <w:pPr>
              <w:jc w:val="right"/>
              <w:ind w:right="845"/>
              <w:spacing w:after="0"/>
              <w:rPr>
                <w:sz w:val="20"/>
                <w:szCs w:val="20"/>
                <w:color w:val="auto"/>
              </w:rPr>
            </w:pPr>
            <w:r>
              <w:rPr>
                <w:rFonts w:ascii="Courier New" w:cs="Courier New" w:eastAsia="Courier New" w:hAnsi="Courier New"/>
                <w:sz w:val="15"/>
                <w:szCs w:val="15"/>
                <w:color w:val="auto"/>
              </w:rPr>
              <w:t>THREE MONTHS ENDED FEBRUARY 29 (28),</w:t>
            </w:r>
          </w:p>
        </w:tc>
      </w:tr>
      <w:tr>
        <w:trPr>
          <w:trHeight w:val="173"/>
        </w:trPr>
        <w:tc>
          <w:tcPr>
            <w:tcW w:w="5080" w:type="dxa"/>
            <w:vAlign w:val="bottom"/>
          </w:tcPr>
          <w:p>
            <w:pPr>
              <w:spacing w:after="0"/>
              <w:rPr>
                <w:sz w:val="15"/>
                <w:szCs w:val="15"/>
                <w:color w:val="auto"/>
              </w:rPr>
            </w:pPr>
          </w:p>
        </w:tc>
        <w:tc>
          <w:tcPr>
            <w:tcW w:w="5380" w:type="dxa"/>
            <w:vAlign w:val="bottom"/>
            <w:gridSpan w:val="2"/>
          </w:tcPr>
          <w:p>
            <w:pPr>
              <w:jc w:val="right"/>
              <w:ind w:right="845"/>
              <w:spacing w:after="0"/>
              <w:rPr>
                <w:sz w:val="20"/>
                <w:szCs w:val="20"/>
                <w:color w:val="auto"/>
              </w:rPr>
            </w:pPr>
            <w:r>
              <w:rPr>
                <w:rFonts w:ascii="Courier New" w:cs="Courier New" w:eastAsia="Courier New" w:hAnsi="Courier New"/>
                <w:sz w:val="15"/>
                <w:szCs w:val="15"/>
                <w:color w:val="auto"/>
              </w:rPr>
              <w:t>------------------------------------</w:t>
            </w:r>
          </w:p>
        </w:tc>
      </w:tr>
      <w:tr>
        <w:trPr>
          <w:trHeight w:val="173"/>
        </w:trPr>
        <w:tc>
          <w:tcPr>
            <w:tcW w:w="5080" w:type="dxa"/>
            <w:vAlign w:val="bottom"/>
          </w:tcPr>
          <w:p>
            <w:pPr>
              <w:spacing w:after="0"/>
              <w:rPr>
                <w:sz w:val="15"/>
                <w:szCs w:val="15"/>
                <w:color w:val="auto"/>
              </w:rPr>
            </w:pPr>
          </w:p>
        </w:tc>
        <w:tc>
          <w:tcPr>
            <w:tcW w:w="3080" w:type="dxa"/>
            <w:vAlign w:val="bottom"/>
          </w:tcPr>
          <w:p>
            <w:pPr>
              <w:ind w:left="860"/>
              <w:spacing w:after="0"/>
              <w:rPr>
                <w:sz w:val="20"/>
                <w:szCs w:val="20"/>
                <w:color w:val="auto"/>
              </w:rPr>
            </w:pPr>
            <w:r>
              <w:rPr>
                <w:rFonts w:ascii="Courier New" w:cs="Courier New" w:eastAsia="Courier New" w:hAnsi="Courier New"/>
                <w:sz w:val="15"/>
                <w:szCs w:val="15"/>
                <w:color w:val="auto"/>
              </w:rPr>
              <w:t>1996</w:t>
            </w:r>
          </w:p>
        </w:tc>
        <w:tc>
          <w:tcPr>
            <w:tcW w:w="230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5080" w:type="dxa"/>
            <w:vAlign w:val="bottom"/>
          </w:tcPr>
          <w:p>
            <w:pPr>
              <w:spacing w:after="0"/>
              <w:rPr>
                <w:sz w:val="15"/>
                <w:szCs w:val="15"/>
                <w:color w:val="auto"/>
              </w:rPr>
            </w:pPr>
          </w:p>
        </w:tc>
        <w:tc>
          <w:tcPr>
            <w:tcW w:w="3080" w:type="dxa"/>
            <w:vAlign w:val="bottom"/>
          </w:tcPr>
          <w:p>
            <w:pPr>
              <w:ind w:left="860"/>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r>
        <w:trPr>
          <w:trHeight w:val="347"/>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080" w:type="dxa"/>
            <w:vAlign w:val="bottom"/>
          </w:tcPr>
          <w:p>
            <w:pPr>
              <w:jc w:val="right"/>
              <w:ind w:right="1425"/>
              <w:spacing w:after="0"/>
              <w:rPr>
                <w:sz w:val="20"/>
                <w:szCs w:val="20"/>
                <w:color w:val="auto"/>
              </w:rPr>
            </w:pPr>
            <w:r>
              <w:rPr>
                <w:rFonts w:ascii="Courier New" w:cs="Courier New" w:eastAsia="Courier New" w:hAnsi="Courier New"/>
                <w:sz w:val="15"/>
                <w:szCs w:val="15"/>
                <w:color w:val="auto"/>
              </w:rPr>
              <w:t>$111,951,020</w:t>
            </w:r>
          </w:p>
        </w:tc>
        <w:tc>
          <w:tcPr>
            <w:tcW w:w="2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$123,550,551</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308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73"/>
        </w:trPr>
        <w:tc>
          <w:tcPr>
            <w:tcW w:w="5080" w:type="dxa"/>
            <w:vAlign w:val="bottom"/>
          </w:tcPr>
          <w:p>
            <w:pPr>
              <w:ind w:left="360"/>
              <w:spacing w:after="0"/>
              <w:rPr>
                <w:sz w:val="20"/>
                <w:szCs w:val="20"/>
                <w:color w:val="auto"/>
              </w:rPr>
            </w:pPr>
            <w:r>
              <w:rPr>
                <w:rFonts w:ascii="Courier New" w:cs="Courier New" w:eastAsia="Courier New" w:hAnsi="Courier New"/>
                <w:sz w:val="15"/>
                <w:szCs w:val="15"/>
                <w:color w:val="auto"/>
              </w:rPr>
              <w:t>Cost of sales</w:t>
            </w:r>
          </w:p>
        </w:tc>
        <w:tc>
          <w:tcPr>
            <w:tcW w:w="3080" w:type="dxa"/>
            <w:vAlign w:val="bottom"/>
          </w:tcPr>
          <w:p>
            <w:pPr>
              <w:jc w:val="right"/>
              <w:ind w:right="1425"/>
              <w:spacing w:after="0"/>
              <w:rPr>
                <w:sz w:val="20"/>
                <w:szCs w:val="20"/>
                <w:color w:val="auto"/>
              </w:rPr>
            </w:pPr>
            <w:r>
              <w:rPr>
                <w:rFonts w:ascii="Courier New" w:cs="Courier New" w:eastAsia="Courier New" w:hAnsi="Courier New"/>
                <w:sz w:val="15"/>
                <w:szCs w:val="15"/>
                <w:color w:val="auto"/>
              </w:rPr>
              <w:t>94,183,120</w:t>
            </w:r>
          </w:p>
        </w:tc>
        <w:tc>
          <w:tcPr>
            <w:tcW w:w="2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102,928,562</w:t>
            </w:r>
          </w:p>
        </w:tc>
      </w:tr>
      <w:tr>
        <w:trPr>
          <w:trHeight w:val="173"/>
        </w:trPr>
        <w:tc>
          <w:tcPr>
            <w:tcW w:w="5080" w:type="dxa"/>
            <w:vAlign w:val="bottom"/>
          </w:tcPr>
          <w:p>
            <w:pPr>
              <w:ind w:left="360"/>
              <w:spacing w:after="0"/>
              <w:rPr>
                <w:sz w:val="20"/>
                <w:szCs w:val="20"/>
                <w:color w:val="auto"/>
              </w:rPr>
            </w:pPr>
            <w:r>
              <w:rPr>
                <w:rFonts w:ascii="Courier New" w:cs="Courier New" w:eastAsia="Courier New" w:hAnsi="Courier New"/>
                <w:sz w:val="15"/>
                <w:szCs w:val="15"/>
                <w:color w:val="auto"/>
              </w:rPr>
              <w:t>Selling, general and administrative</w:t>
            </w:r>
          </w:p>
        </w:tc>
        <w:tc>
          <w:tcPr>
            <w:tcW w:w="3080" w:type="dxa"/>
            <w:vAlign w:val="bottom"/>
          </w:tcPr>
          <w:p>
            <w:pPr>
              <w:jc w:val="right"/>
              <w:ind w:right="1425"/>
              <w:spacing w:after="0"/>
              <w:rPr>
                <w:sz w:val="20"/>
                <w:szCs w:val="20"/>
                <w:color w:val="auto"/>
              </w:rPr>
            </w:pPr>
            <w:r>
              <w:rPr>
                <w:rFonts w:ascii="Courier New" w:cs="Courier New" w:eastAsia="Courier New" w:hAnsi="Courier New"/>
                <w:sz w:val="15"/>
                <w:szCs w:val="15"/>
                <w:color w:val="auto"/>
              </w:rPr>
              <w:t>15,487,133</w:t>
            </w:r>
          </w:p>
        </w:tc>
        <w:tc>
          <w:tcPr>
            <w:tcW w:w="2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16,016,344</w:t>
            </w:r>
          </w:p>
        </w:tc>
      </w:tr>
      <w:tr>
        <w:trPr>
          <w:trHeight w:val="173"/>
        </w:trPr>
        <w:tc>
          <w:tcPr>
            <w:tcW w:w="5080" w:type="dxa"/>
            <w:vAlign w:val="bottom"/>
          </w:tcPr>
          <w:p>
            <w:pPr>
              <w:spacing w:after="0"/>
              <w:rPr>
                <w:sz w:val="15"/>
                <w:szCs w:val="15"/>
                <w:color w:val="auto"/>
              </w:rPr>
            </w:pPr>
          </w:p>
        </w:tc>
        <w:tc>
          <w:tcPr>
            <w:tcW w:w="3080" w:type="dxa"/>
            <w:vAlign w:val="bottom"/>
          </w:tcPr>
          <w:p>
            <w:pPr>
              <w:jc w:val="right"/>
              <w:ind w:right="1425"/>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80" w:type="dxa"/>
            <w:vAlign w:val="bottom"/>
          </w:tcPr>
          <w:p>
            <w:pPr>
              <w:spacing w:after="0"/>
              <w:rPr>
                <w:sz w:val="15"/>
                <w:szCs w:val="15"/>
                <w:color w:val="auto"/>
              </w:rPr>
            </w:pPr>
          </w:p>
        </w:tc>
        <w:tc>
          <w:tcPr>
            <w:tcW w:w="3080" w:type="dxa"/>
            <w:vAlign w:val="bottom"/>
          </w:tcPr>
          <w:p>
            <w:pPr>
              <w:jc w:val="right"/>
              <w:ind w:right="1425"/>
              <w:spacing w:after="0"/>
              <w:rPr>
                <w:sz w:val="20"/>
                <w:szCs w:val="20"/>
                <w:color w:val="auto"/>
              </w:rPr>
            </w:pPr>
            <w:r>
              <w:rPr>
                <w:rFonts w:ascii="Courier New" w:cs="Courier New" w:eastAsia="Courier New" w:hAnsi="Courier New"/>
                <w:sz w:val="15"/>
                <w:szCs w:val="15"/>
                <w:color w:val="auto"/>
              </w:rPr>
              <w:t>109,670,253</w:t>
            </w:r>
          </w:p>
        </w:tc>
        <w:tc>
          <w:tcPr>
            <w:tcW w:w="2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118,944,906</w:t>
            </w:r>
          </w:p>
        </w:tc>
      </w:tr>
      <w:tr>
        <w:trPr>
          <w:trHeight w:val="173"/>
        </w:trPr>
        <w:tc>
          <w:tcPr>
            <w:tcW w:w="5080" w:type="dxa"/>
            <w:vAlign w:val="bottom"/>
          </w:tcPr>
          <w:p>
            <w:pPr>
              <w:spacing w:after="0"/>
              <w:rPr>
                <w:sz w:val="15"/>
                <w:szCs w:val="15"/>
                <w:color w:val="auto"/>
              </w:rPr>
            </w:pPr>
          </w:p>
        </w:tc>
        <w:tc>
          <w:tcPr>
            <w:tcW w:w="3080" w:type="dxa"/>
            <w:vAlign w:val="bottom"/>
          </w:tcPr>
          <w:p>
            <w:pPr>
              <w:jc w:val="right"/>
              <w:ind w:right="1425"/>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0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Income from operations</w:t>
            </w:r>
          </w:p>
        </w:tc>
        <w:tc>
          <w:tcPr>
            <w:tcW w:w="3080" w:type="dxa"/>
            <w:vAlign w:val="bottom"/>
          </w:tcPr>
          <w:p>
            <w:pPr>
              <w:jc w:val="right"/>
              <w:ind w:right="1425"/>
              <w:spacing w:after="0"/>
              <w:rPr>
                <w:sz w:val="20"/>
                <w:szCs w:val="20"/>
                <w:color w:val="auto"/>
              </w:rPr>
            </w:pPr>
            <w:r>
              <w:rPr>
                <w:rFonts w:ascii="Courier New" w:cs="Courier New" w:eastAsia="Courier New" w:hAnsi="Courier New"/>
                <w:sz w:val="15"/>
                <w:szCs w:val="15"/>
                <w:color w:val="auto"/>
              </w:rPr>
              <w:t>2,280,767</w:t>
            </w:r>
          </w:p>
        </w:tc>
        <w:tc>
          <w:tcPr>
            <w:tcW w:w="2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4,605,645</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3080" w:type="dxa"/>
            <w:vAlign w:val="bottom"/>
          </w:tcPr>
          <w:p>
            <w:pPr>
              <w:jc w:val="right"/>
              <w:ind w:right="1425"/>
              <w:spacing w:after="0"/>
              <w:rPr>
                <w:sz w:val="20"/>
                <w:szCs w:val="20"/>
                <w:color w:val="auto"/>
              </w:rPr>
            </w:pPr>
            <w:r>
              <w:rPr>
                <w:rFonts w:ascii="Courier New" w:cs="Courier New" w:eastAsia="Courier New" w:hAnsi="Courier New"/>
                <w:sz w:val="15"/>
                <w:szCs w:val="15"/>
                <w:color w:val="auto"/>
              </w:rPr>
              <w:t>4,043,194</w:t>
            </w:r>
          </w:p>
        </w:tc>
        <w:tc>
          <w:tcPr>
            <w:tcW w:w="2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2,313,201</w:t>
            </w:r>
          </w:p>
        </w:tc>
      </w:tr>
      <w:tr>
        <w:trPr>
          <w:trHeight w:val="173"/>
        </w:trPr>
        <w:tc>
          <w:tcPr>
            <w:tcW w:w="5080" w:type="dxa"/>
            <w:vAlign w:val="bottom"/>
          </w:tcPr>
          <w:p>
            <w:pPr>
              <w:spacing w:after="0"/>
              <w:rPr>
                <w:sz w:val="15"/>
                <w:szCs w:val="15"/>
                <w:color w:val="auto"/>
              </w:rPr>
            </w:pPr>
          </w:p>
        </w:tc>
        <w:tc>
          <w:tcPr>
            <w:tcW w:w="3080" w:type="dxa"/>
            <w:vAlign w:val="bottom"/>
          </w:tcPr>
          <w:p>
            <w:pPr>
              <w:jc w:val="right"/>
              <w:ind w:right="1425"/>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0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Income before income taxes</w:t>
            </w:r>
          </w:p>
        </w:tc>
        <w:tc>
          <w:tcPr>
            <w:tcW w:w="3080" w:type="dxa"/>
            <w:vAlign w:val="bottom"/>
          </w:tcPr>
          <w:p>
            <w:pPr>
              <w:jc w:val="right"/>
              <w:ind w:right="1425"/>
              <w:spacing w:after="0"/>
              <w:rPr>
                <w:sz w:val="20"/>
                <w:szCs w:val="20"/>
                <w:color w:val="auto"/>
              </w:rPr>
            </w:pPr>
            <w:r>
              <w:rPr>
                <w:rFonts w:ascii="Courier New" w:cs="Courier New" w:eastAsia="Courier New" w:hAnsi="Courier New"/>
                <w:sz w:val="15"/>
                <w:szCs w:val="15"/>
                <w:color w:val="auto"/>
              </w:rPr>
              <w:t>6,323,961</w:t>
            </w:r>
          </w:p>
        </w:tc>
        <w:tc>
          <w:tcPr>
            <w:tcW w:w="2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6,918,846</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080" w:type="dxa"/>
            <w:vAlign w:val="bottom"/>
          </w:tcPr>
          <w:p>
            <w:pPr>
              <w:jc w:val="right"/>
              <w:ind w:right="1425"/>
              <w:spacing w:after="0"/>
              <w:rPr>
                <w:sz w:val="20"/>
                <w:szCs w:val="20"/>
                <w:color w:val="auto"/>
              </w:rPr>
            </w:pPr>
            <w:r>
              <w:rPr>
                <w:rFonts w:ascii="Courier New" w:cs="Courier New" w:eastAsia="Courier New" w:hAnsi="Courier New"/>
                <w:sz w:val="15"/>
                <w:szCs w:val="15"/>
                <w:color w:val="auto"/>
              </w:rPr>
              <w:t>1,610,000</w:t>
            </w:r>
          </w:p>
        </w:tc>
        <w:tc>
          <w:tcPr>
            <w:tcW w:w="2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2,022,500</w:t>
            </w:r>
          </w:p>
        </w:tc>
      </w:tr>
      <w:tr>
        <w:trPr>
          <w:trHeight w:val="173"/>
        </w:trPr>
        <w:tc>
          <w:tcPr>
            <w:tcW w:w="5080" w:type="dxa"/>
            <w:vAlign w:val="bottom"/>
          </w:tcPr>
          <w:p>
            <w:pPr>
              <w:spacing w:after="0"/>
              <w:rPr>
                <w:sz w:val="15"/>
                <w:szCs w:val="15"/>
                <w:color w:val="auto"/>
              </w:rPr>
            </w:pPr>
          </w:p>
        </w:tc>
        <w:tc>
          <w:tcPr>
            <w:tcW w:w="3080" w:type="dxa"/>
            <w:vAlign w:val="bottom"/>
          </w:tcPr>
          <w:p>
            <w:pPr>
              <w:jc w:val="right"/>
              <w:ind w:right="1425"/>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50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NET INCOME</w:t>
            </w:r>
          </w:p>
        </w:tc>
        <w:tc>
          <w:tcPr>
            <w:tcW w:w="3080" w:type="dxa"/>
            <w:vAlign w:val="bottom"/>
          </w:tcPr>
          <w:p>
            <w:pPr>
              <w:jc w:val="right"/>
              <w:ind w:right="1425"/>
              <w:spacing w:after="0"/>
              <w:rPr>
                <w:sz w:val="20"/>
                <w:szCs w:val="20"/>
                <w:color w:val="auto"/>
              </w:rPr>
            </w:pPr>
            <w:r>
              <w:rPr>
                <w:rFonts w:ascii="Courier New" w:cs="Courier New" w:eastAsia="Courier New" w:hAnsi="Courier New"/>
                <w:sz w:val="15"/>
                <w:szCs w:val="15"/>
                <w:color w:val="auto"/>
              </w:rPr>
              <w:t>4,713,961</w:t>
            </w:r>
          </w:p>
        </w:tc>
        <w:tc>
          <w:tcPr>
            <w:tcW w:w="2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4,896,346</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Retained earnings - beginning of period</w:t>
            </w:r>
          </w:p>
        </w:tc>
        <w:tc>
          <w:tcPr>
            <w:tcW w:w="3080" w:type="dxa"/>
            <w:vAlign w:val="bottom"/>
          </w:tcPr>
          <w:p>
            <w:pPr>
              <w:jc w:val="right"/>
              <w:ind w:right="1425"/>
              <w:spacing w:after="0"/>
              <w:rPr>
                <w:sz w:val="20"/>
                <w:szCs w:val="20"/>
                <w:color w:val="auto"/>
              </w:rPr>
            </w:pPr>
            <w:r>
              <w:rPr>
                <w:rFonts w:ascii="Courier New" w:cs="Courier New" w:eastAsia="Courier New" w:hAnsi="Courier New"/>
                <w:sz w:val="15"/>
                <w:szCs w:val="15"/>
                <w:color w:val="auto"/>
              </w:rPr>
              <w:t>225,718,704</w:t>
            </w:r>
          </w:p>
        </w:tc>
        <w:tc>
          <w:tcPr>
            <w:tcW w:w="2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221,949,817</w:t>
            </w:r>
          </w:p>
        </w:tc>
      </w:tr>
      <w:tr>
        <w:trPr>
          <w:trHeight w:val="173"/>
        </w:trPr>
        <w:tc>
          <w:tcPr>
            <w:tcW w:w="5080" w:type="dxa"/>
            <w:vAlign w:val="bottom"/>
          </w:tcPr>
          <w:p>
            <w:pPr>
              <w:spacing w:after="0"/>
              <w:rPr>
                <w:sz w:val="15"/>
                <w:szCs w:val="15"/>
                <w:color w:val="auto"/>
              </w:rPr>
            </w:pPr>
          </w:p>
        </w:tc>
        <w:tc>
          <w:tcPr>
            <w:tcW w:w="3080" w:type="dxa"/>
            <w:vAlign w:val="bottom"/>
          </w:tcPr>
          <w:p>
            <w:pPr>
              <w:jc w:val="right"/>
              <w:ind w:right="1425"/>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80" w:type="dxa"/>
            <w:vAlign w:val="bottom"/>
          </w:tcPr>
          <w:p>
            <w:pPr>
              <w:spacing w:after="0"/>
              <w:rPr>
                <w:sz w:val="15"/>
                <w:szCs w:val="15"/>
                <w:color w:val="auto"/>
              </w:rPr>
            </w:pPr>
          </w:p>
        </w:tc>
        <w:tc>
          <w:tcPr>
            <w:tcW w:w="3080" w:type="dxa"/>
            <w:vAlign w:val="bottom"/>
          </w:tcPr>
          <w:p>
            <w:pPr>
              <w:jc w:val="right"/>
              <w:ind w:right="1425"/>
              <w:spacing w:after="0"/>
              <w:rPr>
                <w:sz w:val="20"/>
                <w:szCs w:val="20"/>
                <w:color w:val="auto"/>
              </w:rPr>
            </w:pPr>
            <w:r>
              <w:rPr>
                <w:rFonts w:ascii="Courier New" w:cs="Courier New" w:eastAsia="Courier New" w:hAnsi="Courier New"/>
                <w:sz w:val="15"/>
                <w:szCs w:val="15"/>
                <w:color w:val="auto"/>
              </w:rPr>
              <w:t>230,432,665</w:t>
            </w:r>
          </w:p>
        </w:tc>
        <w:tc>
          <w:tcPr>
            <w:tcW w:w="2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226,846,163</w:t>
            </w:r>
          </w:p>
        </w:tc>
      </w:tr>
      <w:tr>
        <w:trPr>
          <w:trHeight w:val="173"/>
        </w:trPr>
        <w:tc>
          <w:tcPr>
            <w:tcW w:w="5080" w:type="dxa"/>
            <w:vAlign w:val="bottom"/>
          </w:tcPr>
          <w:p>
            <w:pPr>
              <w:ind w:left="360"/>
              <w:spacing w:after="0"/>
              <w:rPr>
                <w:sz w:val="20"/>
                <w:szCs w:val="20"/>
                <w:color w:val="auto"/>
              </w:rPr>
            </w:pPr>
            <w:r>
              <w:rPr>
                <w:rFonts w:ascii="Courier New" w:cs="Courier New" w:eastAsia="Courier New" w:hAnsi="Courier New"/>
                <w:sz w:val="15"/>
                <w:szCs w:val="15"/>
                <w:color w:val="auto"/>
              </w:rPr>
              <w:t>Cash dividends</w:t>
            </w:r>
          </w:p>
        </w:tc>
        <w:tc>
          <w:tcPr>
            <w:tcW w:w="3080" w:type="dxa"/>
            <w:vAlign w:val="bottom"/>
          </w:tcPr>
          <w:p>
            <w:pPr>
              <w:jc w:val="right"/>
              <w:ind w:right="1325"/>
              <w:spacing w:after="0"/>
              <w:rPr>
                <w:sz w:val="20"/>
                <w:szCs w:val="20"/>
                <w:color w:val="auto"/>
              </w:rPr>
            </w:pPr>
            <w:r>
              <w:rPr>
                <w:rFonts w:ascii="Courier New" w:cs="Courier New" w:eastAsia="Courier New" w:hAnsi="Courier New"/>
                <w:sz w:val="15"/>
                <w:szCs w:val="15"/>
                <w:color w:val="auto"/>
              </w:rPr>
              <w:t>(2,716,550)</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(2,817,363)</w:t>
            </w:r>
          </w:p>
        </w:tc>
      </w:tr>
      <w:tr>
        <w:trPr>
          <w:trHeight w:val="173"/>
        </w:trPr>
        <w:tc>
          <w:tcPr>
            <w:tcW w:w="5080" w:type="dxa"/>
            <w:vAlign w:val="bottom"/>
          </w:tcPr>
          <w:p>
            <w:pPr>
              <w:ind w:left="360"/>
              <w:spacing w:after="0"/>
              <w:rPr>
                <w:sz w:val="20"/>
                <w:szCs w:val="20"/>
                <w:color w:val="auto"/>
              </w:rPr>
            </w:pPr>
            <w:r>
              <w:rPr>
                <w:rFonts w:ascii="Courier New" w:cs="Courier New" w:eastAsia="Courier New" w:hAnsi="Courier New"/>
                <w:sz w:val="15"/>
                <w:szCs w:val="15"/>
                <w:color w:val="auto"/>
              </w:rPr>
              <w:t>Purchase and retirement of common stock</w:t>
            </w:r>
          </w:p>
        </w:tc>
        <w:tc>
          <w:tcPr>
            <w:tcW w:w="3080" w:type="dxa"/>
            <w:vAlign w:val="bottom"/>
          </w:tcPr>
          <w:p>
            <w:pPr>
              <w:jc w:val="right"/>
              <w:ind w:right="1325"/>
              <w:spacing w:after="0"/>
              <w:rPr>
                <w:sz w:val="20"/>
                <w:szCs w:val="20"/>
                <w:color w:val="auto"/>
              </w:rPr>
            </w:pPr>
            <w:r>
              <w:rPr>
                <w:rFonts w:ascii="Courier New" w:cs="Courier New" w:eastAsia="Courier New" w:hAnsi="Courier New"/>
                <w:sz w:val="15"/>
                <w:szCs w:val="15"/>
                <w:color w:val="auto"/>
              </w:rPr>
              <w:t>(1,428,396)</w:t>
            </w:r>
          </w:p>
        </w:tc>
        <w:tc>
          <w:tcPr>
            <w:tcW w:w="2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r>
      <w:tr>
        <w:trPr>
          <w:trHeight w:val="173"/>
        </w:trPr>
        <w:tc>
          <w:tcPr>
            <w:tcW w:w="5080" w:type="dxa"/>
            <w:vAlign w:val="bottom"/>
          </w:tcPr>
          <w:p>
            <w:pPr>
              <w:spacing w:after="0"/>
              <w:rPr>
                <w:sz w:val="15"/>
                <w:szCs w:val="15"/>
                <w:color w:val="auto"/>
              </w:rPr>
            </w:pPr>
          </w:p>
        </w:tc>
        <w:tc>
          <w:tcPr>
            <w:tcW w:w="3080" w:type="dxa"/>
            <w:vAlign w:val="bottom"/>
          </w:tcPr>
          <w:p>
            <w:pPr>
              <w:jc w:val="right"/>
              <w:ind w:right="1425"/>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Retained earnings - end of period</w:t>
            </w:r>
          </w:p>
        </w:tc>
        <w:tc>
          <w:tcPr>
            <w:tcW w:w="3080" w:type="dxa"/>
            <w:vAlign w:val="bottom"/>
          </w:tcPr>
          <w:p>
            <w:pPr>
              <w:jc w:val="right"/>
              <w:ind w:right="1425"/>
              <w:spacing w:after="0"/>
              <w:rPr>
                <w:sz w:val="20"/>
                <w:szCs w:val="20"/>
                <w:color w:val="auto"/>
              </w:rPr>
            </w:pPr>
            <w:r>
              <w:rPr>
                <w:rFonts w:ascii="Courier New" w:cs="Courier New" w:eastAsia="Courier New" w:hAnsi="Courier New"/>
                <w:sz w:val="15"/>
                <w:szCs w:val="15"/>
                <w:color w:val="auto"/>
              </w:rPr>
              <w:t>$226,287,719</w:t>
            </w:r>
          </w:p>
        </w:tc>
        <w:tc>
          <w:tcPr>
            <w:tcW w:w="2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$224,028,800</w:t>
            </w:r>
          </w:p>
        </w:tc>
      </w:tr>
      <w:tr>
        <w:trPr>
          <w:trHeight w:val="173"/>
        </w:trPr>
        <w:tc>
          <w:tcPr>
            <w:tcW w:w="5080" w:type="dxa"/>
            <w:vAlign w:val="bottom"/>
          </w:tcPr>
          <w:p>
            <w:pPr>
              <w:spacing w:after="0"/>
              <w:rPr>
                <w:sz w:val="15"/>
                <w:szCs w:val="15"/>
                <w:color w:val="auto"/>
              </w:rPr>
            </w:pPr>
          </w:p>
        </w:tc>
        <w:tc>
          <w:tcPr>
            <w:tcW w:w="3080" w:type="dxa"/>
            <w:vAlign w:val="bottom"/>
          </w:tcPr>
          <w:p>
            <w:pPr>
              <w:jc w:val="right"/>
              <w:ind w:right="1425"/>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694"/>
        </w:trPr>
        <w:tc>
          <w:tcPr>
            <w:tcW w:w="5080" w:type="dxa"/>
            <w:vAlign w:val="bottom"/>
          </w:tcPr>
          <w:p>
            <w:pPr>
              <w:ind w:left="360"/>
              <w:spacing w:after="0"/>
              <w:rPr>
                <w:sz w:val="20"/>
                <w:szCs w:val="20"/>
                <w:color w:val="auto"/>
              </w:rPr>
            </w:pPr>
            <w:r>
              <w:rPr>
                <w:rFonts w:ascii="Courier New" w:cs="Courier New" w:eastAsia="Courier New" w:hAnsi="Courier New"/>
                <w:sz w:val="15"/>
                <w:szCs w:val="15"/>
                <w:color w:val="auto"/>
              </w:rPr>
              <w:t>NET INCOME PER SHARE</w:t>
            </w:r>
          </w:p>
        </w:tc>
        <w:tc>
          <w:tcPr>
            <w:tcW w:w="3080" w:type="dxa"/>
            <w:vAlign w:val="bottom"/>
          </w:tcPr>
          <w:p>
            <w:pPr>
              <w:ind w:left="860"/>
              <w:spacing w:after="0"/>
              <w:rPr>
                <w:sz w:val="20"/>
                <w:szCs w:val="20"/>
                <w:color w:val="auto"/>
              </w:rPr>
            </w:pPr>
            <w:r>
              <w:rPr>
                <w:rFonts w:ascii="Courier New" w:cs="Courier New" w:eastAsia="Courier New" w:hAnsi="Courier New"/>
                <w:sz w:val="15"/>
                <w:szCs w:val="15"/>
                <w:color w:val="auto"/>
              </w:rPr>
              <w:t>$ .35</w:t>
            </w:r>
          </w:p>
        </w:tc>
        <w:tc>
          <w:tcPr>
            <w:tcW w:w="230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 .35</w:t>
            </w:r>
          </w:p>
        </w:tc>
      </w:tr>
      <w:tr>
        <w:trPr>
          <w:trHeight w:val="173"/>
        </w:trPr>
        <w:tc>
          <w:tcPr>
            <w:tcW w:w="5080" w:type="dxa"/>
            <w:vAlign w:val="bottom"/>
          </w:tcPr>
          <w:p>
            <w:pPr>
              <w:spacing w:after="0"/>
              <w:rPr>
                <w:sz w:val="15"/>
                <w:szCs w:val="15"/>
                <w:color w:val="auto"/>
              </w:rPr>
            </w:pPr>
          </w:p>
        </w:tc>
        <w:tc>
          <w:tcPr>
            <w:tcW w:w="3080" w:type="dxa"/>
            <w:vAlign w:val="bottom"/>
          </w:tcPr>
          <w:p>
            <w:pPr>
              <w:ind w:left="860"/>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r>
        <w:trPr>
          <w:trHeight w:val="347"/>
        </w:trPr>
        <w:tc>
          <w:tcPr>
            <w:tcW w:w="5080" w:type="dxa"/>
            <w:vAlign w:val="bottom"/>
          </w:tcPr>
          <w:p>
            <w:pPr>
              <w:ind w:left="360"/>
              <w:spacing w:after="0"/>
              <w:rPr>
                <w:sz w:val="20"/>
                <w:szCs w:val="20"/>
                <w:color w:val="auto"/>
              </w:rPr>
            </w:pPr>
            <w:r>
              <w:rPr>
                <w:rFonts w:ascii="Courier New" w:cs="Courier New" w:eastAsia="Courier New" w:hAnsi="Courier New"/>
                <w:sz w:val="15"/>
                <w:szCs w:val="15"/>
                <w:color w:val="auto"/>
              </w:rPr>
              <w:t>DIVIDENDS PER SHARE</w:t>
            </w:r>
          </w:p>
        </w:tc>
        <w:tc>
          <w:tcPr>
            <w:tcW w:w="3080" w:type="dxa"/>
            <w:vAlign w:val="bottom"/>
          </w:tcPr>
          <w:p>
            <w:pPr>
              <w:ind w:left="860"/>
              <w:spacing w:after="0"/>
              <w:rPr>
                <w:sz w:val="20"/>
                <w:szCs w:val="20"/>
                <w:color w:val="auto"/>
              </w:rPr>
            </w:pPr>
            <w:r>
              <w:rPr>
                <w:rFonts w:ascii="Courier New" w:cs="Courier New" w:eastAsia="Courier New" w:hAnsi="Courier New"/>
                <w:sz w:val="15"/>
                <w:szCs w:val="15"/>
                <w:color w:val="auto"/>
              </w:rPr>
              <w:t>$ .20</w:t>
            </w:r>
          </w:p>
        </w:tc>
        <w:tc>
          <w:tcPr>
            <w:tcW w:w="230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 .20</w:t>
            </w:r>
          </w:p>
        </w:tc>
      </w:tr>
      <w:tr>
        <w:trPr>
          <w:trHeight w:val="173"/>
        </w:trPr>
        <w:tc>
          <w:tcPr>
            <w:tcW w:w="5080" w:type="dxa"/>
            <w:vAlign w:val="bottom"/>
          </w:tcPr>
          <w:p>
            <w:pPr>
              <w:spacing w:after="0"/>
              <w:rPr>
                <w:sz w:val="15"/>
                <w:szCs w:val="15"/>
                <w:color w:val="auto"/>
              </w:rPr>
            </w:pPr>
          </w:p>
        </w:tc>
        <w:tc>
          <w:tcPr>
            <w:tcW w:w="3080" w:type="dxa"/>
            <w:vAlign w:val="bottom"/>
          </w:tcPr>
          <w:p>
            <w:pPr>
              <w:ind w:left="860"/>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right="4340"/>
        <w:spacing w:after="0" w:line="243" w:lineRule="auto"/>
        <w:rPr>
          <w:sz w:val="20"/>
          <w:szCs w:val="20"/>
          <w:color w:val="auto"/>
        </w:rPr>
      </w:pPr>
      <w:r>
        <w:rPr>
          <w:rFonts w:ascii="Courier New" w:cs="Courier New" w:eastAsia="Courier New" w:hAnsi="Courier New"/>
          <w:sz w:val="15"/>
          <w:szCs w:val="15"/>
          <w:color w:val="auto"/>
        </w:rPr>
        <w:t>The accompanying note is an integral part of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Page 2 of 8</w:t>
      </w:r>
    </w:p>
    <w:p>
      <w:pPr>
        <w:sectPr>
          <w:pgSz w:w="11900" w:h="16838" w:orient="portrait"/>
          <w:cols w:equalWidth="0" w:num="1">
            <w:col w:w="10460"/>
          </w:cols>
          <w:pgMar w:left="240" w:top="291" w:right="1199"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tcPr>
          <w:p>
            <w:pPr>
              <w:ind w:left="1440"/>
              <w:spacing w:after="0"/>
              <w:rPr>
                <w:sz w:val="20"/>
                <w:szCs w:val="20"/>
                <w:color w:val="auto"/>
              </w:rPr>
            </w:pPr>
            <w:r>
              <w:rPr>
                <w:rFonts w:ascii="Courier New" w:cs="Courier New" w:eastAsia="Courier New" w:hAnsi="Courier New"/>
                <w:sz w:val="15"/>
                <w:szCs w:val="15"/>
                <w:color w:val="auto"/>
              </w:rPr>
              <w:t>CONDENSED CONSOLIDATED BALANCE SHEET - UNAUDITED</w:t>
            </w:r>
          </w:p>
        </w:tc>
        <w:tc>
          <w:tcPr>
            <w:tcW w:w="25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694"/>
        </w:trPr>
        <w:tc>
          <w:tcPr>
            <w:tcW w:w="60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5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FEBRUARY 29, 1996</w:t>
            </w:r>
          </w:p>
        </w:tc>
        <w:tc>
          <w:tcPr>
            <w:tcW w:w="2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NOVEMBER 30, 1995</w:t>
            </w:r>
          </w:p>
        </w:tc>
      </w:tr>
      <w:tr>
        <w:trPr>
          <w:trHeight w:val="173"/>
        </w:trPr>
        <w:tc>
          <w:tcPr>
            <w:tcW w:w="6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0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5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$ 65,344,100</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$ 51,331,119</w:t>
            </w: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Trade accounts receivable, less allowances</w:t>
            </w:r>
          </w:p>
        </w:tc>
        <w:tc>
          <w:tcPr>
            <w:tcW w:w="256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73"/>
        </w:trPr>
        <w:tc>
          <w:tcPr>
            <w:tcW w:w="6040" w:type="dxa"/>
            <w:vAlign w:val="bottom"/>
          </w:tcPr>
          <w:p>
            <w:pPr>
              <w:ind w:left="620"/>
              <w:spacing w:after="0"/>
              <w:rPr>
                <w:sz w:val="20"/>
                <w:szCs w:val="20"/>
                <w:color w:val="auto"/>
              </w:rPr>
            </w:pPr>
            <w:r>
              <w:rPr>
                <w:rFonts w:ascii="Courier New" w:cs="Courier New" w:eastAsia="Courier New" w:hAnsi="Courier New"/>
                <w:sz w:val="15"/>
                <w:szCs w:val="15"/>
                <w:color w:val="auto"/>
              </w:rPr>
              <w:t>for doubtful accounts and discounts</w:t>
            </w: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61,850,448</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68,591,514</w:t>
            </w: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Inventories:</w:t>
            </w:r>
          </w:p>
        </w:tc>
        <w:tc>
          <w:tcPr>
            <w:tcW w:w="256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73"/>
        </w:trPr>
        <w:tc>
          <w:tcPr>
            <w:tcW w:w="6040" w:type="dxa"/>
            <w:vAlign w:val="bottom"/>
          </w:tcPr>
          <w:p>
            <w:pPr>
              <w:ind w:left="620"/>
              <w:spacing w:after="0"/>
              <w:rPr>
                <w:sz w:val="20"/>
                <w:szCs w:val="20"/>
                <w:color w:val="auto"/>
              </w:rPr>
            </w:pPr>
            <w:r>
              <w:rPr>
                <w:rFonts w:ascii="Courier New" w:cs="Courier New" w:eastAsia="Courier New" w:hAnsi="Courier New"/>
                <w:sz w:val="15"/>
                <w:szCs w:val="15"/>
                <w:color w:val="auto"/>
              </w:rPr>
              <w:t>Finished goods</w:t>
            </w: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45,260,771</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46,490,589</w:t>
            </w:r>
          </w:p>
        </w:tc>
      </w:tr>
      <w:tr>
        <w:trPr>
          <w:trHeight w:val="173"/>
        </w:trPr>
        <w:tc>
          <w:tcPr>
            <w:tcW w:w="6040" w:type="dxa"/>
            <w:vAlign w:val="bottom"/>
          </w:tcPr>
          <w:p>
            <w:pPr>
              <w:ind w:left="620"/>
              <w:spacing w:after="0"/>
              <w:rPr>
                <w:sz w:val="20"/>
                <w:szCs w:val="20"/>
                <w:color w:val="auto"/>
              </w:rPr>
            </w:pPr>
            <w:r>
              <w:rPr>
                <w:rFonts w:ascii="Courier New" w:cs="Courier New" w:eastAsia="Courier New" w:hAnsi="Courier New"/>
                <w:sz w:val="15"/>
                <w:szCs w:val="15"/>
                <w:color w:val="auto"/>
              </w:rPr>
              <w:t>Work in process</w:t>
            </w: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15,569,363</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16,231,269</w:t>
            </w:r>
          </w:p>
        </w:tc>
      </w:tr>
      <w:tr>
        <w:trPr>
          <w:trHeight w:val="173"/>
        </w:trPr>
        <w:tc>
          <w:tcPr>
            <w:tcW w:w="6040" w:type="dxa"/>
            <w:vAlign w:val="bottom"/>
          </w:tcPr>
          <w:p>
            <w:pPr>
              <w:ind w:left="620"/>
              <w:spacing w:after="0"/>
              <w:rPr>
                <w:sz w:val="20"/>
                <w:szCs w:val="20"/>
                <w:color w:val="auto"/>
              </w:rPr>
            </w:pPr>
            <w:r>
              <w:rPr>
                <w:rFonts w:ascii="Courier New" w:cs="Courier New" w:eastAsia="Courier New" w:hAnsi="Courier New"/>
                <w:sz w:val="15"/>
                <w:szCs w:val="15"/>
                <w:color w:val="auto"/>
              </w:rPr>
              <w:t>Raw materials and supplies</w:t>
            </w: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42,603,793</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45,305,749</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103,433,927</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108,027,607</w:t>
            </w:r>
          </w:p>
        </w:tc>
      </w:tr>
      <w:tr>
        <w:trPr>
          <w:trHeight w:val="173"/>
        </w:trPr>
        <w:tc>
          <w:tcPr>
            <w:tcW w:w="6040" w:type="dxa"/>
            <w:vAlign w:val="bottom"/>
          </w:tcPr>
          <w:p>
            <w:pPr>
              <w:ind w:left="620"/>
              <w:spacing w:after="0"/>
              <w:rPr>
                <w:sz w:val="20"/>
                <w:szCs w:val="20"/>
                <w:color w:val="auto"/>
              </w:rPr>
            </w:pPr>
            <w:r>
              <w:rPr>
                <w:rFonts w:ascii="Courier New" w:cs="Courier New" w:eastAsia="Courier New" w:hAnsi="Courier New"/>
                <w:sz w:val="15"/>
                <w:szCs w:val="15"/>
                <w:color w:val="auto"/>
              </w:rPr>
              <w:t>Less LIFO adjustment</w:t>
            </w: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27,201,000</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26,801,000</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76,232,927</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81,226,607</w:t>
            </w: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w:t>
            </w: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1,259,817</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1,757,658</w:t>
            </w:r>
          </w:p>
        </w:tc>
      </w:tr>
      <w:tr>
        <w:trPr>
          <w:trHeight w:val="173"/>
        </w:trPr>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2,269,000</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2,008,000</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206,956,292</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204,914,898</w:t>
            </w:r>
          </w:p>
        </w:tc>
      </w:tr>
      <w:tr>
        <w:trPr>
          <w:trHeight w:val="173"/>
        </w:trPr>
        <w:tc>
          <w:tcPr>
            <w:tcW w:w="60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256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73"/>
        </w:trPr>
        <w:tc>
          <w:tcPr>
            <w:tcW w:w="6040" w:type="dxa"/>
            <w:vAlign w:val="bottom"/>
          </w:tcPr>
          <w:p>
            <w:pPr>
              <w:ind w:left="440"/>
              <w:spacing w:after="0"/>
              <w:rPr>
                <w:sz w:val="20"/>
                <w:szCs w:val="20"/>
                <w:color w:val="auto"/>
              </w:rPr>
            </w:pPr>
            <w:r>
              <w:rPr>
                <w:rFonts w:ascii="Courier New" w:cs="Courier New" w:eastAsia="Courier New" w:hAnsi="Courier New"/>
                <w:sz w:val="15"/>
                <w:szCs w:val="15"/>
                <w:color w:val="auto"/>
              </w:rPr>
              <w:t>Cost</w:t>
            </w: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212,540,312</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211,790,217</w:t>
            </w:r>
          </w:p>
        </w:tc>
      </w:tr>
      <w:tr>
        <w:trPr>
          <w:trHeight w:val="173"/>
        </w:trPr>
        <w:tc>
          <w:tcPr>
            <w:tcW w:w="6040" w:type="dxa"/>
            <w:vAlign w:val="bottom"/>
          </w:tcPr>
          <w:p>
            <w:pPr>
              <w:ind w:left="440"/>
              <w:spacing w:after="0"/>
              <w:rPr>
                <w:sz w:val="20"/>
                <w:szCs w:val="20"/>
                <w:color w:val="auto"/>
              </w:rPr>
            </w:pPr>
            <w:r>
              <w:rPr>
                <w:rFonts w:ascii="Courier New" w:cs="Courier New" w:eastAsia="Courier New" w:hAnsi="Courier New"/>
                <w:sz w:val="15"/>
                <w:szCs w:val="15"/>
                <w:color w:val="auto"/>
              </w:rPr>
              <w:t>Less allowances for depreciation</w:t>
            </w: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160,789,359</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158,665,871</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51,750,953</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53,124,346</w:t>
            </w:r>
          </w:p>
        </w:tc>
      </w:tr>
      <w:tr>
        <w:trPr>
          <w:trHeight w:val="173"/>
        </w:trPr>
        <w:tc>
          <w:tcPr>
            <w:tcW w:w="60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56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73"/>
        </w:trPr>
        <w:tc>
          <w:tcPr>
            <w:tcW w:w="6040" w:type="dxa"/>
            <w:vAlign w:val="bottom"/>
          </w:tcPr>
          <w:p>
            <w:pPr>
              <w:ind w:left="440"/>
              <w:spacing w:after="0"/>
              <w:rPr>
                <w:sz w:val="20"/>
                <w:szCs w:val="20"/>
                <w:color w:val="auto"/>
              </w:rPr>
            </w:pPr>
            <w:r>
              <w:rPr>
                <w:rFonts w:ascii="Courier New" w:cs="Courier New" w:eastAsia="Courier New" w:hAnsi="Courier New"/>
                <w:sz w:val="15"/>
                <w:szCs w:val="15"/>
                <w:color w:val="auto"/>
              </w:rPr>
              <w:t>Investment in securities</w:t>
            </w: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32,417,494</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39,055,319</w:t>
            </w:r>
          </w:p>
        </w:tc>
      </w:tr>
      <w:tr>
        <w:trPr>
          <w:trHeight w:val="173"/>
        </w:trPr>
        <w:tc>
          <w:tcPr>
            <w:tcW w:w="6040" w:type="dxa"/>
            <w:vAlign w:val="bottom"/>
          </w:tcPr>
          <w:p>
            <w:pPr>
              <w:ind w:left="440"/>
              <w:spacing w:after="0"/>
              <w:rPr>
                <w:sz w:val="20"/>
                <w:szCs w:val="20"/>
                <w:color w:val="auto"/>
              </w:rPr>
            </w:pPr>
            <w:r>
              <w:rPr>
                <w:rFonts w:ascii="Courier New" w:cs="Courier New" w:eastAsia="Courier New" w:hAnsi="Courier New"/>
                <w:sz w:val="15"/>
                <w:szCs w:val="15"/>
                <w:color w:val="auto"/>
              </w:rPr>
              <w:t>Investment in affiliated companies</w:t>
            </w: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41,499,243</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40,398,574</w:t>
            </w:r>
          </w:p>
        </w:tc>
      </w:tr>
      <w:tr>
        <w:trPr>
          <w:trHeight w:val="173"/>
        </w:trPr>
        <w:tc>
          <w:tcPr>
            <w:tcW w:w="604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9,151,994</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9,227,317</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83,068,731</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88,681,210</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$341,775,976</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$346,720,454</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7"/>
        </w:trPr>
        <w:tc>
          <w:tcPr>
            <w:tcW w:w="60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5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73"/>
        </w:trPr>
        <w:tc>
          <w:tcPr>
            <w:tcW w:w="6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6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73"/>
        </w:trPr>
        <w:tc>
          <w:tcPr>
            <w:tcW w:w="60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56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73"/>
        </w:trPr>
        <w:tc>
          <w:tcPr>
            <w:tcW w:w="604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$ 24,876,257</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$ 29,710,299</w:t>
            </w:r>
          </w:p>
        </w:tc>
      </w:tr>
      <w:tr>
        <w:trPr>
          <w:trHeight w:val="173"/>
        </w:trPr>
        <w:tc>
          <w:tcPr>
            <w:tcW w:w="6040" w:type="dxa"/>
            <w:vAlign w:val="bottom"/>
          </w:tcPr>
          <w:p>
            <w:pPr>
              <w:ind w:left="440"/>
              <w:spacing w:after="0"/>
              <w:rPr>
                <w:sz w:val="20"/>
                <w:szCs w:val="20"/>
                <w:color w:val="auto"/>
              </w:rPr>
            </w:pPr>
            <w:r>
              <w:rPr>
                <w:rFonts w:ascii="Courier New" w:cs="Courier New" w:eastAsia="Courier New" w:hAnsi="Courier New"/>
                <w:sz w:val="15"/>
                <w:szCs w:val="15"/>
                <w:color w:val="auto"/>
              </w:rPr>
              <w:t>Accrued compensation</w:t>
            </w: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3,552,168</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4,778,966</w:t>
            </w:r>
          </w:p>
        </w:tc>
      </w:tr>
      <w:tr>
        <w:trPr>
          <w:trHeight w:val="173"/>
        </w:trPr>
        <w:tc>
          <w:tcPr>
            <w:tcW w:w="6040" w:type="dxa"/>
            <w:vAlign w:val="bottom"/>
          </w:tcPr>
          <w:p>
            <w:pPr>
              <w:ind w:left="440"/>
              <w:spacing w:after="0"/>
              <w:rPr>
                <w:sz w:val="20"/>
                <w:szCs w:val="20"/>
                <w:color w:val="auto"/>
              </w:rPr>
            </w:pPr>
            <w:r>
              <w:rPr>
                <w:rFonts w:ascii="Courier New" w:cs="Courier New" w:eastAsia="Courier New" w:hAnsi="Courier New"/>
                <w:sz w:val="15"/>
                <w:szCs w:val="15"/>
                <w:color w:val="auto"/>
              </w:rPr>
              <w:t>Income taxes</w:t>
            </w: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2,295,770</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902,476</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30,724,195</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35,391,741</w:t>
            </w:r>
          </w:p>
        </w:tc>
      </w:tr>
      <w:tr>
        <w:trPr>
          <w:trHeight w:val="173"/>
        </w:trPr>
        <w:tc>
          <w:tcPr>
            <w:tcW w:w="6040" w:type="dxa"/>
            <w:vAlign w:val="bottom"/>
          </w:tcPr>
          <w:p>
            <w:pPr>
              <w:spacing w:after="0"/>
              <w:rPr>
                <w:sz w:val="20"/>
                <w:szCs w:val="20"/>
                <w:color w:val="auto"/>
              </w:rPr>
            </w:pPr>
            <w:r>
              <w:rPr>
                <w:rFonts w:ascii="Courier New" w:cs="Courier New" w:eastAsia="Courier New" w:hAnsi="Courier New"/>
                <w:sz w:val="15"/>
                <w:szCs w:val="15"/>
                <w:color w:val="auto"/>
              </w:rPr>
              <w:t>Deferrals</w:t>
            </w:r>
          </w:p>
        </w:tc>
        <w:tc>
          <w:tcPr>
            <w:tcW w:w="256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73"/>
        </w:trPr>
        <w:tc>
          <w:tcPr>
            <w:tcW w:w="6040" w:type="dxa"/>
            <w:vAlign w:val="bottom"/>
          </w:tcPr>
          <w:p>
            <w:pPr>
              <w:ind w:left="440"/>
              <w:spacing w:after="0"/>
              <w:rPr>
                <w:sz w:val="20"/>
                <w:szCs w:val="20"/>
                <w:color w:val="auto"/>
              </w:rPr>
            </w:pPr>
            <w:r>
              <w:rPr>
                <w:rFonts w:ascii="Courier New" w:cs="Courier New" w:eastAsia="Courier New" w:hAnsi="Courier New"/>
                <w:sz w:val="15"/>
                <w:szCs w:val="15"/>
                <w:color w:val="auto"/>
              </w:rPr>
              <w:t>Deferred liabilities</w:t>
            </w: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10,513,797</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10,296,244</w:t>
            </w:r>
          </w:p>
        </w:tc>
      </w:tr>
      <w:tr>
        <w:trPr>
          <w:trHeight w:val="173"/>
        </w:trPr>
        <w:tc>
          <w:tcPr>
            <w:tcW w:w="604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1,994,000</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2,129,000</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12,507,797</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12,425,244</w:t>
            </w:r>
          </w:p>
        </w:tc>
      </w:tr>
      <w:tr>
        <w:trPr>
          <w:trHeight w:val="173"/>
        </w:trPr>
        <w:tc>
          <w:tcPr>
            <w:tcW w:w="60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56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73"/>
        </w:trPr>
        <w:tc>
          <w:tcPr>
            <w:tcW w:w="6040" w:type="dxa"/>
            <w:vAlign w:val="bottom"/>
          </w:tcPr>
          <w:p>
            <w:pPr>
              <w:ind w:left="440"/>
              <w:spacing w:after="0"/>
              <w:rPr>
                <w:sz w:val="20"/>
                <w:szCs w:val="20"/>
                <w:color w:val="auto"/>
              </w:rPr>
            </w:pPr>
            <w:r>
              <w:rPr>
                <w:rFonts w:ascii="Courier New" w:cs="Courier New" w:eastAsia="Courier New" w:hAnsi="Courier New"/>
                <w:sz w:val="15"/>
                <w:szCs w:val="15"/>
                <w:color w:val="auto"/>
              </w:rPr>
              <w:t>Common stock</w:t>
            </w: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67,901,265</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68,294,765</w:t>
            </w:r>
          </w:p>
        </w:tc>
      </w:tr>
      <w:tr>
        <w:trPr>
          <w:trHeight w:val="173"/>
        </w:trPr>
        <w:tc>
          <w:tcPr>
            <w:tcW w:w="6040" w:type="dxa"/>
            <w:vAlign w:val="bottom"/>
          </w:tcPr>
          <w:p>
            <w:pPr>
              <w:ind w:left="440"/>
              <w:spacing w:after="0"/>
              <w:rPr>
                <w:sz w:val="20"/>
                <w:szCs w:val="20"/>
                <w:color w:val="auto"/>
              </w:rPr>
            </w:pPr>
            <w:r>
              <w:rPr>
                <w:rFonts w:ascii="Courier New" w:cs="Courier New" w:eastAsia="Courier New" w:hAnsi="Courier New"/>
                <w:sz w:val="15"/>
                <w:szCs w:val="15"/>
                <w:color w:val="auto"/>
              </w:rPr>
              <w:t>Retained earnings</w:t>
            </w: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226,287,719</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225,718,704</w:t>
            </w:r>
          </w:p>
        </w:tc>
      </w:tr>
      <w:tr>
        <w:trPr>
          <w:trHeight w:val="173"/>
        </w:trPr>
        <w:tc>
          <w:tcPr>
            <w:tcW w:w="6040" w:type="dxa"/>
            <w:vAlign w:val="bottom"/>
          </w:tcPr>
          <w:p>
            <w:pPr>
              <w:ind w:left="440"/>
              <w:spacing w:after="0"/>
              <w:rPr>
                <w:sz w:val="20"/>
                <w:szCs w:val="20"/>
                <w:color w:val="auto"/>
              </w:rPr>
            </w:pPr>
            <w:r>
              <w:rPr>
                <w:rFonts w:ascii="Courier New" w:cs="Courier New" w:eastAsia="Courier New" w:hAnsi="Courier New"/>
                <w:sz w:val="15"/>
                <w:szCs w:val="15"/>
                <w:color w:val="auto"/>
              </w:rPr>
              <w:t>Unrealized holding gains, net of tax</w:t>
            </w: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4,355,000</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4,890,000</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298,543,984</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298,903,469</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$341,775,976</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$346,720,454</w:t>
            </w:r>
          </w:p>
        </w:tc>
      </w:tr>
      <w:tr>
        <w:trPr>
          <w:trHeight w:val="173"/>
        </w:trPr>
        <w:tc>
          <w:tcPr>
            <w:tcW w:w="6040" w:type="dxa"/>
            <w:vAlign w:val="bottom"/>
          </w:tcPr>
          <w:p>
            <w:pPr>
              <w:spacing w:after="0"/>
              <w:rPr>
                <w:sz w:val="15"/>
                <w:szCs w:val="15"/>
                <w:color w:val="auto"/>
              </w:rPr>
            </w:pPr>
          </w:p>
        </w:tc>
        <w:tc>
          <w:tcPr>
            <w:tcW w:w="25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right="4780"/>
        <w:spacing w:after="0" w:line="243" w:lineRule="auto"/>
        <w:rPr>
          <w:sz w:val="20"/>
          <w:szCs w:val="20"/>
          <w:color w:val="auto"/>
        </w:rPr>
      </w:pPr>
      <w:r>
        <w:rPr>
          <w:rFonts w:ascii="Courier New" w:cs="Courier New" w:eastAsia="Courier New" w:hAnsi="Courier New"/>
          <w:sz w:val="15"/>
          <w:szCs w:val="15"/>
          <w:color w:val="auto"/>
        </w:rPr>
        <w:t>The accompanying note is an integral part of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Page 3 of 8</w:t>
      </w:r>
    </w:p>
    <w:p>
      <w:pPr>
        <w:sectPr>
          <w:pgSz w:w="11900" w:h="16838" w:orient="portrait"/>
          <w:cols w:equalWidth="0" w:num="1">
            <w:col w:w="10900"/>
          </w:cols>
          <w:pgMar w:left="240" w:top="291" w:right="759" w:bottom="1440" w:gutter="0" w:footer="0" w:header="0"/>
        </w:sectPr>
      </w:pPr>
    </w:p>
    <w:bookmarkStart w:id="3" w:name="page4"/>
    <w:bookmarkEnd w:id="3"/>
    <w:p>
      <w:pPr>
        <w:ind w:left="268"/>
        <w:spacing w:after="0"/>
        <w:rPr>
          <w:sz w:val="20"/>
          <w:szCs w:val="20"/>
          <w:color w:val="auto"/>
        </w:rPr>
      </w:pPr>
      <w:r>
        <w:rPr>
          <w:rFonts w:ascii="Courier New" w:cs="Courier New" w:eastAsia="Courier New" w:hAnsi="Courier New"/>
          <w:sz w:val="15"/>
          <w:szCs w:val="15"/>
          <w:color w:val="auto"/>
        </w:rPr>
        <w:t>4</w:t>
      </w:r>
    </w:p>
    <w:p>
      <w:pPr>
        <w:spacing w:after="0" w:line="3"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3" w:lineRule="exact"/>
        <w:rPr>
          <w:sz w:val="20"/>
          <w:szCs w:val="20"/>
          <w:color w:val="auto"/>
        </w:rPr>
      </w:pPr>
    </w:p>
    <w:p>
      <w:pPr>
        <w:jc w:val="right"/>
        <w:ind w:right="514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3" w:lineRule="exact"/>
        <w:rPr>
          <w:sz w:val="20"/>
          <w:szCs w:val="20"/>
          <w:color w:val="auto"/>
        </w:rPr>
      </w:pPr>
    </w:p>
    <w:p>
      <w:pPr>
        <w:jc w:val="right"/>
        <w:ind w:right="5140"/>
        <w:spacing w:after="0"/>
        <w:rPr>
          <w:sz w:val="20"/>
          <w:szCs w:val="20"/>
          <w:color w:val="auto"/>
        </w:rPr>
      </w:pPr>
      <w:r>
        <w:rPr>
          <w:rFonts w:ascii="Courier New" w:cs="Courier New" w:eastAsia="Courier New" w:hAnsi="Courier New"/>
          <w:sz w:val="15"/>
          <w:szCs w:val="15"/>
          <w:color w:val="auto"/>
        </w:rPr>
        <w:t>CONDENSED CONSOLIDATED STATEMENT OF CASH FLOWS -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260" w:type="dxa"/>
            <w:vAlign w:val="bottom"/>
          </w:tcPr>
          <w:p>
            <w:pPr>
              <w:spacing w:after="0"/>
              <w:rPr>
                <w:sz w:val="14"/>
                <w:szCs w:val="14"/>
                <w:color w:val="auto"/>
              </w:rPr>
            </w:pPr>
          </w:p>
        </w:tc>
        <w:tc>
          <w:tcPr>
            <w:tcW w:w="51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THREE MONTHS ENDED FEBRUARY 29 (28),</w:t>
            </w:r>
          </w:p>
        </w:tc>
      </w:tr>
      <w:tr>
        <w:trPr>
          <w:trHeight w:val="173"/>
        </w:trPr>
        <w:tc>
          <w:tcPr>
            <w:tcW w:w="6260" w:type="dxa"/>
            <w:vAlign w:val="bottom"/>
          </w:tcPr>
          <w:p>
            <w:pPr>
              <w:spacing w:after="0"/>
              <w:rPr>
                <w:sz w:val="15"/>
                <w:szCs w:val="15"/>
                <w:color w:val="auto"/>
              </w:rPr>
            </w:pPr>
          </w:p>
        </w:tc>
        <w:tc>
          <w:tcPr>
            <w:tcW w:w="51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6260" w:type="dxa"/>
            <w:vAlign w:val="bottom"/>
          </w:tcPr>
          <w:p>
            <w:pPr>
              <w:spacing w:after="0"/>
              <w:rPr>
                <w:sz w:val="15"/>
                <w:szCs w:val="15"/>
                <w:color w:val="auto"/>
              </w:rPr>
            </w:pPr>
          </w:p>
        </w:tc>
        <w:tc>
          <w:tcPr>
            <w:tcW w:w="316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1996</w:t>
            </w:r>
          </w:p>
        </w:tc>
        <w:tc>
          <w:tcPr>
            <w:tcW w:w="1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1995</w:t>
            </w:r>
          </w:p>
        </w:tc>
      </w:tr>
      <w:tr>
        <w:trPr>
          <w:trHeight w:val="173"/>
        </w:trPr>
        <w:tc>
          <w:tcPr>
            <w:tcW w:w="6260" w:type="dxa"/>
            <w:vAlign w:val="bottom"/>
          </w:tcPr>
          <w:p>
            <w:pPr>
              <w:spacing w:after="0"/>
              <w:rPr>
                <w:sz w:val="15"/>
                <w:szCs w:val="15"/>
                <w:color w:val="auto"/>
              </w:rPr>
            </w:pPr>
          </w:p>
        </w:tc>
        <w:tc>
          <w:tcPr>
            <w:tcW w:w="316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7"/>
        </w:trPr>
        <w:tc>
          <w:tcPr>
            <w:tcW w:w="626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316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$11,231,680</w:t>
            </w:r>
          </w:p>
        </w:tc>
        <w:tc>
          <w:tcPr>
            <w:tcW w:w="1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$ 5,874,788</w:t>
            </w:r>
          </w:p>
        </w:tc>
      </w:tr>
      <w:tr>
        <w:trPr>
          <w:trHeight w:val="347"/>
        </w:trPr>
        <w:tc>
          <w:tcPr>
            <w:tcW w:w="62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31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73"/>
        </w:trPr>
        <w:tc>
          <w:tcPr>
            <w:tcW w:w="6260" w:type="dxa"/>
            <w:vAlign w:val="bottom"/>
          </w:tcPr>
          <w:p>
            <w:pPr>
              <w:ind w:left="440"/>
              <w:spacing w:after="0"/>
              <w:rPr>
                <w:sz w:val="20"/>
                <w:szCs w:val="20"/>
                <w:color w:val="auto"/>
              </w:rPr>
            </w:pPr>
            <w:r>
              <w:rPr>
                <w:rFonts w:ascii="Courier New" w:cs="Courier New" w:eastAsia="Courier New" w:hAnsi="Courier New"/>
                <w:sz w:val="15"/>
                <w:szCs w:val="15"/>
                <w:color w:val="auto"/>
              </w:rPr>
              <w:t>Net change in cost of  investment securities</w:t>
            </w:r>
          </w:p>
        </w:tc>
        <w:tc>
          <w:tcPr>
            <w:tcW w:w="316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7,886,426</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(2,378,258)</w:t>
            </w:r>
          </w:p>
        </w:tc>
      </w:tr>
      <w:tr>
        <w:trPr>
          <w:trHeight w:val="173"/>
        </w:trPr>
        <w:tc>
          <w:tcPr>
            <w:tcW w:w="6260" w:type="dxa"/>
            <w:vAlign w:val="bottom"/>
          </w:tcPr>
          <w:p>
            <w:pPr>
              <w:ind w:left="440"/>
              <w:spacing w:after="0"/>
              <w:rPr>
                <w:sz w:val="20"/>
                <w:szCs w:val="20"/>
                <w:color w:val="auto"/>
              </w:rPr>
            </w:pPr>
            <w:r>
              <w:rPr>
                <w:rFonts w:ascii="Courier New" w:cs="Courier New" w:eastAsia="Courier New" w:hAnsi="Courier New"/>
                <w:sz w:val="15"/>
                <w:szCs w:val="15"/>
                <w:color w:val="auto"/>
              </w:rPr>
              <w:t>Purchases of property, plant and equipment</w:t>
            </w:r>
          </w:p>
        </w:tc>
        <w:tc>
          <w:tcPr>
            <w:tcW w:w="31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(799,458)</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(3,038,893)</w:t>
            </w:r>
          </w:p>
        </w:tc>
      </w:tr>
      <w:tr>
        <w:trPr>
          <w:trHeight w:val="173"/>
        </w:trPr>
        <w:tc>
          <w:tcPr>
            <w:tcW w:w="626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 of property, plant and equipment</w:t>
            </w:r>
          </w:p>
        </w:tc>
        <w:tc>
          <w:tcPr>
            <w:tcW w:w="316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70,635</w:t>
            </w:r>
          </w:p>
        </w:tc>
        <w:tc>
          <w:tcPr>
            <w:tcW w:w="1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40,000</w:t>
            </w:r>
          </w:p>
        </w:tc>
      </w:tr>
      <w:tr>
        <w:trPr>
          <w:trHeight w:val="173"/>
        </w:trPr>
        <w:tc>
          <w:tcPr>
            <w:tcW w:w="6260" w:type="dxa"/>
            <w:vAlign w:val="bottom"/>
          </w:tcPr>
          <w:p>
            <w:pPr>
              <w:ind w:left="440"/>
              <w:spacing w:after="0"/>
              <w:rPr>
                <w:sz w:val="20"/>
                <w:szCs w:val="20"/>
                <w:color w:val="auto"/>
              </w:rPr>
            </w:pPr>
            <w:r>
              <w:rPr>
                <w:rFonts w:ascii="Courier New" w:cs="Courier New" w:eastAsia="Courier New" w:hAnsi="Courier New"/>
                <w:sz w:val="15"/>
                <w:szCs w:val="15"/>
                <w:color w:val="auto"/>
              </w:rPr>
              <w:t>Dividend from affiliated company</w:t>
            </w:r>
          </w:p>
        </w:tc>
        <w:tc>
          <w:tcPr>
            <w:tcW w:w="316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-0-</w:t>
            </w:r>
          </w:p>
        </w:tc>
        <w:tc>
          <w:tcPr>
            <w:tcW w:w="1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272,376</w:t>
            </w:r>
          </w:p>
        </w:tc>
      </w:tr>
      <w:tr>
        <w:trPr>
          <w:trHeight w:val="173"/>
        </w:trPr>
        <w:tc>
          <w:tcPr>
            <w:tcW w:w="626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316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162,144</w:t>
            </w:r>
          </w:p>
        </w:tc>
        <w:tc>
          <w:tcPr>
            <w:tcW w:w="1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419,034</w:t>
            </w:r>
          </w:p>
        </w:tc>
      </w:tr>
      <w:tr>
        <w:trPr>
          <w:trHeight w:val="173"/>
        </w:trPr>
        <w:tc>
          <w:tcPr>
            <w:tcW w:w="6260" w:type="dxa"/>
            <w:vAlign w:val="bottom"/>
          </w:tcPr>
          <w:p>
            <w:pPr>
              <w:spacing w:after="0"/>
              <w:rPr>
                <w:sz w:val="15"/>
                <w:szCs w:val="15"/>
                <w:color w:val="auto"/>
              </w:rPr>
            </w:pPr>
          </w:p>
        </w:tc>
        <w:tc>
          <w:tcPr>
            <w:tcW w:w="316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260" w:type="dxa"/>
            <w:vAlign w:val="bottom"/>
          </w:tcPr>
          <w:p>
            <w:pPr>
              <w:spacing w:after="0"/>
              <w:rPr>
                <w:sz w:val="15"/>
                <w:szCs w:val="15"/>
                <w:color w:val="auto"/>
              </w:rPr>
            </w:pPr>
          </w:p>
        </w:tc>
        <w:tc>
          <w:tcPr>
            <w:tcW w:w="316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7,319,747</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(4,685,741)</w:t>
            </w:r>
          </w:p>
        </w:tc>
      </w:tr>
      <w:tr>
        <w:trPr>
          <w:trHeight w:val="347"/>
        </w:trPr>
        <w:tc>
          <w:tcPr>
            <w:tcW w:w="62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31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73"/>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Cash dividends</w:t>
            </w:r>
          </w:p>
        </w:tc>
        <w:tc>
          <w:tcPr>
            <w:tcW w:w="31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(2,716,550)</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(2,817,363)</w:t>
            </w:r>
          </w:p>
        </w:tc>
      </w:tr>
      <w:tr>
        <w:trPr>
          <w:trHeight w:val="173"/>
        </w:trPr>
        <w:tc>
          <w:tcPr>
            <w:tcW w:w="6260" w:type="dxa"/>
            <w:vAlign w:val="bottom"/>
          </w:tcPr>
          <w:p>
            <w:pPr>
              <w:ind w:left="260"/>
              <w:spacing w:after="0"/>
              <w:rPr>
                <w:sz w:val="20"/>
                <w:szCs w:val="20"/>
                <w:color w:val="auto"/>
              </w:rPr>
            </w:pPr>
            <w:r>
              <w:rPr>
                <w:rFonts w:ascii="Courier New" w:cs="Courier New" w:eastAsia="Courier New" w:hAnsi="Courier New"/>
                <w:sz w:val="15"/>
                <w:szCs w:val="15"/>
                <w:color w:val="auto"/>
              </w:rPr>
              <w:t>Purchase and retirement of common stock</w:t>
            </w:r>
          </w:p>
        </w:tc>
        <w:tc>
          <w:tcPr>
            <w:tcW w:w="31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(1,821,896)</w:t>
            </w:r>
          </w:p>
        </w:tc>
        <w:tc>
          <w:tcPr>
            <w:tcW w:w="1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r>
      <w:tr>
        <w:trPr>
          <w:trHeight w:val="173"/>
        </w:trPr>
        <w:tc>
          <w:tcPr>
            <w:tcW w:w="6260" w:type="dxa"/>
            <w:vAlign w:val="bottom"/>
          </w:tcPr>
          <w:p>
            <w:pPr>
              <w:spacing w:after="0"/>
              <w:rPr>
                <w:sz w:val="15"/>
                <w:szCs w:val="15"/>
                <w:color w:val="auto"/>
              </w:rPr>
            </w:pPr>
          </w:p>
        </w:tc>
        <w:tc>
          <w:tcPr>
            <w:tcW w:w="316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260" w:type="dxa"/>
            <w:vAlign w:val="bottom"/>
          </w:tcPr>
          <w:p>
            <w:pPr>
              <w:spacing w:after="0"/>
              <w:rPr>
                <w:sz w:val="15"/>
                <w:szCs w:val="15"/>
                <w:color w:val="auto"/>
              </w:rPr>
            </w:pPr>
          </w:p>
        </w:tc>
        <w:tc>
          <w:tcPr>
            <w:tcW w:w="316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(4,538,446)</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(2,817,363)</w:t>
            </w:r>
          </w:p>
        </w:tc>
      </w:tr>
      <w:tr>
        <w:trPr>
          <w:trHeight w:val="173"/>
        </w:trPr>
        <w:tc>
          <w:tcPr>
            <w:tcW w:w="6260" w:type="dxa"/>
            <w:vAlign w:val="bottom"/>
          </w:tcPr>
          <w:p>
            <w:pPr>
              <w:spacing w:after="0"/>
              <w:rPr>
                <w:sz w:val="15"/>
                <w:szCs w:val="15"/>
                <w:color w:val="auto"/>
              </w:rPr>
            </w:pPr>
          </w:p>
        </w:tc>
        <w:tc>
          <w:tcPr>
            <w:tcW w:w="316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260" w:type="dxa"/>
            <w:vAlign w:val="bottom"/>
          </w:tcPr>
          <w:p>
            <w:pPr>
              <w:spacing w:after="0"/>
              <w:rPr>
                <w:sz w:val="20"/>
                <w:szCs w:val="20"/>
                <w:color w:val="auto"/>
              </w:rPr>
            </w:pPr>
            <w:r>
              <w:rPr>
                <w:rFonts w:ascii="Courier New" w:cs="Courier New" w:eastAsia="Courier New" w:hAnsi="Courier New"/>
                <w:sz w:val="15"/>
                <w:szCs w:val="15"/>
                <w:color w:val="auto"/>
              </w:rPr>
              <w:t>CHANGE IN CASH AND CASH EQUIVALENTS</w:t>
            </w:r>
          </w:p>
        </w:tc>
        <w:tc>
          <w:tcPr>
            <w:tcW w:w="316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14,012,981</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(1,628,316)</w:t>
            </w:r>
          </w:p>
        </w:tc>
      </w:tr>
      <w:tr>
        <w:trPr>
          <w:trHeight w:val="347"/>
        </w:trPr>
        <w:tc>
          <w:tcPr>
            <w:tcW w:w="626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 of period</w:t>
            </w:r>
          </w:p>
        </w:tc>
        <w:tc>
          <w:tcPr>
            <w:tcW w:w="316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51,331,119</w:t>
            </w:r>
          </w:p>
        </w:tc>
        <w:tc>
          <w:tcPr>
            <w:tcW w:w="1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42,314,957</w:t>
            </w:r>
          </w:p>
        </w:tc>
      </w:tr>
      <w:tr>
        <w:trPr>
          <w:trHeight w:val="173"/>
        </w:trPr>
        <w:tc>
          <w:tcPr>
            <w:tcW w:w="6260" w:type="dxa"/>
            <w:vAlign w:val="bottom"/>
          </w:tcPr>
          <w:p>
            <w:pPr>
              <w:spacing w:after="0"/>
              <w:rPr>
                <w:sz w:val="15"/>
                <w:szCs w:val="15"/>
                <w:color w:val="auto"/>
              </w:rPr>
            </w:pPr>
          </w:p>
        </w:tc>
        <w:tc>
          <w:tcPr>
            <w:tcW w:w="316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260" w:type="dxa"/>
            <w:vAlign w:val="bottom"/>
          </w:tcPr>
          <w:p>
            <w:pPr>
              <w:spacing w:after="0"/>
              <w:rPr>
                <w:sz w:val="20"/>
                <w:szCs w:val="20"/>
                <w:color w:val="auto"/>
              </w:rPr>
            </w:pPr>
            <w:r>
              <w:rPr>
                <w:rFonts w:ascii="Courier New" w:cs="Courier New" w:eastAsia="Courier New" w:hAnsi="Courier New"/>
                <w:sz w:val="15"/>
                <w:szCs w:val="15"/>
                <w:color w:val="auto"/>
              </w:rPr>
              <w:t>CASH AND CASH EQUIVALENTS - end of period</w:t>
            </w:r>
          </w:p>
        </w:tc>
        <w:tc>
          <w:tcPr>
            <w:tcW w:w="316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$65,344,100</w:t>
            </w:r>
          </w:p>
        </w:tc>
        <w:tc>
          <w:tcPr>
            <w:tcW w:w="1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$40,686,641</w:t>
            </w:r>
          </w:p>
        </w:tc>
      </w:tr>
      <w:tr>
        <w:trPr>
          <w:trHeight w:val="173"/>
        </w:trPr>
        <w:tc>
          <w:tcPr>
            <w:tcW w:w="6260" w:type="dxa"/>
            <w:vAlign w:val="bottom"/>
          </w:tcPr>
          <w:p>
            <w:pPr>
              <w:spacing w:after="0"/>
              <w:rPr>
                <w:sz w:val="15"/>
                <w:szCs w:val="15"/>
                <w:color w:val="auto"/>
              </w:rPr>
            </w:pPr>
          </w:p>
        </w:tc>
        <w:tc>
          <w:tcPr>
            <w:tcW w:w="316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68"/>
        <w:spacing w:after="0"/>
        <w:rPr>
          <w:sz w:val="20"/>
          <w:szCs w:val="20"/>
          <w:color w:val="auto"/>
        </w:rPr>
      </w:pPr>
      <w:r>
        <w:rPr>
          <w:rFonts w:ascii="Courier New" w:cs="Courier New" w:eastAsia="Courier New" w:hAnsi="Courier New"/>
          <w:sz w:val="15"/>
          <w:szCs w:val="15"/>
          <w:color w:val="auto"/>
        </w:rPr>
        <w:t>NOTE TO CONDENSED CONSOLIDATED FINANCIAL STATEMENTS</w:t>
      </w:r>
    </w:p>
    <w:p>
      <w:pPr>
        <w:spacing w:after="0" w:line="178" w:lineRule="exact"/>
        <w:rPr>
          <w:sz w:val="20"/>
          <w:szCs w:val="20"/>
          <w:color w:val="auto"/>
        </w:rPr>
      </w:pPr>
    </w:p>
    <w:p>
      <w:pPr>
        <w:ind w:left="448" w:right="4340" w:hanging="448"/>
        <w:spacing w:after="0" w:line="244"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share amounts are based on 13,614,639 and 14,086,815 weighted average number of shares outstanding at February 29 (28), 1996 and 1995, respectively.</w:t>
      </w:r>
    </w:p>
    <w:p>
      <w:pPr>
        <w:spacing w:after="0" w:line="348"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Page 4 of 8</w:t>
      </w:r>
    </w:p>
    <w:p>
      <w:pPr>
        <w:sectPr>
          <w:pgSz w:w="11900" w:h="16838" w:orient="portrait"/>
          <w:cols w:equalWidth="0" w:num="1">
            <w:col w:w="11368"/>
          </w:cols>
          <w:pgMar w:left="232" w:top="291" w:right="29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8"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The accompanying unaudited condensed consolidated financial statements have been prepared in accordance with the instructions to Form 10-Q and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w:t>
      </w:r>
    </w:p>
    <w:p>
      <w:pPr>
        <w:spacing w:after="0" w:line="177" w:lineRule="exact"/>
        <w:rPr>
          <w:sz w:val="20"/>
          <w:szCs w:val="20"/>
          <w:color w:val="auto"/>
        </w:rPr>
      </w:pPr>
    </w:p>
    <w:p>
      <w:pPr>
        <w:ind w:right="3559"/>
        <w:spacing w:after="0" w:line="243"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components of net income expressed as a percentage of net sales: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First Quarter Ending</w:t>
            </w: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February</w:t>
            </w:r>
          </w:p>
        </w:tc>
      </w:tr>
      <w:tr>
        <w:trPr>
          <w:trHeight w:val="173"/>
        </w:trPr>
        <w:tc>
          <w:tcPr>
            <w:tcW w:w="2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300" w:type="dxa"/>
            <w:vAlign w:val="bottom"/>
            <w:gridSpan w:val="2"/>
          </w:tcPr>
          <w:p>
            <w:pPr>
              <w:jc w:val="center"/>
              <w:ind w:right="42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1996</w:t>
            </w:r>
          </w:p>
        </w:tc>
        <w:tc>
          <w:tcPr>
            <w:tcW w:w="1940" w:type="dxa"/>
            <w:vAlign w:val="bottom"/>
          </w:tcPr>
          <w:p>
            <w:pPr>
              <w:jc w:val="center"/>
              <w:ind w:left="785"/>
              <w:spacing w:after="0"/>
              <w:rPr>
                <w:sz w:val="20"/>
                <w:szCs w:val="20"/>
                <w:color w:val="auto"/>
              </w:rPr>
            </w:pPr>
            <w:r>
              <w:rPr>
                <w:rFonts w:ascii="Courier New" w:cs="Courier New" w:eastAsia="Courier New" w:hAnsi="Courier New"/>
                <w:sz w:val="15"/>
                <w:szCs w:val="15"/>
                <w:color w:val="auto"/>
                <w:w w:val="99"/>
              </w:rPr>
              <w:t>1995</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28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center"/>
              <w:ind w:left="785"/>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28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84.13%</w:t>
            </w:r>
          </w:p>
        </w:tc>
        <w:tc>
          <w:tcPr>
            <w:tcW w:w="1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83.31%</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83.70%</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15.87</w:t>
            </w:r>
          </w:p>
        </w:tc>
        <w:tc>
          <w:tcPr>
            <w:tcW w:w="1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16.69</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16.30</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SG&amp;A expenses</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13.83</w:t>
            </w:r>
          </w:p>
        </w:tc>
        <w:tc>
          <w:tcPr>
            <w:tcW w:w="1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12.96</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12.71</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2.04</w:t>
            </w:r>
          </w:p>
        </w:tc>
        <w:tc>
          <w:tcPr>
            <w:tcW w:w="1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3.73</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3.59</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3.61</w:t>
            </w:r>
          </w:p>
        </w:tc>
        <w:tc>
          <w:tcPr>
            <w:tcW w:w="1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1.87</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1.91</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5.65</w:t>
            </w:r>
          </w:p>
        </w:tc>
        <w:tc>
          <w:tcPr>
            <w:tcW w:w="1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5.60</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5.50</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1.44</w:t>
            </w:r>
          </w:p>
        </w:tc>
        <w:tc>
          <w:tcPr>
            <w:tcW w:w="1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1.64</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Accounting change</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1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4.21</w:t>
            </w:r>
          </w:p>
        </w:tc>
        <w:tc>
          <w:tcPr>
            <w:tcW w:w="1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3.96</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3.47</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 for the 1996 first quarter compared to prior years: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1996</w:t>
            </w:r>
          </w:p>
        </w:tc>
        <w:tc>
          <w:tcPr>
            <w:tcW w:w="17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center"/>
              <w:ind w:left="425"/>
              <w:spacing w:after="0"/>
              <w:rPr>
                <w:sz w:val="20"/>
                <w:szCs w:val="20"/>
                <w:color w:val="auto"/>
              </w:rPr>
            </w:pPr>
            <w:r>
              <w:rPr>
                <w:rFonts w:ascii="Courier New" w:cs="Courier New" w:eastAsia="Courier New" w:hAnsi="Courier New"/>
                <w:sz w:val="15"/>
                <w:szCs w:val="15"/>
                <w:color w:val="auto"/>
                <w:w w:val="99"/>
              </w:rPr>
              <w:t>1994</w:t>
            </w:r>
          </w:p>
        </w:tc>
      </w:tr>
      <w:tr>
        <w:trPr>
          <w:trHeight w:val="173"/>
        </w:trPr>
        <w:tc>
          <w:tcPr>
            <w:tcW w:w="3140" w:type="dxa"/>
            <w:vAlign w:val="bottom"/>
          </w:tcPr>
          <w:p>
            <w:pPr>
              <w:spacing w:after="0"/>
              <w:rPr>
                <w:sz w:val="15"/>
                <w:szCs w:val="15"/>
                <w:color w:val="auto"/>
              </w:rPr>
            </w:pPr>
          </w:p>
        </w:tc>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ind w:left="42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Net sales (thousands)</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$111,951</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$123,551</w:t>
            </w:r>
          </w:p>
        </w:tc>
        <w:tc>
          <w:tcPr>
            <w:tcW w:w="1220" w:type="dxa"/>
            <w:vAlign w:val="bottom"/>
          </w:tcPr>
          <w:p>
            <w:pPr>
              <w:jc w:val="center"/>
              <w:ind w:left="425"/>
              <w:spacing w:after="0"/>
              <w:rPr>
                <w:sz w:val="20"/>
                <w:szCs w:val="20"/>
                <w:color w:val="auto"/>
              </w:rPr>
            </w:pPr>
            <w:r>
              <w:rPr>
                <w:rFonts w:ascii="Courier New" w:cs="Courier New" w:eastAsia="Courier New" w:hAnsi="Courier New"/>
                <w:sz w:val="15"/>
                <w:szCs w:val="15"/>
                <w:color w:val="auto"/>
                <w:w w:val="99"/>
              </w:rPr>
              <w:t>$121,664</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Percentage change from prior year</w:t>
            </w:r>
          </w:p>
        </w:tc>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(9.4)%</w:t>
            </w:r>
          </w:p>
        </w:tc>
        <w:tc>
          <w:tcPr>
            <w:tcW w:w="17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bl>
    <w:p>
      <w:pPr>
        <w:spacing w:after="0" w:line="351"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Retail furniture sales, which showed some signs of recovery in the latter part of last year's fourth quarter, slipped in December and January, with February showing some improvement. The overall slowdown in retail furniture sales in the first quarter was caused, in part, by declining consumer confidence. The January consumer confidence index sank to its lowest level in two years. This decline in retail furniture sales caused net sales for the quarter to fall $11,600,000 compared to 1995. Shipments decreased in 1996 in all Divisions except Bedding which had a small increase.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Cost of sales increased 82 basis points in the 1996 first quarter over 1995. This increase follows an increase of approximately 90 basis points in the full fiscal year 1995 over 1994. This decline in margins has been caused primarily by the inability to increase sales prices across all product lines to compensate for incurred raw material cost increases. This is shown by a comparison of the cost components comprising cost of sales as a percentage of net sales: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First Quarter Ending February</w:t>
            </w:r>
          </w:p>
        </w:tc>
        <w:tc>
          <w:tcPr>
            <w:tcW w:w="780" w:type="dxa"/>
            <w:vAlign w:val="bottom"/>
          </w:tcPr>
          <w:p>
            <w:pPr>
              <w:spacing w:after="0"/>
              <w:rPr>
                <w:sz w:val="14"/>
                <w:szCs w:val="14"/>
                <w:color w:val="auto"/>
              </w:rPr>
            </w:pPr>
          </w:p>
        </w:tc>
      </w:tr>
      <w:tr>
        <w:trPr>
          <w:trHeight w:val="173"/>
        </w:trPr>
        <w:tc>
          <w:tcPr>
            <w:tcW w:w="20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r>
      <w:tr>
        <w:trPr>
          <w:trHeight w:val="173"/>
        </w:trPr>
        <w:tc>
          <w:tcPr>
            <w:tcW w:w="2020" w:type="dxa"/>
            <w:vAlign w:val="bottom"/>
          </w:tcPr>
          <w:p>
            <w:pPr>
              <w:spacing w:after="0"/>
              <w:rPr>
                <w:sz w:val="15"/>
                <w:szCs w:val="15"/>
                <w:color w:val="auto"/>
              </w:rPr>
            </w:pPr>
          </w:p>
        </w:tc>
        <w:tc>
          <w:tcPr>
            <w:tcW w:w="1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1996</w:t>
            </w:r>
          </w:p>
        </w:tc>
        <w:tc>
          <w:tcPr>
            <w:tcW w:w="270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1995</w:t>
            </w:r>
          </w:p>
        </w:tc>
        <w:tc>
          <w:tcPr>
            <w:tcW w:w="780" w:type="dxa"/>
            <w:vAlign w:val="bottom"/>
          </w:tcPr>
          <w:p>
            <w:pPr>
              <w:ind w:left="240"/>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2020" w:type="dxa"/>
            <w:vAlign w:val="bottom"/>
          </w:tcPr>
          <w:p>
            <w:pPr>
              <w:spacing w:after="0"/>
              <w:rPr>
                <w:sz w:val="15"/>
                <w:szCs w:val="15"/>
                <w:color w:val="auto"/>
              </w:rPr>
            </w:pPr>
          </w:p>
        </w:tc>
        <w:tc>
          <w:tcPr>
            <w:tcW w:w="1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70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347"/>
        </w:trPr>
        <w:tc>
          <w:tcPr>
            <w:tcW w:w="2020" w:type="dxa"/>
            <w:vAlign w:val="bottom"/>
          </w:tcPr>
          <w:p>
            <w:pPr>
              <w:spacing w:after="0"/>
              <w:rPr>
                <w:sz w:val="20"/>
                <w:szCs w:val="20"/>
                <w:color w:val="auto"/>
              </w:rPr>
            </w:pPr>
            <w:r>
              <w:rPr>
                <w:rFonts w:ascii="Courier New" w:cs="Courier New" w:eastAsia="Courier New" w:hAnsi="Courier New"/>
                <w:sz w:val="15"/>
                <w:szCs w:val="15"/>
                <w:color w:val="auto"/>
              </w:rPr>
              <w:t>Materials</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50.04%</w:t>
            </w:r>
          </w:p>
        </w:tc>
        <w:tc>
          <w:tcPr>
            <w:tcW w:w="2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49.39%</w:t>
            </w:r>
          </w:p>
        </w:tc>
        <w:tc>
          <w:tcPr>
            <w:tcW w:w="780" w:type="dxa"/>
            <w:vAlign w:val="bottom"/>
          </w:tcPr>
          <w:p>
            <w:pPr>
              <w:ind w:left="240"/>
              <w:spacing w:after="0"/>
              <w:rPr>
                <w:sz w:val="20"/>
                <w:szCs w:val="20"/>
                <w:color w:val="auto"/>
              </w:rPr>
            </w:pPr>
            <w:r>
              <w:rPr>
                <w:rFonts w:ascii="Courier New" w:cs="Courier New" w:eastAsia="Courier New" w:hAnsi="Courier New"/>
                <w:sz w:val="15"/>
                <w:szCs w:val="15"/>
                <w:color w:val="auto"/>
                <w:w w:val="96"/>
              </w:rPr>
              <w:t>49.66%</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Labor</w:t>
            </w:r>
          </w:p>
        </w:tc>
        <w:tc>
          <w:tcPr>
            <w:tcW w:w="1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21.29</w:t>
            </w:r>
          </w:p>
        </w:tc>
        <w:tc>
          <w:tcPr>
            <w:tcW w:w="270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21.54</w:t>
            </w:r>
          </w:p>
        </w:tc>
        <w:tc>
          <w:tcPr>
            <w:tcW w:w="780" w:type="dxa"/>
            <w:vAlign w:val="bottom"/>
          </w:tcPr>
          <w:p>
            <w:pPr>
              <w:ind w:left="240"/>
              <w:spacing w:after="0"/>
              <w:rPr>
                <w:sz w:val="20"/>
                <w:szCs w:val="20"/>
                <w:color w:val="auto"/>
              </w:rPr>
            </w:pPr>
            <w:r>
              <w:rPr>
                <w:rFonts w:ascii="Courier New" w:cs="Courier New" w:eastAsia="Courier New" w:hAnsi="Courier New"/>
                <w:sz w:val="15"/>
                <w:szCs w:val="15"/>
                <w:color w:val="auto"/>
              </w:rPr>
              <w:t>21.41</w:t>
            </w:r>
          </w:p>
        </w:tc>
      </w:tr>
      <w:tr>
        <w:trPr>
          <w:trHeight w:val="173"/>
        </w:trPr>
        <w:tc>
          <w:tcPr>
            <w:tcW w:w="2020" w:type="dxa"/>
            <w:vAlign w:val="bottom"/>
          </w:tcPr>
          <w:p>
            <w:pPr>
              <w:spacing w:after="0"/>
              <w:rPr>
                <w:sz w:val="20"/>
                <w:szCs w:val="20"/>
                <w:color w:val="auto"/>
              </w:rPr>
            </w:pPr>
            <w:r>
              <w:rPr>
                <w:rFonts w:ascii="Courier New" w:cs="Courier New" w:eastAsia="Courier New" w:hAnsi="Courier New"/>
                <w:sz w:val="15"/>
                <w:szCs w:val="15"/>
                <w:color w:val="auto"/>
              </w:rPr>
              <w:t>Overhead</w:t>
            </w:r>
          </w:p>
        </w:tc>
        <w:tc>
          <w:tcPr>
            <w:tcW w:w="1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12.80</w:t>
            </w:r>
          </w:p>
        </w:tc>
        <w:tc>
          <w:tcPr>
            <w:tcW w:w="270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12.38</w:t>
            </w:r>
          </w:p>
        </w:tc>
        <w:tc>
          <w:tcPr>
            <w:tcW w:w="780" w:type="dxa"/>
            <w:vAlign w:val="bottom"/>
          </w:tcPr>
          <w:p>
            <w:pPr>
              <w:ind w:left="240"/>
              <w:spacing w:after="0"/>
              <w:rPr>
                <w:sz w:val="20"/>
                <w:szCs w:val="20"/>
                <w:color w:val="auto"/>
              </w:rPr>
            </w:pPr>
            <w:r>
              <w:rPr>
                <w:rFonts w:ascii="Courier New" w:cs="Courier New" w:eastAsia="Courier New" w:hAnsi="Courier New"/>
                <w:sz w:val="15"/>
                <w:szCs w:val="15"/>
                <w:color w:val="auto"/>
              </w:rPr>
              <w:t>12.63</w:t>
            </w:r>
          </w:p>
        </w:tc>
      </w:tr>
      <w:tr>
        <w:trPr>
          <w:trHeight w:val="173"/>
        </w:trPr>
        <w:tc>
          <w:tcPr>
            <w:tcW w:w="2020" w:type="dxa"/>
            <w:vAlign w:val="bottom"/>
          </w:tcPr>
          <w:p>
            <w:pPr>
              <w:spacing w:after="0"/>
              <w:rPr>
                <w:sz w:val="15"/>
                <w:szCs w:val="15"/>
                <w:color w:val="auto"/>
              </w:rPr>
            </w:pPr>
          </w:p>
        </w:tc>
        <w:tc>
          <w:tcPr>
            <w:tcW w:w="1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70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3"/>
        </w:trPr>
        <w:tc>
          <w:tcPr>
            <w:tcW w:w="20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84.13%</w:t>
            </w:r>
          </w:p>
        </w:tc>
        <w:tc>
          <w:tcPr>
            <w:tcW w:w="2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83.31%</w:t>
            </w:r>
          </w:p>
        </w:tc>
        <w:tc>
          <w:tcPr>
            <w:tcW w:w="780" w:type="dxa"/>
            <w:vAlign w:val="bottom"/>
          </w:tcPr>
          <w:p>
            <w:pPr>
              <w:ind w:left="240"/>
              <w:spacing w:after="0"/>
              <w:rPr>
                <w:sz w:val="20"/>
                <w:szCs w:val="20"/>
                <w:color w:val="auto"/>
              </w:rPr>
            </w:pPr>
            <w:r>
              <w:rPr>
                <w:rFonts w:ascii="Courier New" w:cs="Courier New" w:eastAsia="Courier New" w:hAnsi="Courier New"/>
                <w:sz w:val="15"/>
                <w:szCs w:val="15"/>
                <w:color w:val="auto"/>
                <w:w w:val="96"/>
              </w:rPr>
              <w:t>83.70%</w:t>
            </w:r>
          </w:p>
        </w:tc>
      </w:tr>
    </w:tbl>
    <w:p>
      <w:pPr>
        <w:spacing w:after="0" w:line="351"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The deterioration in the overhead percentage was mainly due to reduced production schedules which had to be reduced during the quarter to adjust to the declining backlog. However, total overhead costs declined by almost $1,000,000 in 1996 from 1995.</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Selling, general and administrative expenses increased 87 basis points in the 1996 first quarter over 1995. The fixed costs in this classification were held under control in 1996 compared to 1995 and did not increase; however, the percentage relationship to net sales increased because of the decline in net</w:t>
      </w:r>
    </w:p>
    <w:p>
      <w:pPr>
        <w:sectPr>
          <w:pgSz w:w="11900" w:h="16838" w:orient="portrait"/>
          <w:cols w:equalWidth="0" w:num="1">
            <w:col w:w="10219"/>
          </w:cols>
          <w:pgMar w:left="240" w:top="291"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sales.</w:t>
      </w:r>
    </w:p>
    <w:p>
      <w:pPr>
        <w:spacing w:after="0" w:line="3" w:lineRule="exact"/>
        <w:rPr>
          <w:sz w:val="20"/>
          <w:szCs w:val="20"/>
          <w:color w:val="auto"/>
        </w:rPr>
      </w:pPr>
    </w:p>
    <w:p>
      <w:pPr>
        <w:jc w:val="right"/>
        <w:ind w:right="6179"/>
        <w:spacing w:after="0"/>
        <w:rPr>
          <w:sz w:val="20"/>
          <w:szCs w:val="20"/>
          <w:color w:val="auto"/>
        </w:rPr>
      </w:pPr>
      <w:r>
        <w:rPr>
          <w:rFonts w:ascii="Courier New" w:cs="Courier New" w:eastAsia="Courier New" w:hAnsi="Courier New"/>
          <w:sz w:val="15"/>
          <w:szCs w:val="15"/>
          <w:color w:val="auto"/>
        </w:rPr>
        <w:t>Page 5 of 8</w:t>
      </w:r>
    </w:p>
    <w:p>
      <w:pPr>
        <w:sectPr>
          <w:pgSz w:w="11900" w:h="16838" w:orient="portrait"/>
          <w:cols w:equalWidth="0" w:num="1">
            <w:col w:w="10219"/>
          </w:cols>
          <w:pgMar w:left="240" w:top="141"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78" w:lineRule="exact"/>
        <w:rPr>
          <w:sz w:val="20"/>
          <w:szCs w:val="20"/>
          <w:color w:val="auto"/>
        </w:rPr>
      </w:pPr>
    </w:p>
    <w:p>
      <w:pPr>
        <w:ind w:right="3559"/>
        <w:spacing w:after="0" w:line="243"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 CONTINUED RESULTS OF OPERATIONS -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NET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Components of other income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First Quarter Ending February</w:t>
            </w:r>
          </w:p>
        </w:tc>
        <w:tc>
          <w:tcPr>
            <w:tcW w:w="540" w:type="dxa"/>
            <w:vAlign w:val="bottom"/>
          </w:tcPr>
          <w:p>
            <w:pPr>
              <w:spacing w:after="0"/>
              <w:rPr>
                <w:sz w:val="14"/>
                <w:szCs w:val="14"/>
                <w:color w:val="auto"/>
              </w:rPr>
            </w:pPr>
          </w:p>
        </w:tc>
      </w:tr>
      <w:tr>
        <w:trPr>
          <w:trHeight w:val="173"/>
        </w:trPr>
        <w:tc>
          <w:tcPr>
            <w:tcW w:w="4600" w:type="dxa"/>
            <w:vAlign w:val="bottom"/>
          </w:tcPr>
          <w:p>
            <w:pPr>
              <w:spacing w:after="0"/>
              <w:rPr>
                <w:sz w:val="15"/>
                <w:szCs w:val="15"/>
                <w:color w:val="auto"/>
              </w:rPr>
            </w:pPr>
          </w:p>
        </w:tc>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r>
      <w:tr>
        <w:trPr>
          <w:trHeight w:val="173"/>
        </w:trPr>
        <w:tc>
          <w:tcPr>
            <w:tcW w:w="4600" w:type="dxa"/>
            <w:vAlign w:val="bottom"/>
          </w:tcPr>
          <w:p>
            <w:pPr>
              <w:spacing w:after="0"/>
              <w:rPr>
                <w:sz w:val="15"/>
                <w:szCs w:val="15"/>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c>
          <w:tcPr>
            <w:tcW w:w="19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1995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4600" w:type="dxa"/>
            <w:vAlign w:val="bottom"/>
          </w:tcPr>
          <w:p>
            <w:pPr>
              <w:spacing w:after="0"/>
              <w:rPr>
                <w:sz w:val="15"/>
                <w:szCs w:val="15"/>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600" w:type="dxa"/>
            <w:vAlign w:val="bottom"/>
          </w:tcPr>
          <w:p>
            <w:pPr>
              <w:spacing w:after="0"/>
              <w:rPr>
                <w:sz w:val="20"/>
                <w:szCs w:val="20"/>
                <w:color w:val="auto"/>
              </w:rPr>
            </w:pPr>
            <w:r>
              <w:rPr>
                <w:rFonts w:ascii="Courier New" w:cs="Courier New" w:eastAsia="Courier New" w:hAnsi="Courier New"/>
                <w:sz w:val="15"/>
                <w:szCs w:val="15"/>
                <w:color w:val="auto"/>
              </w:rPr>
              <w:t>Equity in unremitted income of affiliated cos.</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$1,101</w:t>
            </w:r>
          </w:p>
        </w:tc>
        <w:tc>
          <w:tcPr>
            <w:tcW w:w="19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$1,021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  953</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438</w:t>
            </w:r>
          </w:p>
        </w:tc>
        <w:tc>
          <w:tcPr>
            <w:tcW w:w="19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543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543</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Interest (principally tax exempt)</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573</w:t>
            </w:r>
          </w:p>
        </w:tc>
        <w:tc>
          <w:tcPr>
            <w:tcW w:w="19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550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417</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Gains from sales of investment securities</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2,115</w:t>
            </w:r>
          </w:p>
        </w:tc>
        <w:tc>
          <w:tcPr>
            <w:tcW w:w="19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(30)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(184)</w:t>
            </w:r>
          </w:p>
        </w:tc>
        <w:tc>
          <w:tcPr>
            <w:tcW w:w="19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229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255</w:t>
            </w:r>
          </w:p>
        </w:tc>
      </w:tr>
      <w:tr>
        <w:trPr>
          <w:trHeight w:val="173"/>
        </w:trPr>
        <w:tc>
          <w:tcPr>
            <w:tcW w:w="4600" w:type="dxa"/>
            <w:vAlign w:val="bottom"/>
          </w:tcPr>
          <w:p>
            <w:pPr>
              <w:spacing w:after="0"/>
              <w:rPr>
                <w:sz w:val="15"/>
                <w:szCs w:val="15"/>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3"/>
        </w:trPr>
        <w:tc>
          <w:tcPr>
            <w:tcW w:w="4600" w:type="dxa"/>
            <w:vAlign w:val="bottom"/>
          </w:tcPr>
          <w:p>
            <w:pPr>
              <w:spacing w:after="0"/>
              <w:rPr>
                <w:sz w:val="15"/>
                <w:szCs w:val="15"/>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$4,043</w:t>
            </w:r>
          </w:p>
        </w:tc>
        <w:tc>
          <w:tcPr>
            <w:tcW w:w="19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$2,313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$2,327</w:t>
            </w:r>
          </w:p>
        </w:tc>
      </w:tr>
      <w:tr>
        <w:trPr>
          <w:trHeight w:val="173"/>
        </w:trPr>
        <w:tc>
          <w:tcPr>
            <w:tcW w:w="4600" w:type="dxa"/>
            <w:vAlign w:val="bottom"/>
          </w:tcPr>
          <w:p>
            <w:pPr>
              <w:spacing w:after="0"/>
              <w:rPr>
                <w:sz w:val="15"/>
                <w:szCs w:val="15"/>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8"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The effective income tax rate has declined in 1996 because of the decline in operating income and the increase in not-fully-taxed other income:</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4320" w:type="dxa"/>
            <w:vAlign w:val="bottom"/>
            <w:gridSpan w:val="2"/>
          </w:tcPr>
          <w:p>
            <w:pPr>
              <w:ind w:left="1620"/>
              <w:spacing w:after="0"/>
              <w:rPr>
                <w:sz w:val="20"/>
                <w:szCs w:val="20"/>
                <w:color w:val="auto"/>
              </w:rPr>
            </w:pPr>
            <w:r>
              <w:rPr>
                <w:rFonts w:ascii="Courier New" w:cs="Courier New" w:eastAsia="Courier New" w:hAnsi="Courier New"/>
                <w:sz w:val="15"/>
                <w:szCs w:val="15"/>
                <w:color w:val="auto"/>
              </w:rPr>
              <w:t>First Quarter Ending February</w:t>
            </w:r>
          </w:p>
        </w:tc>
        <w:tc>
          <w:tcPr>
            <w:tcW w:w="540" w:type="dxa"/>
            <w:vAlign w:val="bottom"/>
          </w:tcPr>
          <w:p>
            <w:pPr>
              <w:spacing w:after="0"/>
              <w:rPr>
                <w:sz w:val="14"/>
                <w:szCs w:val="14"/>
                <w:color w:val="auto"/>
              </w:rPr>
            </w:pPr>
          </w:p>
        </w:tc>
      </w:tr>
      <w:tr>
        <w:trPr>
          <w:trHeight w:val="173"/>
        </w:trPr>
        <w:tc>
          <w:tcPr>
            <w:tcW w:w="3600" w:type="dxa"/>
            <w:vAlign w:val="bottom"/>
          </w:tcPr>
          <w:p>
            <w:pPr>
              <w:spacing w:after="0"/>
              <w:rPr>
                <w:sz w:val="15"/>
                <w:szCs w:val="15"/>
                <w:color w:val="auto"/>
              </w:rPr>
            </w:pPr>
          </w:p>
        </w:tc>
        <w:tc>
          <w:tcPr>
            <w:tcW w:w="4320" w:type="dxa"/>
            <w:vAlign w:val="bottom"/>
            <w:gridSpan w:val="2"/>
          </w:tcPr>
          <w:p>
            <w:pPr>
              <w:ind w:left="162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r>
      <w:tr>
        <w:trPr>
          <w:trHeight w:val="173"/>
        </w:trPr>
        <w:tc>
          <w:tcPr>
            <w:tcW w:w="3600" w:type="dxa"/>
            <w:vAlign w:val="bottom"/>
          </w:tcPr>
          <w:p>
            <w:pPr>
              <w:spacing w:after="0"/>
              <w:rPr>
                <w:sz w:val="15"/>
                <w:szCs w:val="15"/>
                <w:color w:val="auto"/>
              </w:rPr>
            </w:pPr>
          </w:p>
        </w:tc>
        <w:tc>
          <w:tcPr>
            <w:tcW w:w="2300" w:type="dxa"/>
            <w:vAlign w:val="bottom"/>
          </w:tcPr>
          <w:p>
            <w:pPr>
              <w:ind w:left="1360"/>
              <w:spacing w:after="0"/>
              <w:rPr>
                <w:sz w:val="20"/>
                <w:szCs w:val="20"/>
                <w:color w:val="auto"/>
              </w:rPr>
            </w:pPr>
            <w:r>
              <w:rPr>
                <w:rFonts w:ascii="Courier New" w:cs="Courier New" w:eastAsia="Courier New" w:hAnsi="Courier New"/>
                <w:sz w:val="15"/>
                <w:szCs w:val="15"/>
                <w:color w:val="auto"/>
              </w:rPr>
              <w:t>1996</w:t>
            </w:r>
          </w:p>
        </w:tc>
        <w:tc>
          <w:tcPr>
            <w:tcW w:w="2020" w:type="dxa"/>
            <w:vAlign w:val="bottom"/>
          </w:tcPr>
          <w:p>
            <w:pPr>
              <w:ind w:left="500"/>
              <w:spacing w:after="0"/>
              <w:rPr>
                <w:sz w:val="20"/>
                <w:szCs w:val="20"/>
                <w:color w:val="auto"/>
              </w:rPr>
            </w:pPr>
            <w:r>
              <w:rPr>
                <w:rFonts w:ascii="Courier New" w:cs="Courier New" w:eastAsia="Courier New" w:hAnsi="Courier New"/>
                <w:sz w:val="15"/>
                <w:szCs w:val="15"/>
                <w:color w:val="auto"/>
              </w:rPr>
              <w:t>1995</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3600" w:type="dxa"/>
            <w:vAlign w:val="bottom"/>
          </w:tcPr>
          <w:p>
            <w:pPr>
              <w:spacing w:after="0"/>
              <w:rPr>
                <w:sz w:val="15"/>
                <w:szCs w:val="15"/>
                <w:color w:val="auto"/>
              </w:rPr>
            </w:pPr>
          </w:p>
        </w:tc>
        <w:tc>
          <w:tcPr>
            <w:tcW w:w="2300" w:type="dxa"/>
            <w:vAlign w:val="bottom"/>
          </w:tcPr>
          <w:p>
            <w:pPr>
              <w:ind w:left="1360"/>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347"/>
        </w:trPr>
        <w:tc>
          <w:tcPr>
            <w:tcW w:w="360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2300" w:type="dxa"/>
            <w:vAlign w:val="bottom"/>
          </w:tcPr>
          <w:p>
            <w:pPr>
              <w:ind w:left="1360"/>
              <w:spacing w:after="0"/>
              <w:rPr>
                <w:sz w:val="20"/>
                <w:szCs w:val="20"/>
                <w:color w:val="auto"/>
              </w:rPr>
            </w:pPr>
            <w:r>
              <w:rPr>
                <w:rFonts w:ascii="Courier New" w:cs="Courier New" w:eastAsia="Courier New" w:hAnsi="Courier New"/>
                <w:sz w:val="15"/>
                <w:szCs w:val="15"/>
                <w:color w:val="auto"/>
              </w:rPr>
              <w:t>25.5%</w:t>
            </w:r>
          </w:p>
        </w:tc>
        <w:tc>
          <w:tcPr>
            <w:tcW w:w="2020" w:type="dxa"/>
            <w:vAlign w:val="bottom"/>
          </w:tcPr>
          <w:p>
            <w:pPr>
              <w:ind w:left="500"/>
              <w:spacing w:after="0"/>
              <w:rPr>
                <w:sz w:val="20"/>
                <w:szCs w:val="20"/>
                <w:color w:val="auto"/>
              </w:rPr>
            </w:pPr>
            <w:r>
              <w:rPr>
                <w:rFonts w:ascii="Courier New" w:cs="Courier New" w:eastAsia="Courier New" w:hAnsi="Courier New"/>
                <w:sz w:val="15"/>
                <w:szCs w:val="15"/>
                <w:color w:val="auto"/>
              </w:rPr>
              <w:t>29.2%</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w w:val="93"/>
              </w:rPr>
              <w:t>29.3%</w:t>
            </w: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provided by operating activities: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26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First Quarter Ending</w:t>
            </w:r>
          </w:p>
        </w:tc>
        <w:tc>
          <w:tcPr>
            <w:tcW w:w="1360" w:type="dxa"/>
            <w:vAlign w:val="bottom"/>
          </w:tcPr>
          <w:p>
            <w:pPr>
              <w:ind w:left="100"/>
              <w:spacing w:after="0"/>
              <w:rPr>
                <w:sz w:val="20"/>
                <w:szCs w:val="20"/>
                <w:color w:val="auto"/>
              </w:rPr>
            </w:pPr>
            <w:r>
              <w:rPr>
                <w:rFonts w:ascii="Courier New" w:cs="Courier New" w:eastAsia="Courier New" w:hAnsi="Courier New"/>
                <w:sz w:val="15"/>
                <w:szCs w:val="15"/>
                <w:color w:val="auto"/>
              </w:rPr>
              <w:t>February</w:t>
            </w:r>
          </w:p>
        </w:tc>
      </w:tr>
      <w:tr>
        <w:trPr>
          <w:trHeight w:val="173"/>
        </w:trPr>
        <w:tc>
          <w:tcPr>
            <w:tcW w:w="4720" w:type="dxa"/>
            <w:vAlign w:val="bottom"/>
          </w:tcPr>
          <w:p>
            <w:pPr>
              <w:spacing w:after="0"/>
              <w:rPr>
                <w:sz w:val="15"/>
                <w:szCs w:val="15"/>
                <w:color w:val="auto"/>
              </w:rPr>
            </w:pPr>
          </w:p>
        </w:tc>
        <w:tc>
          <w:tcPr>
            <w:tcW w:w="40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t>
            </w:r>
          </w:p>
        </w:tc>
      </w:tr>
      <w:tr>
        <w:trPr>
          <w:trHeight w:val="173"/>
        </w:trPr>
        <w:tc>
          <w:tcPr>
            <w:tcW w:w="4720" w:type="dxa"/>
            <w:vAlign w:val="bottom"/>
          </w:tcPr>
          <w:p>
            <w:pPr>
              <w:spacing w:after="0"/>
              <w:rPr>
                <w:sz w:val="15"/>
                <w:szCs w:val="15"/>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1995</w:t>
            </w:r>
          </w:p>
        </w:tc>
        <w:tc>
          <w:tcPr>
            <w:tcW w:w="1360" w:type="dxa"/>
            <w:vAlign w:val="bottom"/>
          </w:tcPr>
          <w:p>
            <w:pPr>
              <w:jc w:val="center"/>
              <w:ind w:left="725"/>
              <w:spacing w:after="0"/>
              <w:rPr>
                <w:sz w:val="20"/>
                <w:szCs w:val="20"/>
                <w:color w:val="auto"/>
              </w:rPr>
            </w:pPr>
            <w:r>
              <w:rPr>
                <w:rFonts w:ascii="Courier New" w:cs="Courier New" w:eastAsia="Courier New" w:hAnsi="Courier New"/>
                <w:sz w:val="15"/>
                <w:szCs w:val="15"/>
                <w:color w:val="auto"/>
                <w:w w:val="99"/>
              </w:rPr>
              <w:t>1994</w:t>
            </w:r>
          </w:p>
        </w:tc>
      </w:tr>
      <w:tr>
        <w:trPr>
          <w:trHeight w:val="173"/>
        </w:trPr>
        <w:tc>
          <w:tcPr>
            <w:tcW w:w="4720" w:type="dxa"/>
            <w:vAlign w:val="bottom"/>
          </w:tcPr>
          <w:p>
            <w:pPr>
              <w:spacing w:after="0"/>
              <w:rPr>
                <w:sz w:val="15"/>
                <w:szCs w:val="15"/>
                <w:color w:val="auto"/>
              </w:rPr>
            </w:pP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center"/>
              <w:ind w:left="72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4720" w:type="dxa"/>
            <w:vAlign w:val="bottom"/>
          </w:tcPr>
          <w:p>
            <w:pPr>
              <w:spacing w:after="0"/>
              <w:rPr>
                <w:sz w:val="20"/>
                <w:szCs w:val="20"/>
                <w:color w:val="auto"/>
              </w:rPr>
            </w:pPr>
            <w:r>
              <w:rPr>
                <w:rFonts w:ascii="Courier New" w:cs="Courier New" w:eastAsia="Courier New" w:hAnsi="Courier New"/>
                <w:sz w:val="15"/>
                <w:szCs w:val="15"/>
                <w:color w:val="auto"/>
              </w:rPr>
              <w:t>Cash provided by operating activities (thousands)</w:t>
            </w:r>
          </w:p>
        </w:tc>
        <w:tc>
          <w:tcPr>
            <w:tcW w:w="14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$11,232</w:t>
            </w:r>
          </w:p>
        </w:tc>
        <w:tc>
          <w:tcPr>
            <w:tcW w:w="126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9"/>
              </w:rPr>
              <w:t>$5,875</w:t>
            </w:r>
          </w:p>
        </w:tc>
        <w:tc>
          <w:tcPr>
            <w:tcW w:w="1360" w:type="dxa"/>
            <w:vAlign w:val="bottom"/>
          </w:tcPr>
          <w:p>
            <w:pPr>
              <w:jc w:val="center"/>
              <w:ind w:left="745"/>
              <w:spacing w:after="0"/>
              <w:rPr>
                <w:sz w:val="20"/>
                <w:szCs w:val="20"/>
                <w:color w:val="auto"/>
              </w:rPr>
            </w:pPr>
            <w:r>
              <w:rPr>
                <w:rFonts w:ascii="Courier New" w:cs="Courier New" w:eastAsia="Courier New" w:hAnsi="Courier New"/>
                <w:sz w:val="15"/>
                <w:szCs w:val="15"/>
                <w:color w:val="auto"/>
                <w:w w:val="99"/>
              </w:rPr>
              <w:t>$5,210</w:t>
            </w:r>
          </w:p>
        </w:tc>
      </w:tr>
    </w:tbl>
    <w:p>
      <w:pPr>
        <w:spacing w:after="0" w:line="351" w:lineRule="exact"/>
        <w:rPr>
          <w:sz w:val="20"/>
          <w:szCs w:val="20"/>
          <w:color w:val="auto"/>
        </w:rPr>
      </w:pPr>
    </w:p>
    <w:p>
      <w:pPr>
        <w:ind w:right="3919"/>
        <w:spacing w:after="0" w:line="243" w:lineRule="auto"/>
        <w:rPr>
          <w:sz w:val="20"/>
          <w:szCs w:val="20"/>
          <w:color w:val="auto"/>
        </w:rPr>
      </w:pPr>
      <w:r>
        <w:rPr>
          <w:rFonts w:ascii="Courier New" w:cs="Courier New" w:eastAsia="Courier New" w:hAnsi="Courier New"/>
          <w:sz w:val="15"/>
          <w:szCs w:val="15"/>
          <w:color w:val="auto"/>
        </w:rPr>
        <w:t>The increase in 1996 was caused by the decline in net current assets, exclusive of cash and cash equivalents.</w:t>
      </w:r>
    </w:p>
    <w:p>
      <w:pPr>
        <w:spacing w:after="0" w:line="17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Company continued its program of purchase and retirement of its Common Stock in the first quarter of 1996 acquiring 78,700 shares at an average cost of $23.15 for a total expenditure of $1,822,000. In fiscal years 1995 and 1994, 429,701 shares and 361,386 shares were acquired for a total cost of $10,125,000 and $9,546,000, respectively.</w:t>
      </w:r>
    </w:p>
    <w:p>
      <w:pPr>
        <w:spacing w:after="0" w:line="177"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current ratio was 6.74 to 1 at February 29, 1996 and 5.79 to 1 at November 30, 1995. Working capital increased to $176 million at February 29, 1996, up from $170 million at November 30, 1995.</w:t>
      </w:r>
    </w:p>
    <w:p>
      <w:pPr>
        <w:spacing w:after="0" w:line="175"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Cash provided by operating activities is expected to be adequate for normal future operating requirements.</w:t>
      </w:r>
    </w:p>
    <w:p>
      <w:pPr>
        <w:spacing w:after="0" w:line="176"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There were no material commitments for capital expenditures at February 29, 1996. Capital expenditures that will be made in the future for normal expansion or other operating purposes will be made from funds on hand or those generated from operations.</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Page 6 of 8</w:t>
      </w:r>
    </w:p>
    <w:p>
      <w:pPr>
        <w:sectPr>
          <w:pgSz w:w="11900" w:h="16838" w:orient="portrait"/>
          <w:cols w:equalWidth="0" w:num="1">
            <w:col w:w="10219"/>
          </w:cols>
          <w:pgMar w:left="240" w:top="291" w:right="1440" w:bottom="1440" w:gutter="0" w:footer="0" w:header="0"/>
          <w:type w:val="continuous"/>
        </w:sectPr>
      </w:pPr>
    </w:p>
    <w:bookmarkStart w:id="7" w:name="page8"/>
    <w:bookmarkEnd w:id="7"/>
    <w:p>
      <w:pPr>
        <w:ind w:left="268"/>
        <w:spacing w:after="0"/>
        <w:rPr>
          <w:sz w:val="20"/>
          <w:szCs w:val="20"/>
          <w:color w:val="auto"/>
        </w:rPr>
      </w:pPr>
      <w:r>
        <w:rPr>
          <w:rFonts w:ascii="Courier New" w:cs="Courier New" w:eastAsia="Courier New" w:hAnsi="Courier New"/>
          <w:sz w:val="15"/>
          <w:szCs w:val="15"/>
          <w:color w:val="auto"/>
        </w:rPr>
        <w:t>7</w:t>
      </w:r>
    </w:p>
    <w:p>
      <w:pPr>
        <w:spacing w:after="0" w:line="3" w:lineRule="exact"/>
        <w:rPr>
          <w:sz w:val="20"/>
          <w:szCs w:val="20"/>
          <w:color w:val="auto"/>
        </w:rPr>
      </w:pPr>
    </w:p>
    <w:p>
      <w:pPr>
        <w:jc w:val="center"/>
        <w:ind w:right="3112"/>
        <w:spacing w:after="0"/>
        <w:rPr>
          <w:sz w:val="20"/>
          <w:szCs w:val="20"/>
          <w:color w:val="auto"/>
        </w:rPr>
      </w:pPr>
      <w:r>
        <w:rPr>
          <w:rFonts w:ascii="Courier New" w:cs="Courier New" w:eastAsia="Courier New" w:hAnsi="Courier New"/>
          <w:sz w:val="15"/>
          <w:szCs w:val="15"/>
          <w:color w:val="auto"/>
        </w:rPr>
        <w:t>PART II - OTHER INFORMATION</w:t>
      </w:r>
    </w:p>
    <w:p>
      <w:pPr>
        <w:spacing w:after="0" w:line="3" w:lineRule="exact"/>
        <w:rPr>
          <w:sz w:val="20"/>
          <w:szCs w:val="20"/>
          <w:color w:val="auto"/>
        </w:rPr>
      </w:pPr>
    </w:p>
    <w:p>
      <w:pPr>
        <w:jc w:val="center"/>
        <w:ind w:right="3112"/>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350"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7" w:lineRule="exact"/>
        <w:rPr>
          <w:sz w:val="20"/>
          <w:szCs w:val="20"/>
          <w:color w:val="auto"/>
        </w:rPr>
      </w:pPr>
    </w:p>
    <w:p>
      <w:pPr>
        <w:ind w:left="368" w:hanging="368"/>
        <w:spacing w:after="0"/>
        <w:tabs>
          <w:tab w:leader="none" w:pos="36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3" w:lineRule="exact"/>
        <w:rPr>
          <w:rFonts w:ascii="Courier New" w:cs="Courier New" w:eastAsia="Courier New" w:hAnsi="Courier New"/>
          <w:sz w:val="15"/>
          <w:szCs w:val="15"/>
          <w:color w:val="auto"/>
        </w:rPr>
      </w:pPr>
    </w:p>
    <w:p>
      <w:pPr>
        <w:ind w:left="808" w:hanging="447"/>
        <w:spacing w:after="0"/>
        <w:tabs>
          <w:tab w:leader="none" w:pos="80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350"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jc w:val="both"/>
        <w:ind w:left="8" w:right="3739"/>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ROBERT H. SPILMAN</w:t>
      </w:r>
    </w:p>
    <w:p>
      <w:pPr>
        <w:spacing w:after="0" w:line="3" w:lineRule="exact"/>
        <w:rPr>
          <w:sz w:val="20"/>
          <w:szCs w:val="20"/>
          <w:color w:val="auto"/>
        </w:rPr>
      </w:pPr>
    </w:p>
    <w:p>
      <w:pPr>
        <w:ind w:left="188" w:hanging="188"/>
        <w:spacing w:after="0"/>
        <w:tabs>
          <w:tab w:leader="none" w:pos="1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H. Spilman, Chairman of the Board and Chief Executive Officer</w:t>
      </w:r>
    </w:p>
    <w:p>
      <w:pPr>
        <w:spacing w:after="0" w:line="200" w:lineRule="exact"/>
        <w:rPr>
          <w:sz w:val="20"/>
          <w:szCs w:val="20"/>
          <w:color w:val="auto"/>
        </w:rPr>
      </w:pPr>
    </w:p>
    <w:p>
      <w:pPr>
        <w:spacing w:after="0" w:line="324"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April 12, 1996</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PHILIP E. BOOKER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Philip E. Booker, Vice President, Controller (Chief Accounting Officer)</w:t>
      </w:r>
    </w:p>
    <w:p>
      <w:pPr>
        <w:spacing w:after="0" w:line="200" w:lineRule="exact"/>
        <w:rPr>
          <w:sz w:val="20"/>
          <w:szCs w:val="20"/>
          <w:color w:val="auto"/>
        </w:rPr>
      </w:pPr>
    </w:p>
    <w:p>
      <w:pPr>
        <w:spacing w:after="0" w:line="324"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April 12, 1996</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Page 7 of 8</w:t>
      </w:r>
    </w:p>
    <w:p>
      <w:pPr>
        <w:sectPr>
          <w:pgSz w:w="11900" w:h="16838" w:orient="portrait"/>
          <w:cols w:equalWidth="0" w:num="1">
            <w:col w:w="10227"/>
          </w:cols>
          <w:pgMar w:left="232" w:top="291"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FORM 10-Q</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QUARTERLY REPORT</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quarter ended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29,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 File Number</w:t>
      </w:r>
    </w:p>
    <w:p>
      <w:pPr>
        <w:spacing w:after="0" w:line="14"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0-209</w:t>
      </w:r>
    </w:p>
    <w:p>
      <w:pPr>
        <w:spacing w:after="0" w:line="200" w:lineRule="exact"/>
        <w:rPr>
          <w:sz w:val="20"/>
          <w:szCs w:val="20"/>
          <w:color w:val="auto"/>
        </w:rPr>
      </w:pPr>
    </w:p>
    <w:p>
      <w:pPr>
        <w:sectPr>
          <w:pgSz w:w="11900" w:h="16838" w:orient="portrait"/>
          <w:cols w:equalWidth="0" w:num="2">
            <w:col w:w="3780" w:space="720"/>
            <w:col w:w="5719"/>
          </w:cols>
          <w:pgMar w:left="240" w:top="291" w:right="1440" w:bottom="1440" w:gutter="0" w:footer="0" w:header="0"/>
          <w:type w:val="continuous"/>
        </w:sectPr>
      </w:pPr>
    </w:p>
    <w:p>
      <w:pPr>
        <w:spacing w:after="0" w:line="32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29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Description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3">
            <w:col w:w="1520" w:space="720"/>
            <w:col w:w="2720" w:space="720"/>
            <w:col w:w="4539"/>
          </w:cols>
          <w:pgMar w:left="240" w:top="291"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page - 8</w:t>
      </w:r>
    </w:p>
    <w:p>
      <w:pPr>
        <w:spacing w:after="0" w:line="210" w:lineRule="exact"/>
        <w:rPr>
          <w:sz w:val="20"/>
          <w:szCs w:val="20"/>
          <w:color w:val="auto"/>
        </w:rPr>
      </w:pPr>
    </w:p>
    <w:p>
      <w:pPr>
        <w:sectPr>
          <w:pgSz w:w="11900" w:h="16838" w:orient="portrait"/>
          <w:cols w:equalWidth="0" w:num="3">
            <w:col w:w="1520" w:space="720"/>
            <w:col w:w="2720" w:space="720"/>
            <w:col w:w="4539"/>
          </w:cols>
          <w:pgMar w:left="240" w:top="29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Page 8 of 8</w:t>
      </w:r>
    </w:p>
    <w:p>
      <w:pPr>
        <w:sectPr>
          <w:pgSz w:w="11900" w:h="16838" w:orient="portrait"/>
          <w:cols w:equalWidth="0" w:num="1">
            <w:col w:w="10219"/>
          </w:cols>
          <w:pgMar w:left="240" w:top="291" w:right="1440"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5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3-MOS</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NOV-30-1996</w:t>
      </w:r>
    </w:p>
    <w:p>
      <w:pPr>
        <w:spacing w:after="0" w:line="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DEC-1-1995</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FEB-29-1996</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65,344</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32,417</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61,850</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76,233</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206,956</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212,540</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160,789</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341,776</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30,724</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67,901</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230,643</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341,776</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111,951</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115,994</w:t>
      </w:r>
    </w:p>
    <w:p>
      <w:pPr>
        <w:spacing w:after="0" w:line="3" w:lineRule="exact"/>
        <w:rPr>
          <w:sz w:val="20"/>
          <w:szCs w:val="20"/>
          <w:color w:val="auto"/>
        </w:rPr>
      </w:pPr>
    </w:p>
    <w:p>
      <w:pPr>
        <w:jc w:val="right"/>
        <w:ind w:right="5799"/>
        <w:spacing w:after="0"/>
        <w:rPr>
          <w:sz w:val="20"/>
          <w:szCs w:val="20"/>
          <w:color w:val="auto"/>
        </w:rPr>
      </w:pPr>
      <w:r>
        <w:rPr>
          <w:rFonts w:ascii="Courier New" w:cs="Courier New" w:eastAsia="Courier New" w:hAnsi="Courier New"/>
          <w:sz w:val="15"/>
          <w:szCs w:val="15"/>
          <w:color w:val="auto"/>
        </w:rPr>
        <w:t>94,183</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109,670</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182</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1,452</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6,324</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1,610</w:t>
      </w:r>
    </w:p>
    <w:p>
      <w:pPr>
        <w:spacing w:after="0" w:line="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4,714</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4,714</w:t>
      </w:r>
    </w:p>
    <w:p>
      <w:pPr>
        <w:spacing w:after="0" w:line="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.35</w:t>
      </w:r>
    </w:p>
    <w:p>
      <w:pPr>
        <w:spacing w:after="0" w:line="3"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39"/>
      </w:cols>
      <w:pgMar w:left="320" w:top="4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upperLetter"/>
      <w:start w:val="9"/>
    </w:lvl>
  </w:abstractNum>
  <w:abstractNum w:abstractNumId="3">
    <w:nsid w:val="238E1F29"/>
    <w:multiLevelType w:val="hybridMultilevel"/>
    <w:lvl w:ilvl="0">
      <w:lvlJc w:val="left"/>
      <w:lvlText w:val="%1."/>
      <w:numFmt w:val="lowerLetter"/>
      <w:start w:val="1"/>
    </w:lvl>
    <w:lvl w:ilvl="1">
      <w:lvlJc w:val="left"/>
      <w:lvlText w:val="(%2)"/>
      <w:numFmt w:val="decimal"/>
      <w:start w:val="27"/>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2019-12-12T05:49:36Z</dcterms:created>
  <dcterms:modified xsi:type="dcterms:W3CDTF">2019-12-12T05:49:36Z</dcterms:modified>
</cp:coreProperties>
</file>