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bset20260829_10q.htm"/>
      <w:bookmarkStart w:id="1" w:name="ksbset20260829_10q"/>
      <w:bookmarkEnd w:id="0"/>
      <w:bookmarkEnd w:id="1"/>
      <w:r>
        <w:rPr/>
        <w:t> </w:t>
      </w:r>
    </w:p>
    <w:p>
      <w:pPr>
        <w:pStyle w:val="TextBody"/>
        <w:bidi w:val="0"/>
        <w:spacing w:before="0" w:after="283"/>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 xml:space="preserve">UNITED STATES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SECURITIES AND EXCHANGE COMMISSION</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caps w:val="false"/>
          <w:smallCaps w:val="false"/>
          <w:sz w:val="24"/>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rFonts w:ascii="Times New Roman" w:hAnsi="Times New Roman"/>
          <w:b/>
          <w:caps w:val="false"/>
          <w:smallCaps w:val="false"/>
          <w:sz w:val="24"/>
        </w:rPr>
        <w:t>QUARTERLY REPORT PURSUANT TO SECTION 13 OR 15(d) OF</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For the quarterly period ended August 29,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caps w:val="false"/>
          <w:smallCaps w:val="false"/>
          <w:sz w:val="24"/>
        </w:rPr>
        <w: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rFonts w:ascii="Times New Roman" w:hAnsi="Times New Roman"/>
          <w:b/>
          <w:caps w:val="false"/>
          <w:smallCaps w:val="false"/>
          <w:sz w:val="24"/>
        </w:rPr>
        <w:t>TRANSITION REPORT PURSUANT TO SECTION 13 OR 15(d) OF</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 the transition period from _____________________________ to 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 File No. 000-00209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caps w:val="false"/>
          <w:smallCaps w:val="false"/>
          <w:sz w:val="24"/>
        </w:rPr>
        <w:t>BASSETT FURNITURE INDUSTRIES, INCORPORATED</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4360" w:type="dxa"/>
        <w:jc w:val="left"/>
        <w:tblInd w:w="0" w:type="dxa"/>
        <w:tblLayout w:type="fixed"/>
        <w:tblCellMar>
          <w:top w:w="0" w:type="dxa"/>
          <w:left w:w="0" w:type="dxa"/>
          <w:bottom w:w="0" w:type="dxa"/>
          <w:right w:w="0" w:type="dxa"/>
        </w:tblCellMar>
      </w:tblPr>
      <w:tblGrid>
        <w:gridCol w:w="75"/>
        <w:gridCol w:w="2690"/>
        <w:gridCol w:w="1520"/>
        <w:gridCol w:w="75"/>
      </w:tblGrid>
      <w:tr>
        <w:trPr/>
        <w:tc>
          <w:tcPr>
            <w:tcW w:w="75" w:type="dxa"/>
            <w:tcBorders/>
            <w:vAlign w:val="center"/>
          </w:tcPr>
          <w:p>
            <w:pPr>
              <w:pStyle w:val="TableContents"/>
              <w:bidi w:val="0"/>
              <w:spacing w:before="0" w:after="283"/>
              <w:jc w:val="center"/>
              <w:rPr/>
            </w:pPr>
            <w:r>
              <w:rPr/>
              <w:t> </w:t>
            </w:r>
          </w:p>
        </w:tc>
        <w:tc>
          <w:tcPr>
            <w:tcW w:w="2690" w:type="dxa"/>
            <w:tcBorders/>
            <w:vAlign w:val="center"/>
          </w:tcPr>
          <w:p>
            <w:pPr>
              <w:pStyle w:val="TableContents"/>
              <w:bidi w:val="0"/>
              <w:spacing w:before="0" w:after="283"/>
              <w:jc w:val="left"/>
              <w:rPr>
                <w:rFonts w:ascii="Times New Roman;Times;serif" w:hAnsi="Times New Roman;Times;serif"/>
                <w:sz w:val="24"/>
                <w:u w:val="single"/>
              </w:rPr>
            </w:pPr>
            <w:r>
              <w:rPr>
                <w:rFonts w:ascii="Times New Roman;Times;serif" w:hAnsi="Times New Roman;Times;serif"/>
                <w:sz w:val="24"/>
                <w:u w:val="single"/>
              </w:rPr>
              <w:t>Virginia</w:t>
            </w:r>
          </w:p>
        </w:tc>
        <w:tc>
          <w:tcPr>
            <w:tcW w:w="1520" w:type="dxa"/>
            <w:tcBorders/>
            <w:vAlign w:val="center"/>
          </w:tcPr>
          <w:p>
            <w:pPr>
              <w:pStyle w:val="TableContents"/>
              <w:bidi w:val="0"/>
              <w:spacing w:before="0" w:after="283"/>
              <w:jc w:val="right"/>
              <w:rPr>
                <w:rFonts w:ascii="Times New Roman;Times;serif" w:hAnsi="Times New Roman;Times;serif"/>
                <w:sz w:val="24"/>
                <w:u w:val="single"/>
              </w:rPr>
            </w:pPr>
            <w:r>
              <w:rPr>
                <w:rFonts w:ascii="Times New Roman;Times;serif" w:hAnsi="Times New Roman;Times;serif"/>
                <w:sz w:val="24"/>
                <w:u w:val="single"/>
              </w:rPr>
              <w:t>54-0135270</w:t>
            </w:r>
          </w:p>
        </w:tc>
        <w:tc>
          <w:tcPr>
            <w:tcW w:w="75" w:type="dxa"/>
            <w:tcBorders/>
            <w:vAlign w:val="center"/>
          </w:tcPr>
          <w:p>
            <w:pPr>
              <w:pStyle w:val="TableContents"/>
              <w:bidi w:val="0"/>
              <w:spacing w:before="0" w:after="283"/>
              <w:jc w:val="center"/>
              <w:rPr/>
            </w:pPr>
            <w:r>
              <w:rPr/>
              <w:t> </w:t>
            </w:r>
          </w:p>
        </w:tc>
      </w:tr>
      <w:tr>
        <w:trPr/>
        <w:tc>
          <w:tcPr>
            <w:tcW w:w="75" w:type="dxa"/>
            <w:tcBorders/>
            <w:vAlign w:val="center"/>
          </w:tcPr>
          <w:p>
            <w:pPr>
              <w:pStyle w:val="TableContents"/>
              <w:bidi w:val="0"/>
              <w:spacing w:before="0" w:after="283"/>
              <w:jc w:val="center"/>
              <w:rPr/>
            </w:pPr>
            <w:r>
              <w:rPr/>
              <w:t> </w:t>
            </w:r>
          </w:p>
        </w:tc>
        <w:tc>
          <w:tcPr>
            <w:tcW w:w="26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(State or other jurisdiction</w:t>
            </w:r>
          </w:p>
        </w:tc>
        <w:tc>
          <w:tcPr>
            <w:tcW w:w="15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(I.R.S. Employer</w:t>
            </w:r>
          </w:p>
        </w:tc>
        <w:tc>
          <w:tcPr>
            <w:tcW w:w="75" w:type="dxa"/>
            <w:tcBorders/>
            <w:vAlign w:val="center"/>
          </w:tcPr>
          <w:p>
            <w:pPr>
              <w:pStyle w:val="TableContents"/>
              <w:bidi w:val="0"/>
              <w:spacing w:before="0" w:after="283"/>
              <w:jc w:val="center"/>
              <w:rPr/>
            </w:pPr>
            <w:r>
              <w:rPr/>
              <w:t> </w:t>
            </w:r>
          </w:p>
        </w:tc>
      </w:tr>
      <w:tr>
        <w:trPr/>
        <w:tc>
          <w:tcPr>
            <w:tcW w:w="75" w:type="dxa"/>
            <w:tcBorders/>
            <w:vAlign w:val="center"/>
          </w:tcPr>
          <w:p>
            <w:pPr>
              <w:pStyle w:val="TableContents"/>
              <w:bidi w:val="0"/>
              <w:spacing w:before="0" w:after="283"/>
              <w:jc w:val="center"/>
              <w:rPr/>
            </w:pPr>
            <w:r>
              <w:rPr/>
              <w:t> </w:t>
            </w:r>
          </w:p>
        </w:tc>
        <w:tc>
          <w:tcPr>
            <w:tcW w:w="26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of incorporation or organization)</w:t>
            </w:r>
          </w:p>
        </w:tc>
        <w:tc>
          <w:tcPr>
            <w:tcW w:w="15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Identification No.)</w:t>
            </w:r>
          </w:p>
        </w:tc>
        <w:tc>
          <w:tcPr>
            <w:tcW w:w="75"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caps w:val="false"/>
          <w:smallCaps w:val="false"/>
          <w:sz w:val="24"/>
        </w:rPr>
        <w:t>3525 Fairystone Park Highway</w:t>
      </w:r>
    </w:p>
    <w:p>
      <w:pPr>
        <w:pStyle w:val="TextBody"/>
        <w:bidi w:val="0"/>
        <w:spacing w:before="0" w:after="0"/>
        <w:ind w:left="0" w:right="0" w:hanging="0"/>
        <w:jc w:val="center"/>
        <w:rPr>
          <w:rFonts w:ascii="Times New Roman" w:hAnsi="Times New Roman"/>
          <w:caps w:val="false"/>
          <w:smallCaps w:val="false"/>
          <w:sz w:val="24"/>
          <w:u w:val="single"/>
        </w:rPr>
      </w:pPr>
      <w:r>
        <w:rPr>
          <w:rFonts w:ascii="Times New Roman" w:hAnsi="Times New Roman"/>
          <w:caps w:val="false"/>
          <w:smallCaps w:val="false"/>
          <w:sz w:val="24"/>
          <w:u w:val="single"/>
        </w:rPr>
        <w:t>Bassett, Virginia 24055</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caps w:val="false"/>
          <w:smallCaps w:val="false"/>
          <w:sz w:val="24"/>
        </w:rPr>
        <w:t>(276) 629-6000</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350" w:type="dxa"/>
        <w:jc w:val="left"/>
        <w:tblInd w:w="0" w:type="dxa"/>
        <w:tblLayout w:type="fixed"/>
        <w:tblCellMar>
          <w:top w:w="0" w:type="dxa"/>
          <w:left w:w="0" w:type="dxa"/>
          <w:bottom w:w="28" w:type="dxa"/>
          <w:right w:w="0" w:type="dxa"/>
        </w:tblCellMar>
      </w:tblPr>
      <w:tblGrid>
        <w:gridCol w:w="2720"/>
        <w:gridCol w:w="60"/>
        <w:gridCol w:w="1340"/>
        <w:gridCol w:w="60"/>
        <w:gridCol w:w="3170"/>
      </w:tblGrid>
      <w:tr>
        <w:trPr/>
        <w:tc>
          <w:tcPr>
            <w:tcW w:w="272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34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Trading Symbol</w:t>
            </w:r>
          </w:p>
        </w:tc>
        <w:tc>
          <w:tcPr>
            <w:tcW w:w="60" w:type="dxa"/>
            <w:tcBorders/>
            <w:tcMar>
              <w:bottom w:w="0" w:type="dxa"/>
            </w:tcMar>
            <w:vAlign w:val="center"/>
          </w:tcPr>
          <w:p>
            <w:pPr>
              <w:pStyle w:val="TableContents"/>
              <w:bidi w:val="0"/>
              <w:spacing w:before="0" w:after="283"/>
              <w:jc w:val="left"/>
              <w:rPr/>
            </w:pPr>
            <w:r>
              <w:rPr/>
              <w:t> </w:t>
            </w:r>
          </w:p>
        </w:tc>
        <w:tc>
          <w:tcPr>
            <w:tcW w:w="317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Name of exchange on which registered</w:t>
            </w:r>
          </w:p>
        </w:tc>
      </w:tr>
      <w:tr>
        <w:trPr/>
        <w:tc>
          <w:tcPr>
            <w:tcW w:w="272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($5.00 par value)</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BSET</w:t>
            </w:r>
          </w:p>
        </w:tc>
        <w:tc>
          <w:tcPr>
            <w:tcW w:w="60" w:type="dxa"/>
            <w:tcBorders/>
            <w:tcMar>
              <w:bottom w:w="0" w:type="dxa"/>
            </w:tcMar>
            <w:vAlign w:val="center"/>
          </w:tcPr>
          <w:p>
            <w:pPr>
              <w:pStyle w:val="TableContents"/>
              <w:bidi w:val="0"/>
              <w:spacing w:before="0" w:after="283"/>
              <w:jc w:val="left"/>
              <w:rPr/>
            </w:pPr>
            <w:r>
              <w:rPr/>
              <w:t> </w:t>
            </w:r>
          </w:p>
        </w:tc>
        <w:tc>
          <w:tcPr>
            <w:tcW w:w="317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NASDAQ</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5450" w:type="dxa"/>
        <w:jc w:val="left"/>
        <w:tblInd w:w="0" w:type="dxa"/>
        <w:tblLayout w:type="fixed"/>
        <w:tblCellMar>
          <w:top w:w="0" w:type="dxa"/>
          <w:left w:w="0" w:type="dxa"/>
          <w:bottom w:w="0" w:type="dxa"/>
          <w:right w:w="0" w:type="dxa"/>
        </w:tblCellMar>
      </w:tblPr>
      <w:tblGrid>
        <w:gridCol w:w="2255"/>
        <w:gridCol w:w="230"/>
        <w:gridCol w:w="2735"/>
        <w:gridCol w:w="230"/>
      </w:tblGrid>
      <w:tr>
        <w:trPr/>
        <w:tc>
          <w:tcPr>
            <w:tcW w:w="2255" w:type="dxa"/>
            <w:tcBorders/>
            <w:vAlign w:val="center"/>
          </w:tcPr>
          <w:p>
            <w:pPr>
              <w:pStyle w:val="TableContents"/>
              <w:bidi w:val="0"/>
              <w:spacing w:before="0" w:after="283"/>
              <w:jc w:val="left"/>
              <w:rPr/>
            </w:pPr>
            <w:r>
              <w:rPr/>
              <w:t>Large Accelerated Filer</w:t>
            </w:r>
          </w:p>
        </w:tc>
        <w:tc>
          <w:tcPr>
            <w:tcW w:w="230" w:type="dxa"/>
            <w:tcBorders/>
            <w:vAlign w:val="center"/>
          </w:tcPr>
          <w:p>
            <w:pPr>
              <w:pStyle w:val="TableContents"/>
              <w:bidi w:val="0"/>
              <w:spacing w:before="0" w:after="283"/>
              <w:jc w:val="center"/>
              <w:rPr/>
            </w:pPr>
            <w:r>
              <w:rPr/>
              <w:t>☐</w:t>
            </w:r>
          </w:p>
        </w:tc>
        <w:tc>
          <w:tcPr>
            <w:tcW w:w="2735" w:type="dxa"/>
            <w:tcBorders/>
            <w:vAlign w:val="center"/>
          </w:tcPr>
          <w:p>
            <w:pPr>
              <w:pStyle w:val="TableContents"/>
              <w:bidi w:val="0"/>
              <w:spacing w:before="0" w:after="283"/>
              <w:jc w:val="left"/>
              <w:rPr/>
            </w:pPr>
            <w:r>
              <w:rPr/>
              <w:t>Accelerated Filer</w:t>
            </w:r>
          </w:p>
        </w:tc>
        <w:tc>
          <w:tcPr>
            <w:tcW w:w="230" w:type="dxa"/>
            <w:tcBorders/>
            <w:vAlign w:val="center"/>
          </w:tcPr>
          <w:p>
            <w:pPr>
              <w:pStyle w:val="TableContents"/>
              <w:bidi w:val="0"/>
              <w:spacing w:before="0" w:after="283"/>
              <w:jc w:val="center"/>
              <w:rPr/>
            </w:pPr>
            <w:r>
              <w:rPr/>
              <w:t>☒</w:t>
            </w:r>
          </w:p>
        </w:tc>
      </w:tr>
      <w:tr>
        <w:trPr/>
        <w:tc>
          <w:tcPr>
            <w:tcW w:w="2255" w:type="dxa"/>
            <w:tcBorders/>
            <w:vAlign w:val="center"/>
          </w:tcPr>
          <w:p>
            <w:pPr>
              <w:pStyle w:val="TableContents"/>
              <w:bidi w:val="0"/>
              <w:spacing w:before="0" w:after="283"/>
              <w:jc w:val="left"/>
              <w:rPr/>
            </w:pPr>
            <w:r>
              <w:rPr/>
              <w:t>Non-accelerated Filer</w:t>
            </w:r>
          </w:p>
        </w:tc>
        <w:tc>
          <w:tcPr>
            <w:tcW w:w="230" w:type="dxa"/>
            <w:tcBorders/>
            <w:vAlign w:val="center"/>
          </w:tcPr>
          <w:p>
            <w:pPr>
              <w:pStyle w:val="TableContents"/>
              <w:bidi w:val="0"/>
              <w:spacing w:before="0" w:after="283"/>
              <w:jc w:val="center"/>
              <w:rPr/>
            </w:pPr>
            <w:r>
              <w:rPr/>
              <w:t>☐</w:t>
            </w:r>
          </w:p>
        </w:tc>
        <w:tc>
          <w:tcPr>
            <w:tcW w:w="2735" w:type="dxa"/>
            <w:tcBorders/>
            <w:vAlign w:val="center"/>
          </w:tcPr>
          <w:p>
            <w:pPr>
              <w:pStyle w:val="TableContents"/>
              <w:bidi w:val="0"/>
              <w:spacing w:before="0" w:after="283"/>
              <w:jc w:val="left"/>
              <w:rPr/>
            </w:pPr>
            <w:r>
              <w:rPr/>
              <w:t>Smaller Reporting Company</w:t>
            </w:r>
          </w:p>
        </w:tc>
        <w:tc>
          <w:tcPr>
            <w:tcW w:w="230" w:type="dxa"/>
            <w:tcBorders/>
            <w:vAlign w:val="center"/>
          </w:tcPr>
          <w:p>
            <w:pPr>
              <w:pStyle w:val="TableContents"/>
              <w:bidi w:val="0"/>
              <w:spacing w:before="0" w:after="283"/>
              <w:jc w:val="center"/>
              <w:rPr/>
            </w:pPr>
            <w:r>
              <w:rPr/>
              <w:t>☒</w:t>
            </w:r>
          </w:p>
        </w:tc>
      </w:tr>
      <w:tr>
        <w:trPr/>
        <w:tc>
          <w:tcPr>
            <w:tcW w:w="225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735" w:type="dxa"/>
            <w:tcBorders/>
            <w:vAlign w:val="center"/>
          </w:tcPr>
          <w:p>
            <w:pPr>
              <w:pStyle w:val="TableContents"/>
              <w:bidi w:val="0"/>
              <w:spacing w:before="0" w:after="283"/>
              <w:jc w:val="left"/>
              <w:rPr/>
            </w:pPr>
            <w:r>
              <w:rPr/>
              <w:t>Emerging Growth Company</w:t>
            </w:r>
          </w:p>
        </w:tc>
        <w:tc>
          <w:tcPr>
            <w:tcW w:w="230" w:type="dxa"/>
            <w:tcBorders/>
            <w:vAlign w:val="center"/>
          </w:tcPr>
          <w:p>
            <w:pPr>
              <w:pStyle w:val="TableContents"/>
              <w:bidi w:val="0"/>
              <w:spacing w:before="0" w:after="283"/>
              <w:jc w:val="center"/>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Exchange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 September 24, 2026 8,651,361 shares of common stock of the Registrant were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 of 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BASSETT FURNITURE INDUSTRIES, INCORPORATED AND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7810" w:type="dxa"/>
        <w:jc w:val="left"/>
        <w:tblInd w:w="0" w:type="dxa"/>
        <w:tblLayout w:type="fixed"/>
        <w:tblCellMar>
          <w:top w:w="0" w:type="dxa"/>
          <w:left w:w="0" w:type="dxa"/>
          <w:bottom w:w="0" w:type="dxa"/>
          <w:right w:w="0" w:type="dxa"/>
        </w:tblCellMar>
      </w:tblPr>
      <w:tblGrid>
        <w:gridCol w:w="7145"/>
        <w:gridCol w:w="665"/>
      </w:tblGrid>
      <w:tr>
        <w:trPr/>
        <w:tc>
          <w:tcPr>
            <w:tcW w:w="7145" w:type="dxa"/>
            <w:tcBorders/>
            <w:vAlign w:val="center"/>
          </w:tcPr>
          <w:p>
            <w:pPr>
              <w:pStyle w:val="TableContents"/>
              <w:bidi w:val="0"/>
              <w:spacing w:before="0" w:after="283"/>
              <w:jc w:val="left"/>
              <w:rPr/>
            </w:pPr>
            <w:r>
              <w:rPr/>
              <w:t>ITEM                                                                                                             </w:t>
            </w:r>
          </w:p>
        </w:tc>
        <w:tc>
          <w:tcPr>
            <w:tcW w:w="665" w:type="dxa"/>
            <w:tcBorders/>
            <w:vAlign w:val="center"/>
          </w:tcPr>
          <w:p>
            <w:pPr>
              <w:pStyle w:val="TableContents"/>
              <w:bidi w:val="0"/>
              <w:spacing w:before="0" w:after="283"/>
              <w:jc w:val="left"/>
              <w:rPr/>
            </w:pPr>
            <w:r>
              <w:rPr/>
              <w:t>PAGE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PART I - FINANCIAL INFORMATION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7"/>
        <w:gridCol w:w="9583"/>
        <w:gridCol w:w="455"/>
      </w:tblGrid>
      <w:tr>
        <w:trPr/>
        <w:tc>
          <w:tcPr>
            <w:tcW w:w="167" w:type="dxa"/>
            <w:tcBorders/>
            <w:shd w:fill="CCEEFF" w:val="clear"/>
            <w:vAlign w:val="center"/>
          </w:tcPr>
          <w:p>
            <w:pPr>
              <w:pStyle w:val="TableContents"/>
              <w:bidi w:val="0"/>
              <w:spacing w:before="0" w:after="283"/>
              <w:jc w:val="left"/>
              <w:rPr/>
            </w:pPr>
            <w:r>
              <w:rPr/>
              <w:t>1.</w:t>
            </w:r>
          </w:p>
        </w:tc>
        <w:tc>
          <w:tcPr>
            <w:tcW w:w="10038" w:type="dxa"/>
            <w:gridSpan w:val="2"/>
            <w:tcBorders/>
            <w:shd w:fill="CCEEFF" w:val="clear"/>
            <w:vAlign w:val="center"/>
          </w:tcPr>
          <w:p>
            <w:pPr>
              <w:pStyle w:val="TableContents"/>
              <w:bidi w:val="0"/>
              <w:spacing w:before="0" w:after="283"/>
              <w:jc w:val="left"/>
              <w:rPr/>
            </w:pPr>
            <w:r>
              <w:rPr/>
              <w:t>Condensed Consolidated Financial Statements as of August 29, 2026 (unaudited) and November 29, 2025 and for the three and nine months ended August 29, 2026 (unaudited) and August 30, 2025 (unaudited)</w:t>
            </w:r>
          </w:p>
        </w:tc>
      </w:tr>
      <w:tr>
        <w:trPr/>
        <w:tc>
          <w:tcPr>
            <w:tcW w:w="167" w:type="dxa"/>
            <w:tcBorders/>
            <w:shd w:fill="FFFFFF" w:val="clear"/>
            <w:vAlign w:val="center"/>
          </w:tcPr>
          <w:p>
            <w:pPr>
              <w:pStyle w:val="TableContents"/>
              <w:bidi w:val="0"/>
              <w:spacing w:before="0" w:after="283"/>
              <w:jc w:val="left"/>
              <w:rPr/>
            </w:pPr>
            <w:r>
              <w:rPr/>
              <w:t> </w:t>
            </w:r>
          </w:p>
        </w:tc>
        <w:tc>
          <w:tcPr>
            <w:tcW w:w="9583"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left"/>
              <w:rPr/>
            </w:pPr>
            <w:r>
              <w:rPr/>
              <w:t> </w:t>
            </w:r>
          </w:p>
        </w:tc>
      </w:tr>
      <w:tr>
        <w:trPr/>
        <w:tc>
          <w:tcPr>
            <w:tcW w:w="167" w:type="dxa"/>
            <w:tcBorders/>
            <w:shd w:fill="CCEEFF" w:val="clear"/>
            <w:vAlign w:val="center"/>
          </w:tcPr>
          <w:p>
            <w:pPr>
              <w:pStyle w:val="TableContents"/>
              <w:bidi w:val="0"/>
              <w:spacing w:before="0" w:after="283"/>
              <w:jc w:val="left"/>
              <w:rPr/>
            </w:pPr>
            <w:r>
              <w:rPr/>
              <w:t> </w:t>
            </w:r>
          </w:p>
        </w:tc>
        <w:tc>
          <w:tcPr>
            <w:tcW w:w="9583" w:type="dxa"/>
            <w:tcBorders/>
            <w:shd w:fill="CCEEFF" w:val="clear"/>
            <w:vAlign w:val="center"/>
          </w:tcPr>
          <w:p>
            <w:pPr>
              <w:pStyle w:val="TableContents"/>
              <w:bidi w:val="0"/>
              <w:spacing w:before="0" w:after="283"/>
              <w:jc w:val="left"/>
              <w:rPr/>
            </w:pPr>
            <w:r>
              <w:rPr/>
              <w:t>Condensed Consolidated Statements of Income</w:t>
            </w:r>
          </w:p>
        </w:tc>
        <w:tc>
          <w:tcPr>
            <w:tcW w:w="455" w:type="dxa"/>
            <w:tcBorders/>
            <w:shd w:fill="CCEEFF" w:val="clear"/>
            <w:vAlign w:val="center"/>
          </w:tcPr>
          <w:p>
            <w:pPr>
              <w:pStyle w:val="TableContents"/>
              <w:bidi w:val="0"/>
              <w:spacing w:before="0" w:after="283"/>
              <w:jc w:val="left"/>
              <w:rPr/>
            </w:pPr>
            <w:r>
              <w:rPr/>
              <w:t>3</w:t>
            </w:r>
          </w:p>
        </w:tc>
      </w:tr>
      <w:tr>
        <w:trPr/>
        <w:tc>
          <w:tcPr>
            <w:tcW w:w="167" w:type="dxa"/>
            <w:tcBorders/>
            <w:shd w:fill="FFFFFF" w:val="clear"/>
            <w:vAlign w:val="center"/>
          </w:tcPr>
          <w:p>
            <w:pPr>
              <w:pStyle w:val="TableContents"/>
              <w:bidi w:val="0"/>
              <w:spacing w:before="0" w:after="283"/>
              <w:jc w:val="left"/>
              <w:rPr/>
            </w:pPr>
            <w:r>
              <w:rPr/>
              <w:t> </w:t>
            </w:r>
          </w:p>
        </w:tc>
        <w:tc>
          <w:tcPr>
            <w:tcW w:w="9583"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left"/>
              <w:rPr/>
            </w:pPr>
            <w:r>
              <w:rPr/>
              <w:t> </w:t>
            </w:r>
          </w:p>
        </w:tc>
      </w:tr>
      <w:tr>
        <w:trPr/>
        <w:tc>
          <w:tcPr>
            <w:tcW w:w="167" w:type="dxa"/>
            <w:tcBorders/>
            <w:shd w:fill="CCEEFF" w:val="clear"/>
            <w:vAlign w:val="center"/>
          </w:tcPr>
          <w:p>
            <w:pPr>
              <w:pStyle w:val="TableContents"/>
              <w:bidi w:val="0"/>
              <w:spacing w:before="0" w:after="283"/>
              <w:jc w:val="left"/>
              <w:rPr/>
            </w:pPr>
            <w:r>
              <w:rPr/>
              <w:t> </w:t>
            </w:r>
          </w:p>
        </w:tc>
        <w:tc>
          <w:tcPr>
            <w:tcW w:w="9583" w:type="dxa"/>
            <w:tcBorders/>
            <w:shd w:fill="CCEEFF" w:val="clear"/>
            <w:vAlign w:val="center"/>
          </w:tcPr>
          <w:p>
            <w:pPr>
              <w:pStyle w:val="TableContents"/>
              <w:bidi w:val="0"/>
              <w:spacing w:before="0" w:after="283"/>
              <w:jc w:val="left"/>
              <w:rPr/>
            </w:pPr>
            <w:r>
              <w:rPr/>
              <w:t>Condensed Consolidated Statements of Comprehensive Income</w:t>
            </w:r>
          </w:p>
        </w:tc>
        <w:tc>
          <w:tcPr>
            <w:tcW w:w="455" w:type="dxa"/>
            <w:tcBorders/>
            <w:shd w:fill="CCEEFF" w:val="clear"/>
            <w:vAlign w:val="center"/>
          </w:tcPr>
          <w:p>
            <w:pPr>
              <w:pStyle w:val="TableContents"/>
              <w:bidi w:val="0"/>
              <w:spacing w:before="0" w:after="283"/>
              <w:jc w:val="left"/>
              <w:rPr/>
            </w:pPr>
            <w:r>
              <w:rPr/>
              <w:t>4</w:t>
            </w:r>
          </w:p>
        </w:tc>
      </w:tr>
      <w:tr>
        <w:trPr/>
        <w:tc>
          <w:tcPr>
            <w:tcW w:w="167" w:type="dxa"/>
            <w:tcBorders/>
            <w:shd w:fill="FFFFFF" w:val="clear"/>
            <w:vAlign w:val="center"/>
          </w:tcPr>
          <w:p>
            <w:pPr>
              <w:pStyle w:val="TableContents"/>
              <w:bidi w:val="0"/>
              <w:spacing w:before="0" w:after="283"/>
              <w:jc w:val="left"/>
              <w:rPr/>
            </w:pPr>
            <w:r>
              <w:rPr/>
              <w:t> </w:t>
            </w:r>
          </w:p>
        </w:tc>
        <w:tc>
          <w:tcPr>
            <w:tcW w:w="9583"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left"/>
              <w:rPr/>
            </w:pPr>
            <w:r>
              <w:rPr/>
              <w:t> </w:t>
            </w:r>
          </w:p>
        </w:tc>
      </w:tr>
      <w:tr>
        <w:trPr/>
        <w:tc>
          <w:tcPr>
            <w:tcW w:w="167" w:type="dxa"/>
            <w:tcBorders/>
            <w:shd w:fill="CCEEFF" w:val="clear"/>
            <w:vAlign w:val="center"/>
          </w:tcPr>
          <w:p>
            <w:pPr>
              <w:pStyle w:val="TableContents"/>
              <w:bidi w:val="0"/>
              <w:spacing w:before="0" w:after="283"/>
              <w:jc w:val="left"/>
              <w:rPr/>
            </w:pPr>
            <w:r>
              <w:rPr/>
              <w:t> </w:t>
            </w:r>
          </w:p>
        </w:tc>
        <w:tc>
          <w:tcPr>
            <w:tcW w:w="9583" w:type="dxa"/>
            <w:tcBorders/>
            <w:shd w:fill="CCEEFF" w:val="clear"/>
            <w:vAlign w:val="center"/>
          </w:tcPr>
          <w:p>
            <w:pPr>
              <w:pStyle w:val="TableContents"/>
              <w:bidi w:val="0"/>
              <w:spacing w:before="0" w:after="283"/>
              <w:jc w:val="left"/>
              <w:rPr/>
            </w:pPr>
            <w:r>
              <w:rPr/>
              <w:t>Condensed Consolidated Balance Sheets</w:t>
            </w:r>
          </w:p>
        </w:tc>
        <w:tc>
          <w:tcPr>
            <w:tcW w:w="455" w:type="dxa"/>
            <w:tcBorders/>
            <w:shd w:fill="CCEEFF" w:val="clear"/>
            <w:vAlign w:val="center"/>
          </w:tcPr>
          <w:p>
            <w:pPr>
              <w:pStyle w:val="TableContents"/>
              <w:bidi w:val="0"/>
              <w:spacing w:before="0" w:after="283"/>
              <w:jc w:val="left"/>
              <w:rPr/>
            </w:pPr>
            <w:r>
              <w:rPr/>
              <w:t>5</w:t>
            </w:r>
          </w:p>
        </w:tc>
      </w:tr>
      <w:tr>
        <w:trPr/>
        <w:tc>
          <w:tcPr>
            <w:tcW w:w="167" w:type="dxa"/>
            <w:tcBorders/>
            <w:shd w:fill="FFFFFF" w:val="clear"/>
            <w:vAlign w:val="center"/>
          </w:tcPr>
          <w:p>
            <w:pPr>
              <w:pStyle w:val="TableContents"/>
              <w:bidi w:val="0"/>
              <w:spacing w:before="0" w:after="283"/>
              <w:jc w:val="left"/>
              <w:rPr/>
            </w:pPr>
            <w:r>
              <w:rPr/>
              <w:t> </w:t>
            </w:r>
          </w:p>
        </w:tc>
        <w:tc>
          <w:tcPr>
            <w:tcW w:w="9583"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left"/>
              <w:rPr/>
            </w:pPr>
            <w:r>
              <w:rPr/>
              <w:t> </w:t>
            </w:r>
          </w:p>
        </w:tc>
      </w:tr>
      <w:tr>
        <w:trPr/>
        <w:tc>
          <w:tcPr>
            <w:tcW w:w="167" w:type="dxa"/>
            <w:tcBorders/>
            <w:shd w:fill="CCEEFF" w:val="clear"/>
            <w:vAlign w:val="center"/>
          </w:tcPr>
          <w:p>
            <w:pPr>
              <w:pStyle w:val="TableContents"/>
              <w:bidi w:val="0"/>
              <w:spacing w:before="0" w:after="283"/>
              <w:jc w:val="left"/>
              <w:rPr/>
            </w:pPr>
            <w:r>
              <w:rPr/>
              <w:t> </w:t>
            </w:r>
          </w:p>
        </w:tc>
        <w:tc>
          <w:tcPr>
            <w:tcW w:w="9583" w:type="dxa"/>
            <w:tcBorders/>
            <w:shd w:fill="CCEEFF" w:val="clear"/>
            <w:vAlign w:val="center"/>
          </w:tcPr>
          <w:p>
            <w:pPr>
              <w:pStyle w:val="TableContents"/>
              <w:bidi w:val="0"/>
              <w:spacing w:before="0" w:after="283"/>
              <w:jc w:val="left"/>
              <w:rPr/>
            </w:pPr>
            <w:r>
              <w:rPr/>
              <w:t>Condensed Consolidated Statements of Cash Flows</w:t>
            </w:r>
          </w:p>
        </w:tc>
        <w:tc>
          <w:tcPr>
            <w:tcW w:w="455" w:type="dxa"/>
            <w:tcBorders/>
            <w:shd w:fill="CCEEFF" w:val="clear"/>
            <w:vAlign w:val="center"/>
          </w:tcPr>
          <w:p>
            <w:pPr>
              <w:pStyle w:val="TableContents"/>
              <w:bidi w:val="0"/>
              <w:spacing w:before="0" w:after="283"/>
              <w:jc w:val="left"/>
              <w:rPr/>
            </w:pPr>
            <w:r>
              <w:rPr/>
              <w:t>6</w:t>
            </w:r>
          </w:p>
        </w:tc>
      </w:tr>
      <w:tr>
        <w:trPr/>
        <w:tc>
          <w:tcPr>
            <w:tcW w:w="167" w:type="dxa"/>
            <w:tcBorders/>
            <w:shd w:fill="FFFFFF" w:val="clear"/>
            <w:vAlign w:val="center"/>
          </w:tcPr>
          <w:p>
            <w:pPr>
              <w:pStyle w:val="TableContents"/>
              <w:bidi w:val="0"/>
              <w:spacing w:before="0" w:after="283"/>
              <w:jc w:val="left"/>
              <w:rPr/>
            </w:pPr>
            <w:r>
              <w:rPr/>
              <w:t> </w:t>
            </w:r>
          </w:p>
        </w:tc>
        <w:tc>
          <w:tcPr>
            <w:tcW w:w="9583"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left"/>
              <w:rPr/>
            </w:pPr>
            <w:r>
              <w:rPr/>
              <w:t> </w:t>
            </w:r>
          </w:p>
        </w:tc>
      </w:tr>
      <w:tr>
        <w:trPr/>
        <w:tc>
          <w:tcPr>
            <w:tcW w:w="167" w:type="dxa"/>
            <w:tcBorders/>
            <w:shd w:fill="CCEEFF" w:val="clear"/>
            <w:vAlign w:val="center"/>
          </w:tcPr>
          <w:p>
            <w:pPr>
              <w:pStyle w:val="TableContents"/>
              <w:bidi w:val="0"/>
              <w:spacing w:before="0" w:after="283"/>
              <w:jc w:val="left"/>
              <w:rPr/>
            </w:pPr>
            <w:r>
              <w:rPr/>
              <w:t> </w:t>
            </w:r>
          </w:p>
        </w:tc>
        <w:tc>
          <w:tcPr>
            <w:tcW w:w="9583" w:type="dxa"/>
            <w:tcBorders/>
            <w:shd w:fill="CCEEFF" w:val="clear"/>
            <w:vAlign w:val="center"/>
          </w:tcPr>
          <w:p>
            <w:pPr>
              <w:pStyle w:val="TableContents"/>
              <w:bidi w:val="0"/>
              <w:spacing w:before="0" w:after="283"/>
              <w:jc w:val="left"/>
              <w:rPr/>
            </w:pPr>
            <w:r>
              <w:rPr/>
              <w:t>Notes to Condensed Consolidated Financial Statements</w:t>
            </w:r>
          </w:p>
        </w:tc>
        <w:tc>
          <w:tcPr>
            <w:tcW w:w="455" w:type="dxa"/>
            <w:tcBorders/>
            <w:shd w:fill="CCEEFF" w:val="clear"/>
            <w:vAlign w:val="center"/>
          </w:tcPr>
          <w:p>
            <w:pPr>
              <w:pStyle w:val="TableContents"/>
              <w:bidi w:val="0"/>
              <w:spacing w:before="0" w:after="283"/>
              <w:jc w:val="left"/>
              <w:rPr/>
            </w:pPr>
            <w:r>
              <w:rPr/>
              <w:t>7</w:t>
            </w:r>
          </w:p>
        </w:tc>
      </w:tr>
      <w:tr>
        <w:trPr/>
        <w:tc>
          <w:tcPr>
            <w:tcW w:w="167" w:type="dxa"/>
            <w:tcBorders/>
            <w:shd w:fill="FFFFFF" w:val="clear"/>
            <w:vAlign w:val="center"/>
          </w:tcPr>
          <w:p>
            <w:pPr>
              <w:pStyle w:val="TableContents"/>
              <w:bidi w:val="0"/>
              <w:spacing w:before="0" w:after="283"/>
              <w:jc w:val="left"/>
              <w:rPr/>
            </w:pPr>
            <w:r>
              <w:rPr/>
              <w:t> </w:t>
            </w:r>
          </w:p>
        </w:tc>
        <w:tc>
          <w:tcPr>
            <w:tcW w:w="9583"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left"/>
              <w:rPr/>
            </w:pPr>
            <w:r>
              <w:rPr/>
              <w:t> </w:t>
            </w:r>
          </w:p>
        </w:tc>
      </w:tr>
      <w:tr>
        <w:trPr/>
        <w:tc>
          <w:tcPr>
            <w:tcW w:w="16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958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Management's Discussion and Analysis of Financial Condition and Results of Operations </w:t>
            </w:r>
          </w:p>
        </w:tc>
        <w:tc>
          <w:tcPr>
            <w:tcW w:w="455" w:type="dxa"/>
            <w:tcBorders/>
            <w:shd w:fill="CCEEFF" w:val="clear"/>
            <w:vAlign w:val="center"/>
          </w:tcPr>
          <w:p>
            <w:pPr>
              <w:pStyle w:val="TableContents"/>
              <w:bidi w:val="0"/>
              <w:spacing w:before="0" w:after="283"/>
              <w:jc w:val="left"/>
              <w:rPr/>
            </w:pPr>
            <w:r>
              <w:rPr/>
              <w:t>23</w:t>
            </w:r>
          </w:p>
        </w:tc>
      </w:tr>
      <w:tr>
        <w:trPr/>
        <w:tc>
          <w:tcPr>
            <w:tcW w:w="167" w:type="dxa"/>
            <w:tcBorders/>
            <w:shd w:fill="FFFFFF" w:val="clear"/>
            <w:vAlign w:val="center"/>
          </w:tcPr>
          <w:p>
            <w:pPr>
              <w:pStyle w:val="TableContents"/>
              <w:bidi w:val="0"/>
              <w:spacing w:before="0" w:after="283"/>
              <w:jc w:val="left"/>
              <w:rPr/>
            </w:pPr>
            <w:r>
              <w:rPr/>
              <w:t> </w:t>
            </w:r>
          </w:p>
        </w:tc>
        <w:tc>
          <w:tcPr>
            <w:tcW w:w="9583"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left"/>
              <w:rPr/>
            </w:pPr>
            <w:r>
              <w:rPr/>
              <w:t> </w:t>
            </w:r>
          </w:p>
        </w:tc>
      </w:tr>
      <w:tr>
        <w:trPr/>
        <w:tc>
          <w:tcPr>
            <w:tcW w:w="16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958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Quantitative and Qualitative Disclosures About Market Risk </w:t>
            </w:r>
          </w:p>
        </w:tc>
        <w:tc>
          <w:tcPr>
            <w:tcW w:w="455" w:type="dxa"/>
            <w:tcBorders/>
            <w:shd w:fill="CCEEFF" w:val="clear"/>
            <w:vAlign w:val="center"/>
          </w:tcPr>
          <w:p>
            <w:pPr>
              <w:pStyle w:val="TableContents"/>
              <w:bidi w:val="0"/>
              <w:spacing w:before="0" w:after="283"/>
              <w:jc w:val="left"/>
              <w:rPr/>
            </w:pPr>
            <w:r>
              <w:rPr/>
              <w:t>34</w:t>
            </w:r>
          </w:p>
        </w:tc>
      </w:tr>
      <w:tr>
        <w:trPr/>
        <w:tc>
          <w:tcPr>
            <w:tcW w:w="167" w:type="dxa"/>
            <w:tcBorders/>
            <w:shd w:fill="FFFFFF" w:val="clear"/>
            <w:vAlign w:val="center"/>
          </w:tcPr>
          <w:p>
            <w:pPr>
              <w:pStyle w:val="TableContents"/>
              <w:bidi w:val="0"/>
              <w:spacing w:before="0" w:after="283"/>
              <w:jc w:val="left"/>
              <w:rPr/>
            </w:pPr>
            <w:r>
              <w:rPr/>
              <w:t> </w:t>
            </w:r>
          </w:p>
        </w:tc>
        <w:tc>
          <w:tcPr>
            <w:tcW w:w="9583"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left"/>
              <w:rPr/>
            </w:pPr>
            <w:r>
              <w:rPr/>
              <w:t> </w:t>
            </w:r>
          </w:p>
        </w:tc>
      </w:tr>
      <w:tr>
        <w:trPr/>
        <w:tc>
          <w:tcPr>
            <w:tcW w:w="16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958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Controls and Procedures</w:t>
            </w:r>
          </w:p>
        </w:tc>
        <w:tc>
          <w:tcPr>
            <w:tcW w:w="455" w:type="dxa"/>
            <w:tcBorders/>
            <w:shd w:fill="CCEEFF" w:val="clear"/>
            <w:vAlign w:val="center"/>
          </w:tcPr>
          <w:p>
            <w:pPr>
              <w:pStyle w:val="TableContents"/>
              <w:bidi w:val="0"/>
              <w:spacing w:before="0" w:after="283"/>
              <w:jc w:val="left"/>
              <w:rPr/>
            </w:pPr>
            <w:r>
              <w:rPr/>
              <w:t>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PART II - OTHER INFORMATION</w:t>
      </w:r>
    </w:p>
    <w:p>
      <w:pPr>
        <w:pStyle w:val="TextBody"/>
        <w:bidi w:val="0"/>
        <w:spacing w:before="0" w:after="0"/>
        <w:ind w:left="0" w:right="0" w:hanging="0"/>
        <w:jc w:val="left"/>
        <w:rPr>
          <w:caps w:val="false"/>
          <w:smallCaps w:val="false"/>
        </w:rPr>
      </w:pPr>
      <w:r>
        <w:rPr>
          <w:caps w:val="false"/>
          <w:smallCaps w:val="false"/>
        </w:rPr>
        <w:t> </w:t>
      </w:r>
    </w:p>
    <w:tbl>
      <w:tblPr>
        <w:tblW w:w="5475" w:type="dxa"/>
        <w:jc w:val="left"/>
        <w:tblInd w:w="0" w:type="dxa"/>
        <w:tblLayout w:type="fixed"/>
        <w:tblCellMar>
          <w:top w:w="0" w:type="dxa"/>
          <w:left w:w="0" w:type="dxa"/>
          <w:bottom w:w="0" w:type="dxa"/>
          <w:right w:w="0" w:type="dxa"/>
        </w:tblCellMar>
      </w:tblPr>
      <w:tblGrid>
        <w:gridCol w:w="380"/>
        <w:gridCol w:w="4835"/>
        <w:gridCol w:w="260"/>
      </w:tblGrid>
      <w:tr>
        <w:trPr/>
        <w:tc>
          <w:tcPr>
            <w:tcW w:w="380" w:type="dxa"/>
            <w:tcBorders/>
            <w:shd w:fill="CCEEFF" w:val="clear"/>
            <w:vAlign w:val="center"/>
          </w:tcPr>
          <w:p>
            <w:pPr>
              <w:pStyle w:val="TableContents"/>
              <w:bidi w:val="0"/>
              <w:spacing w:before="0" w:after="283"/>
              <w:jc w:val="left"/>
              <w:rPr/>
            </w:pPr>
            <w:r>
              <w:rPr/>
              <w:t>1.</w:t>
            </w:r>
          </w:p>
        </w:tc>
        <w:tc>
          <w:tcPr>
            <w:tcW w:w="4835" w:type="dxa"/>
            <w:tcBorders/>
            <w:shd w:fill="CCEEFF" w:val="clear"/>
            <w:vAlign w:val="center"/>
          </w:tcPr>
          <w:p>
            <w:pPr>
              <w:pStyle w:val="TableContents"/>
              <w:bidi w:val="0"/>
              <w:spacing w:before="0" w:after="283"/>
              <w:jc w:val="left"/>
              <w:rPr/>
            </w:pPr>
            <w:r>
              <w:rPr/>
              <w:t>Legal Proceedings</w:t>
            </w:r>
          </w:p>
        </w:tc>
        <w:tc>
          <w:tcPr>
            <w:tcW w:w="260" w:type="dxa"/>
            <w:tcBorders/>
            <w:shd w:fill="CCEEFF" w:val="clear"/>
            <w:vAlign w:val="center"/>
          </w:tcPr>
          <w:p>
            <w:pPr>
              <w:pStyle w:val="TableContents"/>
              <w:bidi w:val="0"/>
              <w:spacing w:before="0" w:after="283"/>
              <w:jc w:val="left"/>
              <w:rPr/>
            </w:pPr>
            <w:r>
              <w:rPr/>
              <w:t>35</w:t>
            </w:r>
          </w:p>
        </w:tc>
      </w:tr>
      <w:tr>
        <w:trPr/>
        <w:tc>
          <w:tcPr>
            <w:tcW w:w="380" w:type="dxa"/>
            <w:tcBorders/>
            <w:shd w:fill="FFFFFF" w:val="clear"/>
            <w:vAlign w:val="center"/>
          </w:tcPr>
          <w:p>
            <w:pPr>
              <w:pStyle w:val="TableContents"/>
              <w:bidi w:val="0"/>
              <w:spacing w:before="0" w:after="283"/>
              <w:jc w:val="left"/>
              <w:rPr/>
            </w:pPr>
            <w:r>
              <w:rPr/>
              <w:t> </w:t>
            </w:r>
          </w:p>
        </w:tc>
        <w:tc>
          <w:tcPr>
            <w:tcW w:w="4835"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380" w:type="dxa"/>
            <w:tcBorders/>
            <w:shd w:fill="CCEEFF" w:val="clear"/>
            <w:vAlign w:val="center"/>
          </w:tcPr>
          <w:p>
            <w:pPr>
              <w:pStyle w:val="TableContents"/>
              <w:bidi w:val="0"/>
              <w:spacing w:before="0" w:after="283"/>
              <w:jc w:val="left"/>
              <w:rPr/>
            </w:pPr>
            <w:r>
              <w:rPr/>
              <w:t>1A.</w:t>
            </w:r>
          </w:p>
        </w:tc>
        <w:tc>
          <w:tcPr>
            <w:tcW w:w="4835" w:type="dxa"/>
            <w:tcBorders/>
            <w:shd w:fill="CCEEFF" w:val="clear"/>
            <w:vAlign w:val="center"/>
          </w:tcPr>
          <w:p>
            <w:pPr>
              <w:pStyle w:val="TableContents"/>
              <w:bidi w:val="0"/>
              <w:spacing w:before="0" w:after="283"/>
              <w:jc w:val="left"/>
              <w:rPr/>
            </w:pPr>
            <w:r>
              <w:rPr/>
              <w:t>Risk Factors</w:t>
            </w:r>
          </w:p>
        </w:tc>
        <w:tc>
          <w:tcPr>
            <w:tcW w:w="260" w:type="dxa"/>
            <w:tcBorders/>
            <w:shd w:fill="CCEEFF" w:val="clear"/>
            <w:vAlign w:val="center"/>
          </w:tcPr>
          <w:p>
            <w:pPr>
              <w:pStyle w:val="TableContents"/>
              <w:bidi w:val="0"/>
              <w:spacing w:before="0" w:after="283"/>
              <w:jc w:val="left"/>
              <w:rPr/>
            </w:pPr>
            <w:r>
              <w:rPr/>
              <w:t>35</w:t>
            </w:r>
          </w:p>
        </w:tc>
      </w:tr>
      <w:tr>
        <w:trPr/>
        <w:tc>
          <w:tcPr>
            <w:tcW w:w="380" w:type="dxa"/>
            <w:tcBorders/>
            <w:shd w:fill="FFFFFF" w:val="clear"/>
            <w:vAlign w:val="center"/>
          </w:tcPr>
          <w:p>
            <w:pPr>
              <w:pStyle w:val="TableContents"/>
              <w:bidi w:val="0"/>
              <w:spacing w:before="0" w:after="283"/>
              <w:jc w:val="left"/>
              <w:rPr/>
            </w:pPr>
            <w:r>
              <w:rPr/>
              <w:t> </w:t>
            </w:r>
          </w:p>
        </w:tc>
        <w:tc>
          <w:tcPr>
            <w:tcW w:w="4835"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3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48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Unregistered Sales of Equity Securities and Use of Proceeds</w:t>
            </w:r>
          </w:p>
        </w:tc>
        <w:tc>
          <w:tcPr>
            <w:tcW w:w="260" w:type="dxa"/>
            <w:tcBorders/>
            <w:shd w:fill="CCEEFF" w:val="clear"/>
            <w:vAlign w:val="center"/>
          </w:tcPr>
          <w:p>
            <w:pPr>
              <w:pStyle w:val="TableContents"/>
              <w:bidi w:val="0"/>
              <w:spacing w:before="0" w:after="283"/>
              <w:jc w:val="left"/>
              <w:rPr/>
            </w:pPr>
            <w:r>
              <w:rPr/>
              <w:t>35</w:t>
            </w:r>
          </w:p>
        </w:tc>
      </w:tr>
      <w:tr>
        <w:trPr/>
        <w:tc>
          <w:tcPr>
            <w:tcW w:w="380" w:type="dxa"/>
            <w:tcBorders/>
            <w:shd w:fill="FFFFFF" w:val="clear"/>
            <w:vAlign w:val="center"/>
          </w:tcPr>
          <w:p>
            <w:pPr>
              <w:pStyle w:val="TableContents"/>
              <w:bidi w:val="0"/>
              <w:spacing w:before="0" w:after="283"/>
              <w:jc w:val="left"/>
              <w:rPr/>
            </w:pPr>
            <w:r>
              <w:rPr/>
              <w:t> </w:t>
            </w:r>
          </w:p>
        </w:tc>
        <w:tc>
          <w:tcPr>
            <w:tcW w:w="4835"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3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48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Defaults Upon Senior Securities </w:t>
            </w:r>
          </w:p>
        </w:tc>
        <w:tc>
          <w:tcPr>
            <w:tcW w:w="260" w:type="dxa"/>
            <w:tcBorders/>
            <w:shd w:fill="CCEEFF" w:val="clear"/>
            <w:vAlign w:val="center"/>
          </w:tcPr>
          <w:p>
            <w:pPr>
              <w:pStyle w:val="TableContents"/>
              <w:bidi w:val="0"/>
              <w:spacing w:before="0" w:after="283"/>
              <w:jc w:val="left"/>
              <w:rPr/>
            </w:pPr>
            <w:r>
              <w:rPr/>
              <w:t>35</w:t>
            </w:r>
          </w:p>
        </w:tc>
      </w:tr>
      <w:tr>
        <w:trPr/>
        <w:tc>
          <w:tcPr>
            <w:tcW w:w="380" w:type="dxa"/>
            <w:tcBorders/>
            <w:shd w:fill="FFFFFF" w:val="clear"/>
            <w:vAlign w:val="center"/>
          </w:tcPr>
          <w:p>
            <w:pPr>
              <w:pStyle w:val="TableContents"/>
              <w:bidi w:val="0"/>
              <w:spacing w:before="0" w:after="283"/>
              <w:jc w:val="left"/>
              <w:rPr/>
            </w:pPr>
            <w:r>
              <w:rPr/>
              <w:t> </w:t>
            </w:r>
          </w:p>
        </w:tc>
        <w:tc>
          <w:tcPr>
            <w:tcW w:w="4835"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3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48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Information</w:t>
            </w:r>
          </w:p>
        </w:tc>
        <w:tc>
          <w:tcPr>
            <w:tcW w:w="260" w:type="dxa"/>
            <w:tcBorders/>
            <w:shd w:fill="CCEEFF" w:val="clear"/>
            <w:vAlign w:val="center"/>
          </w:tcPr>
          <w:p>
            <w:pPr>
              <w:pStyle w:val="TableContents"/>
              <w:bidi w:val="0"/>
              <w:spacing w:before="0" w:after="283"/>
              <w:jc w:val="left"/>
              <w:rPr/>
            </w:pPr>
            <w:r>
              <w:rPr/>
              <w:t>35</w:t>
            </w:r>
          </w:p>
        </w:tc>
      </w:tr>
      <w:tr>
        <w:trPr/>
        <w:tc>
          <w:tcPr>
            <w:tcW w:w="380" w:type="dxa"/>
            <w:tcBorders/>
            <w:shd w:fill="FFFFFF" w:val="clear"/>
            <w:vAlign w:val="center"/>
          </w:tcPr>
          <w:p>
            <w:pPr>
              <w:pStyle w:val="TableContents"/>
              <w:bidi w:val="0"/>
              <w:spacing w:before="0" w:after="283"/>
              <w:jc w:val="left"/>
              <w:rPr/>
            </w:pPr>
            <w:r>
              <w:rPr/>
              <w:t> </w:t>
            </w:r>
          </w:p>
        </w:tc>
        <w:tc>
          <w:tcPr>
            <w:tcW w:w="4835"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3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w:t>
            </w:r>
          </w:p>
        </w:tc>
        <w:tc>
          <w:tcPr>
            <w:tcW w:w="48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Exhibits</w:t>
            </w:r>
          </w:p>
        </w:tc>
        <w:tc>
          <w:tcPr>
            <w:tcW w:w="260" w:type="dxa"/>
            <w:tcBorders/>
            <w:shd w:fill="CCEEFF" w:val="clear"/>
            <w:vAlign w:val="center"/>
          </w:tcPr>
          <w:p>
            <w:pPr>
              <w:pStyle w:val="TableContents"/>
              <w:bidi w:val="0"/>
              <w:spacing w:before="0" w:after="283"/>
              <w:jc w:val="left"/>
              <w:rPr/>
            </w:pPr>
            <w:r>
              <w:rPr/>
              <w:t>36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 of 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PART I -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 xml:space="preserve">ITEM 1. FINANCIAL STATEMENTS </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BASSETT FURNITURE INDUSTRIES, INCORPORATED AND SUBSIDIARIES</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CONDENSED CONSOLIDATED STATEMENTS OF INCOME</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FOR THE PERIODS ENDED AUGUST 29, 2026 AND AUGUST 30, 2025 – UNAUDITED</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 except per share data)</w:t>
      </w:r>
    </w:p>
    <w:p>
      <w:pPr>
        <w:pStyle w:val="TextBody"/>
        <w:bidi w:val="0"/>
        <w:spacing w:before="0" w:after="0"/>
        <w:ind w:left="0" w:right="0" w:hanging="0"/>
        <w:jc w:val="left"/>
        <w:rPr>
          <w:caps w:val="false"/>
          <w:smallCaps w:val="false"/>
        </w:rPr>
      </w:pPr>
      <w:r>
        <w:rPr>
          <w:caps w:val="false"/>
          <w:smallCaps w:val="false"/>
        </w:rPr>
        <w:t> </w:t>
      </w:r>
    </w:p>
    <w:tbl>
      <w:tblPr>
        <w:tblW w:w="9651" w:type="dxa"/>
        <w:jc w:val="left"/>
        <w:tblInd w:w="0" w:type="dxa"/>
        <w:tblLayout w:type="fixed"/>
        <w:tblCellMar>
          <w:top w:w="0" w:type="dxa"/>
          <w:left w:w="0" w:type="dxa"/>
          <w:bottom w:w="0" w:type="dxa"/>
          <w:right w:w="0" w:type="dxa"/>
        </w:tblCellMar>
      </w:tblPr>
      <w:tblGrid>
        <w:gridCol w:w="3635"/>
        <w:gridCol w:w="60"/>
        <w:gridCol w:w="239"/>
        <w:gridCol w:w="1130"/>
        <w:gridCol w:w="80"/>
        <w:gridCol w:w="60"/>
        <w:gridCol w:w="239"/>
        <w:gridCol w:w="1130"/>
        <w:gridCol w:w="60"/>
        <w:gridCol w:w="60"/>
        <w:gridCol w:w="208"/>
        <w:gridCol w:w="1161"/>
        <w:gridCol w:w="80"/>
        <w:gridCol w:w="60"/>
        <w:gridCol w:w="208"/>
        <w:gridCol w:w="1161"/>
        <w:gridCol w:w="80"/>
      </w:tblGrid>
      <w:tr>
        <w:trPr/>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87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Quarter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87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r>
          </w:p>
        </w:tc>
        <w:tc>
          <w:tcPr>
            <w:tcW w:w="80" w:type="dxa"/>
            <w:tcBorders/>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1161"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1161"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August 29, 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August 30,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August 29, 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August 30, 2025</w:t>
            </w:r>
          </w:p>
        </w:tc>
        <w:tc>
          <w:tcPr>
            <w:tcW w:w="80" w:type="dxa"/>
            <w:tcBorders/>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1161"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1161"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2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82,838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80,103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246,931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246,613</w:t>
            </w:r>
          </w:p>
        </w:tc>
        <w:tc>
          <w:tcPr>
            <w:tcW w:w="8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FFFFFF" w:val="clear"/>
            <w:vAlign w:val="center"/>
          </w:tcPr>
          <w:p>
            <w:pPr>
              <w:pStyle w:val="TableContents"/>
              <w:bidi w:val="0"/>
              <w:spacing w:before="0" w:after="283"/>
              <w:jc w:val="left"/>
              <w:rPr/>
            </w:pPr>
            <w:r>
              <w:rPr/>
              <w:t> </w:t>
            </w:r>
          </w:p>
        </w:tc>
        <w:tc>
          <w:tcPr>
            <w:tcW w:w="2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35,222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106,803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107,880</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ind w:left="0" w:right="0" w:hanging="0"/>
              <w:jc w:val="left"/>
              <w:rPr/>
            </w:pPr>
            <w:r>
              <w:rPr/>
              <w:t> </w:t>
            </w:r>
          </w:p>
        </w:tc>
        <w:tc>
          <w:tcPr>
            <w:tcW w:w="11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47,616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ind w:left="0" w:right="0" w:hanging="0"/>
              <w:jc w:val="left"/>
              <w:rPr/>
            </w:pPr>
            <w:r>
              <w:rPr/>
              <w:t> </w:t>
            </w:r>
          </w:p>
        </w:tc>
        <w:tc>
          <w:tcPr>
            <w:tcW w:w="11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44,994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1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140,128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1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138,733</w:t>
            </w:r>
          </w:p>
        </w:tc>
        <w:tc>
          <w:tcPr>
            <w:tcW w:w="8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 expenses</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ind w:left="0" w:right="0" w:hanging="0"/>
              <w:jc w:val="left"/>
              <w:rPr/>
            </w:pPr>
            <w:r>
              <w:rPr/>
              <w:t> </w:t>
            </w:r>
          </w:p>
        </w:tc>
        <w:tc>
          <w:tcPr>
            <w:tcW w:w="11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44,690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ind w:left="0" w:right="0" w:hanging="0"/>
              <w:jc w:val="left"/>
              <w:rPr/>
            </w:pPr>
            <w:r>
              <w:rPr/>
              <w:t> </w:t>
            </w:r>
          </w:p>
        </w:tc>
        <w:tc>
          <w:tcPr>
            <w:tcW w:w="11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44,401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1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133,234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1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133,188</w:t>
            </w:r>
          </w:p>
        </w:tc>
        <w:tc>
          <w:tcPr>
            <w:tcW w:w="8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store pre-opening costs</w:t>
            </w:r>
          </w:p>
        </w:tc>
        <w:tc>
          <w:tcPr>
            <w:tcW w:w="60" w:type="dxa"/>
            <w:tcBorders/>
            <w:shd w:fill="FFFFFF" w:val="clear"/>
            <w:vAlign w:val="center"/>
          </w:tcPr>
          <w:p>
            <w:pPr>
              <w:pStyle w:val="TableContents"/>
              <w:bidi w:val="0"/>
              <w:spacing w:before="0" w:after="283"/>
              <w:jc w:val="left"/>
              <w:rPr/>
            </w:pPr>
            <w:r>
              <w:rPr/>
              <w:t> </w:t>
            </w:r>
          </w:p>
        </w:tc>
        <w:tc>
          <w:tcPr>
            <w:tcW w:w="2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from operations</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ind w:left="0" w:right="0" w:hanging="0"/>
              <w:jc w:val="left"/>
              <w:rPr/>
            </w:pPr>
            <w:r>
              <w:rPr/>
              <w:t> </w:t>
            </w:r>
          </w:p>
        </w:tc>
        <w:tc>
          <w:tcPr>
            <w:tcW w:w="11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ind w:left="0" w:right="0" w:hanging="0"/>
              <w:jc w:val="left"/>
              <w:rPr/>
            </w:pPr>
            <w:r>
              <w:rPr/>
              <w:t> </w:t>
            </w:r>
          </w:p>
        </w:tc>
        <w:tc>
          <w:tcPr>
            <w:tcW w:w="11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1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1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5,545</w:t>
            </w:r>
          </w:p>
        </w:tc>
        <w:tc>
          <w:tcPr>
            <w:tcW w:w="8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ind w:left="0" w:right="0" w:hanging="0"/>
              <w:jc w:val="left"/>
              <w:rPr/>
            </w:pPr>
            <w:r>
              <w:rPr/>
              <w:t> </w:t>
            </w:r>
          </w:p>
        </w:tc>
        <w:tc>
          <w:tcPr>
            <w:tcW w:w="11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ind w:left="0" w:right="0" w:hanging="0"/>
              <w:jc w:val="left"/>
              <w:rPr/>
            </w:pPr>
            <w:r>
              <w:rPr/>
              <w:t> </w:t>
            </w:r>
          </w:p>
        </w:tc>
        <w:tc>
          <w:tcPr>
            <w:tcW w:w="11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1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1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1,552</w:t>
            </w:r>
          </w:p>
        </w:tc>
        <w:tc>
          <w:tcPr>
            <w:tcW w:w="8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(loss), net</w:t>
            </w:r>
          </w:p>
        </w:tc>
        <w:tc>
          <w:tcPr>
            <w:tcW w:w="60" w:type="dxa"/>
            <w:tcBorders/>
            <w:shd w:fill="FFFFFF" w:val="clear"/>
            <w:vAlign w:val="center"/>
          </w:tcPr>
          <w:p>
            <w:pPr>
              <w:pStyle w:val="TableContents"/>
              <w:bidi w:val="0"/>
              <w:spacing w:before="0" w:after="283"/>
              <w:jc w:val="left"/>
              <w:rPr/>
            </w:pPr>
            <w:r>
              <w:rPr/>
              <w:t> </w:t>
            </w:r>
          </w:p>
        </w:tc>
        <w:tc>
          <w:tcPr>
            <w:tcW w:w="2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before income taxes</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ind w:left="0" w:right="0" w:hanging="0"/>
              <w:jc w:val="left"/>
              <w:rPr/>
            </w:pPr>
            <w:r>
              <w:rPr/>
              <w:t> </w:t>
            </w:r>
          </w:p>
        </w:tc>
        <w:tc>
          <w:tcPr>
            <w:tcW w:w="11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ind w:left="0" w:right="0" w:hanging="0"/>
              <w:jc w:val="left"/>
              <w:rPr/>
            </w:pPr>
            <w:r>
              <w:rPr/>
              <w:t> </w:t>
            </w:r>
          </w:p>
        </w:tc>
        <w:tc>
          <w:tcPr>
            <w:tcW w:w="11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1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1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6,246</w:t>
            </w:r>
          </w:p>
        </w:tc>
        <w:tc>
          <w:tcPr>
            <w:tcW w:w="8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w:t>
            </w:r>
          </w:p>
        </w:tc>
        <w:tc>
          <w:tcPr>
            <w:tcW w:w="60" w:type="dxa"/>
            <w:tcBorders/>
            <w:shd w:fill="CCEEFF" w:val="clear"/>
            <w:vAlign w:val="center"/>
          </w:tcPr>
          <w:p>
            <w:pPr>
              <w:pStyle w:val="TableContents"/>
              <w:bidi w:val="0"/>
              <w:spacing w:before="0" w:after="283"/>
              <w:jc w:val="left"/>
              <w:rPr/>
            </w:pPr>
            <w:r>
              <w:rPr/>
              <w:t> </w:t>
            </w:r>
          </w:p>
        </w:tc>
        <w:tc>
          <w:tcPr>
            <w:tcW w:w="2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1,673</w:t>
            </w:r>
          </w:p>
        </w:tc>
        <w:tc>
          <w:tcPr>
            <w:tcW w:w="8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2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4,573</w:t>
            </w:r>
          </w:p>
        </w:tc>
        <w:tc>
          <w:tcPr>
            <w:tcW w:w="8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earnings per share</w:t>
            </w:r>
          </w:p>
        </w:tc>
        <w:tc>
          <w:tcPr>
            <w:tcW w:w="60" w:type="dxa"/>
            <w:tcBorders/>
            <w:shd w:fill="CCEEFF" w:val="clear"/>
            <w:vAlign w:val="center"/>
          </w:tcPr>
          <w:p>
            <w:pPr>
              <w:pStyle w:val="TableContents"/>
              <w:bidi w:val="0"/>
              <w:spacing w:before="0" w:after="283"/>
              <w:ind w:left="0" w:right="0" w:hanging="0"/>
              <w:jc w:val="left"/>
              <w:rPr/>
            </w:pPr>
            <w:r>
              <w:rPr/>
              <w:t> </w:t>
            </w:r>
          </w:p>
        </w:tc>
        <w:tc>
          <w:tcPr>
            <w:tcW w:w="2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0.53</w:t>
            </w:r>
          </w:p>
        </w:tc>
        <w:tc>
          <w:tcPr>
            <w:tcW w:w="8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 earnings per share</w:t>
            </w:r>
          </w:p>
        </w:tc>
        <w:tc>
          <w:tcPr>
            <w:tcW w:w="60" w:type="dxa"/>
            <w:tcBorders/>
            <w:shd w:fill="CCEEFF" w:val="clear"/>
            <w:vAlign w:val="center"/>
          </w:tcPr>
          <w:p>
            <w:pPr>
              <w:pStyle w:val="TableContents"/>
              <w:bidi w:val="0"/>
              <w:spacing w:before="0" w:after="283"/>
              <w:ind w:left="0" w:right="0" w:hanging="0"/>
              <w:jc w:val="left"/>
              <w:rPr/>
            </w:pPr>
            <w:r>
              <w:rPr/>
              <w:t> </w:t>
            </w:r>
          </w:p>
        </w:tc>
        <w:tc>
          <w:tcPr>
            <w:tcW w:w="2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0.53</w:t>
            </w:r>
          </w:p>
        </w:tc>
        <w:tc>
          <w:tcPr>
            <w:tcW w:w="8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Regular dividends per share</w:t>
            </w:r>
          </w:p>
        </w:tc>
        <w:tc>
          <w:tcPr>
            <w:tcW w:w="60" w:type="dxa"/>
            <w:tcBorders/>
            <w:shd w:fill="CCEEFF" w:val="clear"/>
            <w:vAlign w:val="center"/>
          </w:tcPr>
          <w:p>
            <w:pPr>
              <w:pStyle w:val="TableContents"/>
              <w:bidi w:val="0"/>
              <w:spacing w:before="0" w:after="283"/>
              <w:ind w:left="0" w:right="0" w:hanging="0"/>
              <w:jc w:val="left"/>
              <w:rPr/>
            </w:pPr>
            <w:r>
              <w:rPr/>
              <w:t> </w:t>
            </w:r>
          </w:p>
        </w:tc>
        <w:tc>
          <w:tcPr>
            <w:tcW w:w="2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0.60</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to condensed consolidated financial statements are an integral part of the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 of 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 xml:space="preserve">PART I – FINANCIAL INFORMATION – CONTINUED </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 xml:space="preserve">ITEM 1. FINANCIAL STATEMENTS </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BASSETT FURNITURE INDUSTRIES, INCORPORATED AND SUBSIDIARIES</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 xml:space="preserve">CONDENSED CONSOLIDATED STATEMENTS OF COMPREHENSIVE INCOME </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FOR THE PERIODS ENDED AUGUST 29, 2026 AND AUGUST 30, 2025 – UNAUDITED</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252"/>
        <w:gridCol w:w="60"/>
        <w:gridCol w:w="222"/>
        <w:gridCol w:w="869"/>
        <w:gridCol w:w="83"/>
        <w:gridCol w:w="62"/>
        <w:gridCol w:w="295"/>
        <w:gridCol w:w="794"/>
        <w:gridCol w:w="80"/>
        <w:gridCol w:w="60"/>
        <w:gridCol w:w="223"/>
        <w:gridCol w:w="868"/>
        <w:gridCol w:w="91"/>
        <w:gridCol w:w="68"/>
        <w:gridCol w:w="223"/>
        <w:gridCol w:w="868"/>
        <w:gridCol w:w="87"/>
      </w:tblGrid>
      <w:tr>
        <w:trPr/>
        <w:tc>
          <w:tcPr>
            <w:tcW w:w="525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2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Quarter Ended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41"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r>
          </w:p>
        </w:tc>
        <w:tc>
          <w:tcPr>
            <w:tcW w:w="87" w:type="dxa"/>
            <w:tcBorders/>
            <w:vAlign w:val="center"/>
          </w:tcPr>
          <w:p>
            <w:pPr>
              <w:pStyle w:val="TableContents"/>
              <w:bidi w:val="0"/>
              <w:spacing w:before="0" w:after="283"/>
              <w:jc w:val="left"/>
              <w:rPr/>
            </w:pPr>
            <w:r>
              <w:rPr/>
              <w:t> </w:t>
            </w:r>
          </w:p>
        </w:tc>
      </w:tr>
      <w:tr>
        <w:trPr/>
        <w:tc>
          <w:tcPr>
            <w:tcW w:w="525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August 29, 2026</w:t>
            </w:r>
          </w:p>
        </w:tc>
        <w:tc>
          <w:tcPr>
            <w:tcW w:w="83"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ind w:left="0" w:right="0" w:hanging="0"/>
              <w:jc w:val="left"/>
              <w:rPr/>
            </w:pPr>
            <w:r>
              <w:rPr/>
              <w:t> </w:t>
            </w:r>
          </w:p>
        </w:tc>
        <w:tc>
          <w:tcPr>
            <w:tcW w:w="10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August 30, 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August 29, 2026</w:t>
            </w:r>
          </w:p>
        </w:tc>
        <w:tc>
          <w:tcPr>
            <w:tcW w:w="91"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ind w:left="0" w:right="0" w:hanging="0"/>
              <w:jc w:val="left"/>
              <w:rPr/>
            </w:pPr>
            <w:r>
              <w:rPr/>
              <w:t> </w:t>
            </w:r>
          </w:p>
        </w:tc>
        <w:tc>
          <w:tcPr>
            <w:tcW w:w="10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August 30, 2025</w:t>
            </w:r>
          </w:p>
        </w:tc>
        <w:tc>
          <w:tcPr>
            <w:tcW w:w="87" w:type="dxa"/>
            <w:tcBorders/>
            <w:vAlign w:val="center"/>
          </w:tcPr>
          <w:p>
            <w:pPr>
              <w:pStyle w:val="TableContents"/>
              <w:bidi w:val="0"/>
              <w:spacing w:before="0" w:after="283"/>
              <w:jc w:val="left"/>
              <w:rPr/>
            </w:pPr>
            <w:r>
              <w:rPr/>
              <w:t> </w:t>
            </w:r>
          </w:p>
        </w:tc>
      </w:tr>
      <w:tr>
        <w:trPr/>
        <w:tc>
          <w:tcPr>
            <w:tcW w:w="525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c>
          <w:tcPr>
            <w:tcW w:w="794"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868"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868"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r>
      <w:tr>
        <w:trPr/>
        <w:tc>
          <w:tcPr>
            <w:tcW w:w="525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22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2,101</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29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5,256</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22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4,573</w:t>
            </w:r>
          </w:p>
        </w:tc>
        <w:tc>
          <w:tcPr>
            <w:tcW w:w="87" w:type="dxa"/>
            <w:tcBorders/>
            <w:shd w:fill="CCEEFF" w:val="clear"/>
            <w:vAlign w:val="center"/>
          </w:tcPr>
          <w:p>
            <w:pPr>
              <w:pStyle w:val="TableContents"/>
              <w:bidi w:val="0"/>
              <w:spacing w:before="0" w:after="283"/>
              <w:jc w:val="left"/>
              <w:rPr/>
            </w:pPr>
            <w:r>
              <w:rPr/>
              <w:t> </w:t>
            </w:r>
          </w:p>
        </w:tc>
      </w:tr>
      <w:tr>
        <w:trPr/>
        <w:tc>
          <w:tcPr>
            <w:tcW w:w="525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 (loss):</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68"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68"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r>
      <w:tr>
        <w:trPr/>
        <w:tc>
          <w:tcPr>
            <w:tcW w:w="5252" w:type="dxa"/>
            <w:tcBorders/>
            <w:shd w:fill="CCEEFF" w:val="clear"/>
            <w:vAlign w:val="center"/>
          </w:tcPr>
          <w:p>
            <w:pPr>
              <w:pStyle w:val="TableContents"/>
              <w:bidi w:val="0"/>
              <w:spacing w:before="0" w:after="0"/>
              <w:ind w:left="540" w:right="0" w:hanging="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associated with supplemental executive retirement defined benefit plan (SERP)</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ind w:left="0" w:right="0" w:hanging="0"/>
              <w:jc w:val="left"/>
              <w:rPr/>
            </w:pPr>
            <w:r>
              <w:rPr/>
              <w:t> </w:t>
            </w:r>
          </w:p>
        </w:tc>
        <w:tc>
          <w:tcPr>
            <w:tcW w:w="8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ind w:left="0" w:right="0" w:hanging="0"/>
              <w:jc w:val="left"/>
              <w:rPr/>
            </w:pPr>
            <w:r>
              <w:rPr/>
              <w:t> </w:t>
            </w:r>
          </w:p>
        </w:tc>
        <w:tc>
          <w:tcPr>
            <w:tcW w:w="7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ind w:left="0" w:right="0" w:hanging="0"/>
              <w:jc w:val="left"/>
              <w:rPr/>
            </w:pPr>
            <w:r>
              <w:rPr/>
              <w:t> </w:t>
            </w:r>
          </w:p>
        </w:tc>
        <w:tc>
          <w:tcPr>
            <w:tcW w:w="8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w:t>
            </w:r>
          </w:p>
        </w:tc>
        <w:tc>
          <w:tcPr>
            <w:tcW w:w="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ind w:left="0" w:right="0" w:hanging="0"/>
              <w:jc w:val="left"/>
              <w:rPr/>
            </w:pPr>
            <w:r>
              <w:rPr/>
              <w:t> </w:t>
            </w:r>
          </w:p>
        </w:tc>
        <w:tc>
          <w:tcPr>
            <w:tcW w:w="8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w:t>
            </w:r>
          </w:p>
        </w:tc>
        <w:tc>
          <w:tcPr>
            <w:tcW w:w="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5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 related to SERP</w:t>
            </w:r>
          </w:p>
        </w:tc>
        <w:tc>
          <w:tcPr>
            <w:tcW w:w="60" w:type="dxa"/>
            <w:tcBorders/>
            <w:shd w:fill="FFFFFF" w:val="clear"/>
            <w:vAlign w:val="center"/>
          </w:tcPr>
          <w:p>
            <w:pPr>
              <w:pStyle w:val="TableContents"/>
              <w:bidi w:val="0"/>
              <w:spacing w:before="0" w:after="283"/>
              <w:jc w:val="left"/>
              <w:rPr/>
            </w:pPr>
            <w:r>
              <w:rPr/>
              <w:t> </w:t>
            </w:r>
          </w:p>
        </w:tc>
        <w:tc>
          <w:tcPr>
            <w:tcW w:w="2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2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87" w:type="dxa"/>
            <w:tcBorders/>
            <w:shd w:fill="FFFFFF" w:val="clear"/>
            <w:vAlign w:val="center"/>
          </w:tcPr>
          <w:p>
            <w:pPr>
              <w:pStyle w:val="TableContents"/>
              <w:bidi w:val="0"/>
              <w:spacing w:before="0" w:after="283"/>
              <w:jc w:val="left"/>
              <w:rPr/>
            </w:pPr>
            <w:r>
              <w:rPr/>
              <w:t> </w:t>
            </w:r>
          </w:p>
        </w:tc>
      </w:tr>
      <w:tr>
        <w:trPr/>
        <w:tc>
          <w:tcPr>
            <w:tcW w:w="525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868"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868"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r>
      <w:tr>
        <w:trPr/>
        <w:tc>
          <w:tcPr>
            <w:tcW w:w="5252"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loss, net of tax</w:t>
            </w:r>
          </w:p>
        </w:tc>
        <w:tc>
          <w:tcPr>
            <w:tcW w:w="60" w:type="dxa"/>
            <w:tcBorders/>
            <w:shd w:fill="FFFFFF" w:val="clear"/>
            <w:vAlign w:val="center"/>
          </w:tcPr>
          <w:p>
            <w:pPr>
              <w:pStyle w:val="TableContents"/>
              <w:bidi w:val="0"/>
              <w:spacing w:before="0" w:after="283"/>
              <w:jc w:val="left"/>
              <w:rPr/>
            </w:pPr>
            <w:r>
              <w:rPr/>
              <w:t> </w:t>
            </w:r>
          </w:p>
        </w:tc>
        <w:tc>
          <w:tcPr>
            <w:tcW w:w="2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FFFFFF" w:val="clear"/>
            <w:vAlign w:val="center"/>
          </w:tcPr>
          <w:p>
            <w:pPr>
              <w:pStyle w:val="TableContents"/>
              <w:bidi w:val="0"/>
              <w:spacing w:before="0" w:after="283"/>
              <w:jc w:val="left"/>
              <w:rPr/>
            </w:pPr>
            <w:r>
              <w:rPr/>
              <w:t> </w:t>
            </w:r>
          </w:p>
        </w:tc>
        <w:tc>
          <w:tcPr>
            <w:tcW w:w="2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2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9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FFFFFF" w:val="clear"/>
            <w:vAlign w:val="center"/>
          </w:tcPr>
          <w:p>
            <w:pPr>
              <w:pStyle w:val="TableContents"/>
              <w:bidi w:val="0"/>
              <w:spacing w:before="0" w:after="283"/>
              <w:jc w:val="left"/>
              <w:rPr/>
            </w:pPr>
            <w:r>
              <w:rPr/>
              <w:t> </w:t>
            </w:r>
          </w:p>
        </w:tc>
        <w:tc>
          <w:tcPr>
            <w:tcW w:w="22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8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5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868"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868"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r>
      <w:tr>
        <w:trPr/>
        <w:tc>
          <w:tcPr>
            <w:tcW w:w="525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comprehensive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22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2,091</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29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5,225</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22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4,537</w:t>
            </w:r>
          </w:p>
        </w:tc>
        <w:tc>
          <w:tcPr>
            <w:tcW w:w="87"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to condensed consolidated financial statements are an integral part of the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 of 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PART I – FINANCIAL INFORMATION – CONTINUED</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ITEM 1. FINANCIAL STATEMENTS</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BASSETT FURNITURE INDUSTRIES, INCORPORATED AND SUBSIDIARIES</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 xml:space="preserve">CONDENSED CONSOLIDATED BALANCE SHEETS </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 xml:space="preserve">AUGUST 29, 2026 AND NOVEMBER 29, 2025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p>
      <w:pPr>
        <w:pStyle w:val="TextBody"/>
        <w:bidi w:val="0"/>
        <w:spacing w:before="0" w:after="0"/>
        <w:ind w:left="0" w:right="0" w:hanging="0"/>
        <w:jc w:val="center"/>
        <w:rPr>
          <w:caps w:val="false"/>
          <w:smallCaps w:val="false"/>
        </w:rPr>
      </w:pPr>
      <w:r>
        <w:rPr>
          <w:caps w:val="false"/>
          <w:smallCaps w:val="false"/>
        </w:rPr>
        <w:t> </w:t>
      </w:r>
    </w:p>
    <w:tbl>
      <w:tblPr>
        <w:tblW w:w="7258" w:type="dxa"/>
        <w:jc w:val="left"/>
        <w:tblInd w:w="0" w:type="dxa"/>
        <w:tblLayout w:type="fixed"/>
        <w:tblCellMar>
          <w:top w:w="0" w:type="dxa"/>
          <w:left w:w="0" w:type="dxa"/>
          <w:bottom w:w="0" w:type="dxa"/>
          <w:right w:w="0" w:type="dxa"/>
        </w:tblCellMar>
      </w:tblPr>
      <w:tblGrid>
        <w:gridCol w:w="3980"/>
        <w:gridCol w:w="60"/>
        <w:gridCol w:w="207"/>
        <w:gridCol w:w="1162"/>
        <w:gridCol w:w="60"/>
        <w:gridCol w:w="60"/>
        <w:gridCol w:w="252"/>
        <w:gridCol w:w="1417"/>
        <w:gridCol w:w="60"/>
      </w:tblGrid>
      <w:tr>
        <w:trPr/>
        <w:tc>
          <w:tcPr>
            <w:tcW w:w="3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6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41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August 29,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November 29, 2025</w:t>
            </w:r>
          </w:p>
        </w:tc>
        <w:tc>
          <w:tcPr>
            <w:tcW w:w="60"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Assets</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4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6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4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41,277</w:t>
            </w:r>
          </w:p>
        </w:tc>
        <w:tc>
          <w:tcPr>
            <w:tcW w:w="60"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investments</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11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ind w:left="0" w:right="0" w:hanging="0"/>
              <w:jc w:val="left"/>
              <w:rPr/>
            </w:pPr>
            <w:r>
              <w:rPr/>
              <w:t> </w:t>
            </w:r>
          </w:p>
        </w:tc>
        <w:tc>
          <w:tcPr>
            <w:tcW w:w="14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17,963</w:t>
            </w:r>
          </w:p>
        </w:tc>
        <w:tc>
          <w:tcPr>
            <w:tcW w:w="60"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net</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11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ind w:left="0" w:right="0" w:hanging="0"/>
              <w:jc w:val="left"/>
              <w:rPr/>
            </w:pPr>
            <w:r>
              <w:rPr/>
              <w:t> </w:t>
            </w:r>
          </w:p>
        </w:tc>
        <w:tc>
          <w:tcPr>
            <w:tcW w:w="14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14,410</w:t>
            </w:r>
          </w:p>
        </w:tc>
        <w:tc>
          <w:tcPr>
            <w:tcW w:w="60"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11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59,279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ind w:left="0" w:right="0" w:hanging="0"/>
              <w:jc w:val="left"/>
              <w:rPr/>
            </w:pPr>
            <w:r>
              <w:rPr/>
              <w:t> </w:t>
            </w:r>
          </w:p>
        </w:tc>
        <w:tc>
          <w:tcPr>
            <w:tcW w:w="14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61,790</w:t>
            </w:r>
          </w:p>
        </w:tc>
        <w:tc>
          <w:tcPr>
            <w:tcW w:w="60"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Recoverable income taxes</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11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ind w:left="0" w:right="0" w:hanging="0"/>
              <w:jc w:val="left"/>
              <w:rPr/>
            </w:pPr>
            <w:r>
              <w:rPr/>
              <w:t> </w:t>
            </w:r>
          </w:p>
        </w:tc>
        <w:tc>
          <w:tcPr>
            <w:tcW w:w="14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2,878</w:t>
            </w:r>
          </w:p>
        </w:tc>
        <w:tc>
          <w:tcPr>
            <w:tcW w:w="60"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assets</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7,224</w:t>
            </w:r>
          </w:p>
        </w:tc>
        <w:tc>
          <w:tcPr>
            <w:tcW w:w="60"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135,270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145,542</w:t>
            </w:r>
          </w:p>
        </w:tc>
        <w:tc>
          <w:tcPr>
            <w:tcW w:w="60"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6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4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 net</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11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73,441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ind w:left="0" w:right="0" w:hanging="0"/>
              <w:jc w:val="left"/>
              <w:rPr/>
            </w:pPr>
            <w:r>
              <w:rPr/>
              <w:t> </w:t>
            </w:r>
          </w:p>
        </w:tc>
        <w:tc>
          <w:tcPr>
            <w:tcW w:w="14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73,175</w:t>
            </w:r>
          </w:p>
        </w:tc>
        <w:tc>
          <w:tcPr>
            <w:tcW w:w="60"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6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4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taxes</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11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ind w:left="0" w:right="0" w:hanging="0"/>
              <w:jc w:val="left"/>
              <w:rPr/>
            </w:pPr>
            <w:r>
              <w:rPr/>
              <w:t> </w:t>
            </w:r>
          </w:p>
        </w:tc>
        <w:tc>
          <w:tcPr>
            <w:tcW w:w="14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5,979</w:t>
            </w:r>
          </w:p>
        </w:tc>
        <w:tc>
          <w:tcPr>
            <w:tcW w:w="60"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11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ind w:left="0" w:right="0" w:hanging="0"/>
              <w:jc w:val="left"/>
              <w:rPr/>
            </w:pPr>
            <w:r>
              <w:rPr/>
              <w:t> </w:t>
            </w:r>
          </w:p>
        </w:tc>
        <w:tc>
          <w:tcPr>
            <w:tcW w:w="14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7,217</w:t>
            </w:r>
          </w:p>
        </w:tc>
        <w:tc>
          <w:tcPr>
            <w:tcW w:w="60"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assets</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11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ind w:left="0" w:right="0" w:hanging="0"/>
              <w:jc w:val="left"/>
              <w:rPr/>
            </w:pPr>
            <w:r>
              <w:rPr/>
              <w:t> </w:t>
            </w:r>
          </w:p>
        </w:tc>
        <w:tc>
          <w:tcPr>
            <w:tcW w:w="14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6,910</w:t>
            </w:r>
          </w:p>
        </w:tc>
        <w:tc>
          <w:tcPr>
            <w:tcW w:w="60"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Right of use assets under operating leases</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11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73,194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ind w:left="0" w:right="0" w:hanging="0"/>
              <w:jc w:val="left"/>
              <w:rPr/>
            </w:pPr>
            <w:r>
              <w:rPr/>
              <w:t> </w:t>
            </w:r>
          </w:p>
        </w:tc>
        <w:tc>
          <w:tcPr>
            <w:tcW w:w="14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76,727</w:t>
            </w:r>
          </w:p>
        </w:tc>
        <w:tc>
          <w:tcPr>
            <w:tcW w:w="60"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8,269</w:t>
            </w:r>
          </w:p>
        </w:tc>
        <w:tc>
          <w:tcPr>
            <w:tcW w:w="60"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long-term assets</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103,430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105,102</w:t>
            </w:r>
          </w:p>
        </w:tc>
        <w:tc>
          <w:tcPr>
            <w:tcW w:w="60"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312,141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323,819</w:t>
            </w:r>
          </w:p>
        </w:tc>
        <w:tc>
          <w:tcPr>
            <w:tcW w:w="60"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6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4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u w:val="single"/>
              </w:rPr>
              <w:t>Liabilities and Stockholders</w:t>
            </w:r>
            <w:r>
              <w:rPr>
                <w:rFonts w:ascii="Times New Roman;Times;serif" w:hAnsi="Times New Roman;Times;serif"/>
                <w:caps w:val="false"/>
                <w:smallCaps w:val="false"/>
                <w:sz w:val="20"/>
                <w:u w:val="single"/>
              </w:rPr>
              <w:t xml:space="preserve">’ </w:t>
            </w:r>
            <w:r>
              <w:rPr>
                <w:rFonts w:ascii="Times New Roman;Times;serif" w:hAnsi="Times New Roman;Times;serif"/>
                <w:b/>
                <w:caps w:val="false"/>
                <w:smallCaps w:val="false"/>
                <w:sz w:val="20"/>
                <w:u w:val="single"/>
              </w:rPr>
              <w:t>Equity</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4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6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4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14,739</w:t>
            </w:r>
          </w:p>
        </w:tc>
        <w:tc>
          <w:tcPr>
            <w:tcW w:w="60"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compensation and benefits</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11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ind w:left="0" w:right="0" w:hanging="0"/>
              <w:jc w:val="left"/>
              <w:rPr/>
            </w:pPr>
            <w:r>
              <w:rPr/>
              <w:t> </w:t>
            </w:r>
          </w:p>
        </w:tc>
        <w:tc>
          <w:tcPr>
            <w:tcW w:w="14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10,227</w:t>
            </w:r>
          </w:p>
        </w:tc>
        <w:tc>
          <w:tcPr>
            <w:tcW w:w="60"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deposits</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11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ind w:left="0" w:right="0" w:hanging="0"/>
              <w:jc w:val="left"/>
              <w:rPr/>
            </w:pPr>
            <w:r>
              <w:rPr/>
              <w:t> </w:t>
            </w:r>
          </w:p>
        </w:tc>
        <w:tc>
          <w:tcPr>
            <w:tcW w:w="14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24,969</w:t>
            </w:r>
          </w:p>
        </w:tc>
        <w:tc>
          <w:tcPr>
            <w:tcW w:w="60"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portion of operating lease obligations</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11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ind w:left="0" w:right="0" w:hanging="0"/>
              <w:jc w:val="left"/>
              <w:rPr/>
            </w:pPr>
            <w:r>
              <w:rPr/>
              <w:t> </w:t>
            </w:r>
          </w:p>
        </w:tc>
        <w:tc>
          <w:tcPr>
            <w:tcW w:w="14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19,299</w:t>
            </w:r>
          </w:p>
        </w:tc>
        <w:tc>
          <w:tcPr>
            <w:tcW w:w="60"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liabilites and accrued expenses</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7,750</w:t>
            </w:r>
          </w:p>
        </w:tc>
        <w:tc>
          <w:tcPr>
            <w:tcW w:w="60"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69,363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76,984</w:t>
            </w:r>
          </w:p>
        </w:tc>
        <w:tc>
          <w:tcPr>
            <w:tcW w:w="60"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4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Long-term liabilities</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6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4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Post employment benefit obligations</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11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ind w:left="0" w:right="0" w:hanging="0"/>
              <w:jc w:val="left"/>
              <w:rPr/>
            </w:pPr>
            <w:r>
              <w:rPr/>
              <w:t> </w:t>
            </w:r>
          </w:p>
        </w:tc>
        <w:tc>
          <w:tcPr>
            <w:tcW w:w="14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11,379</w:t>
            </w:r>
          </w:p>
        </w:tc>
        <w:tc>
          <w:tcPr>
            <w:tcW w:w="60"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portion of operating lease obligations</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11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65,052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ind w:left="0" w:right="0" w:hanging="0"/>
              <w:jc w:val="left"/>
              <w:rPr/>
            </w:pPr>
            <w:r>
              <w:rPr/>
              <w:t> </w:t>
            </w:r>
          </w:p>
        </w:tc>
        <w:tc>
          <w:tcPr>
            <w:tcW w:w="14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69,353</w:t>
            </w:r>
          </w:p>
        </w:tc>
        <w:tc>
          <w:tcPr>
            <w:tcW w:w="60"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long-term liabilities</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996</w:t>
            </w:r>
          </w:p>
        </w:tc>
        <w:tc>
          <w:tcPr>
            <w:tcW w:w="60"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long-term liabilities</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77,850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81,728</w:t>
            </w:r>
          </w:p>
        </w:tc>
        <w:tc>
          <w:tcPr>
            <w:tcW w:w="60"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4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Stockholders</w:t>
            </w:r>
            <w:r>
              <w:rPr>
                <w:rFonts w:ascii="Times New Roman;Times;serif" w:hAnsi="Times New Roman;Times;serif"/>
                <w:caps w:val="false"/>
                <w:smallCaps w:val="false"/>
                <w:sz w:val="20"/>
              </w:rPr>
              <w:t xml:space="preserve">’ </w:t>
            </w:r>
            <w:r>
              <w:rPr>
                <w:rFonts w:ascii="Times New Roman;Times;serif" w:hAnsi="Times New Roman;Times;serif"/>
                <w:b/>
                <w:caps w:val="false"/>
                <w:smallCaps w:val="false"/>
                <w:sz w:val="20"/>
              </w:rPr>
              <w:t>equity</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6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4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11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43,198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ind w:left="0" w:right="0" w:hanging="0"/>
              <w:jc w:val="left"/>
              <w:rPr/>
            </w:pPr>
            <w:r>
              <w:rPr/>
              <w:t> </w:t>
            </w:r>
          </w:p>
        </w:tc>
        <w:tc>
          <w:tcPr>
            <w:tcW w:w="14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43,256</w:t>
            </w:r>
          </w:p>
        </w:tc>
        <w:tc>
          <w:tcPr>
            <w:tcW w:w="60"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Retained earnings</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11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120,982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ind w:left="0" w:right="0" w:hanging="0"/>
              <w:jc w:val="left"/>
              <w:rPr/>
            </w:pPr>
            <w:r>
              <w:rPr/>
              <w:t> </w:t>
            </w:r>
          </w:p>
        </w:tc>
        <w:tc>
          <w:tcPr>
            <w:tcW w:w="14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121,128</w:t>
            </w:r>
          </w:p>
        </w:tc>
        <w:tc>
          <w:tcPr>
            <w:tcW w:w="60"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paid-in capital</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11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ind w:left="0" w:right="0" w:hanging="0"/>
              <w:jc w:val="left"/>
              <w:rPr/>
            </w:pPr>
            <w:r>
              <w:rPr/>
              <w:t> </w:t>
            </w:r>
          </w:p>
        </w:tc>
        <w:tc>
          <w:tcPr>
            <w:tcW w:w="14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other comprehensive income</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723</w:t>
            </w:r>
          </w:p>
        </w:tc>
        <w:tc>
          <w:tcPr>
            <w:tcW w:w="60"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stockholders' equity</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164,928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165,107</w:t>
            </w:r>
          </w:p>
        </w:tc>
        <w:tc>
          <w:tcPr>
            <w:tcW w:w="60"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Total liabilities and stockholders</w:t>
            </w:r>
            <w:r>
              <w:rPr>
                <w:rFonts w:ascii="Times New Roman;Times;serif" w:hAnsi="Times New Roman;Times;serif"/>
                <w:caps w:val="false"/>
                <w:smallCaps w:val="false"/>
                <w:sz w:val="20"/>
              </w:rPr>
              <w:t xml:space="preserve">’ </w:t>
            </w:r>
            <w:r>
              <w:rPr>
                <w:rFonts w:ascii="Times New Roman;Times;serif" w:hAnsi="Times New Roman;Times;serif"/>
                <w:b/>
                <w:caps w:val="false"/>
                <w:smallCaps w:val="false"/>
                <w:sz w:val="20"/>
              </w:rPr>
              <w:t>equity</w:t>
            </w:r>
          </w:p>
        </w:tc>
        <w:tc>
          <w:tcPr>
            <w:tcW w:w="60" w:type="dxa"/>
            <w:tcBorders/>
            <w:shd w:fill="FFFFFF" w:val="clear"/>
            <w:vAlign w:val="center"/>
          </w:tcPr>
          <w:p>
            <w:pPr>
              <w:pStyle w:val="TableContents"/>
              <w:bidi w:val="0"/>
              <w:spacing w:before="0" w:after="283"/>
              <w:ind w:left="0" w:right="0" w:hanging="0"/>
              <w:jc w:val="left"/>
              <w:rPr/>
            </w:pPr>
            <w:r>
              <w:rPr/>
              <w:t> </w:t>
            </w:r>
          </w:p>
        </w:tc>
        <w:tc>
          <w:tcPr>
            <w:tcW w:w="20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312,141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1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323,819</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to condensed consolidated financial statements are an integral part of the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 of 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PART I – FINANCIAL INFORMATION – CONTINUED</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ITEM 1. FINANCIAL STATEMENTS</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 xml:space="preserve">BASSETT FURNITURE INDUSTRIES, INCORPORATED AND SUBSIDIARIES </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 xml:space="preserve">CONDENSED CONSOLIDATED STATEMENTS OF CASH FLOWS </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FOR THE PERIODS ENDED AUGUST 29, 2026 AND AUGUST 30, 2025 – UNAUDITED</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9638" w:type="dxa"/>
        <w:jc w:val="left"/>
        <w:tblInd w:w="0" w:type="dxa"/>
        <w:tblLayout w:type="fixed"/>
        <w:tblCellMar>
          <w:top w:w="0" w:type="dxa"/>
          <w:left w:w="0" w:type="dxa"/>
          <w:bottom w:w="0" w:type="dxa"/>
          <w:right w:w="0" w:type="dxa"/>
        </w:tblCellMar>
      </w:tblPr>
      <w:tblGrid>
        <w:gridCol w:w="6620"/>
        <w:gridCol w:w="60"/>
        <w:gridCol w:w="220"/>
        <w:gridCol w:w="1149"/>
        <w:gridCol w:w="80"/>
        <w:gridCol w:w="60"/>
        <w:gridCol w:w="220"/>
        <w:gridCol w:w="1149"/>
        <w:gridCol w:w="80"/>
      </w:tblGrid>
      <w:tr>
        <w:trPr/>
        <w:tc>
          <w:tcPr>
            <w:tcW w:w="6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87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r>
          </w:p>
        </w:tc>
        <w:tc>
          <w:tcPr>
            <w:tcW w:w="80" w:type="dxa"/>
            <w:tcBorders/>
            <w:vAlign w:val="center"/>
          </w:tcPr>
          <w:p>
            <w:pPr>
              <w:pStyle w:val="TableContents"/>
              <w:bidi w:val="0"/>
              <w:spacing w:before="0" w:after="283"/>
              <w:jc w:val="left"/>
              <w:rPr/>
            </w:pPr>
            <w:r>
              <w:rPr/>
              <w:t> </w:t>
            </w:r>
          </w:p>
        </w:tc>
      </w:tr>
      <w:tr>
        <w:trPr/>
        <w:tc>
          <w:tcPr>
            <w:tcW w:w="6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August 29, 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August 30, 2025</w:t>
            </w:r>
          </w:p>
        </w:tc>
        <w:tc>
          <w:tcPr>
            <w:tcW w:w="80" w:type="dxa"/>
            <w:tcBorders/>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activities:</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22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4,573</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net income to 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11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11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6,626</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taxes</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11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11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1,307</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net</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11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11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841</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11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11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11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11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(6,494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Recoverable income taxes and other current assets</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11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11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1,690</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Right of use assets under operating leases</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11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11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12,768</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deposits</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11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11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 and other liabilities</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11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(5,243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11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393</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Obligations under operating leases</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(15,091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(13,431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CCEEFF" w:val="clear"/>
            <w:vAlign w:val="center"/>
          </w:tcPr>
          <w:p>
            <w:pPr>
              <w:pStyle w:val="TableContents"/>
              <w:bidi w:val="0"/>
              <w:spacing w:before="0" w:after="0"/>
              <w:ind w:left="54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5,726</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Investing activities:</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of property and equipment</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11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(6,875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11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licensee acquisition</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11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11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CCEEFF" w:val="clear"/>
            <w:vAlign w:val="center"/>
          </w:tcPr>
          <w:p>
            <w:pPr>
              <w:pStyle w:val="TableContents"/>
              <w:bidi w:val="0"/>
              <w:spacing w:before="0" w:after="0"/>
              <w:ind w:left="54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(7,966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Financing activities:</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dividends</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11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(5,179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11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(5,210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issuance of common stock</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11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11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Repurchases of common stock</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11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11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Taxes paid related to net share settlement of equity awards</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11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11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Repayments of finance lease obligations</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CCEEFF" w:val="clear"/>
            <w:vAlign w:val="center"/>
          </w:tcPr>
          <w:p>
            <w:pPr>
              <w:pStyle w:val="TableContents"/>
              <w:bidi w:val="0"/>
              <w:spacing w:before="0" w:after="0"/>
              <w:ind w:left="54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cash used in financing activities</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(5,952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(6,719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 in cash and cash equivalents</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11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(5,905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11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(5,138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and cash equivalents - beginning of period</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41,277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39,551</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11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and cash equivalents - end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34,413</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to condensed consolidated financial statements are an integral part of the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 of 37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PART I-FINANCIAL INFORMATION-CONTINUED</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BASSETT FURNITURE INDUSTRIES, INCORPORATED AND SUBSIDIARIES</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NOTES TO CONDENSED CONSOLIDATED FINANCIAL STATEMENTS-UNAUDITED</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AUGUST 29, 2026</w:t>
      </w:r>
    </w:p>
    <w:p>
      <w:pPr>
        <w:pStyle w:val="TextBody"/>
        <w:bidi w:val="0"/>
        <w:ind w:left="0" w:right="0" w:hanging="0"/>
        <w:jc w:val="center"/>
        <w:rPr>
          <w:rFonts w:ascii="Times New Roman;Times;serif" w:hAnsi="Times New Roman;Times;serif"/>
          <w:sz w:val="20"/>
          <w:u w:val="single"/>
        </w:rPr>
      </w:pPr>
      <w:r>
        <w:rPr>
          <w:rFonts w:ascii="Times New Roman;Times;serif" w:hAnsi="Times New Roman;Times;serif"/>
          <w:sz w:val="20"/>
          <w:u w:val="single"/>
        </w:rPr>
        <w:t>(Dollars in thousands except share and per share data)</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 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accompanying unaudited condensed consolidated financial statements have been prepared in accordance with the instructions to Form 10-Q and do not include all of the information and footnotes required by accounting principles generally accepted in the United States (“GAAP”) for complete financial statements. In our opinion, all adjustments (consisting of normal recurring adjustments) considered necessary for a fair presentation have been included.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References to “ASC” included hereinafter refer to the Accounting Standards Codification established by the Financial Accounting Standards Board (“FASB”) as the source of authoritative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The condensed consolidated financial statements include the accounts of Bassett Furniture Industries, Incorporated (“Bassett”, “we”, “our”, or the “Company”) and our subsidiaries, all of which are wholly owned. In accordance with ASC Topic 810, </w:t>
      </w:r>
      <w:r>
        <w:rPr>
          <w:rFonts w:ascii="Times New Roman" w:hAnsi="Times New Roman"/>
          <w:i/>
          <w:caps w:val="false"/>
          <w:smallCaps w:val="false"/>
          <w:sz w:val="20"/>
        </w:rPr>
        <w:t>Consolidation</w:t>
      </w:r>
      <w:r>
        <w:rPr>
          <w:rFonts w:ascii="Times New Roman" w:hAnsi="Times New Roman"/>
          <w:caps w:val="false"/>
          <w:smallCaps w:val="false"/>
          <w:sz w:val="20"/>
        </w:rPr>
        <w:t>, we have evaluated our licensees and certain other entities to determine whether they are variable interest entities (“VIEs”) of which we are the primary beneficiary and thus would require consolidation in our financial statements. As of and for the periods ended August 29, 2026 and August 30, 2025 and as of November 29, 2025 we have concluded that none of the evaluated entities represent VIEs.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Revenue from the sale of furniture and accessories is reported in the accompanying condensed consolidated statements of income net of estimates for returns and allowances. We exclude from revenues amounts collected from customers for sales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Certain amounts for the three and nine months ended August 30, 2025 have been reclassified to conform to the current year’s presentation. See Note 13, Revenue Recognition.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2. Interim Financial Presentation and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intercompany accounts and transactions have been eliminated in the condensed consolidated financial statements. The results of operations for the three and nine months ended August 29, 2026 are not necessarily indicative of results for the full fiscal year. These interim condensed consolidated financial statements should be read in conjunction with the consolidated financial statements and accompanying notes included in our Annual Report on Form 10-K for the year ended November 29,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calculate an anticipated effective tax rate for the year based on our annual estimates of pretax income or loss and use that effective tax rate to record our year-to-date income tax provision.  Any change in annual projections of pretax income or loss could have a significant impact on our effective tax rate for the respective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effective tax rates were 27.2% and 26.8% for the three and nine months ended August 29, 2026, respectively. The effective rate differs from the federal statutory rate of 21% primarily due to the effects of state income taxes and various permanent differences.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effective tax rate was 26.8% for both the three and nine months ended August 30, 2025. The effective rate differs from the federal statutory rate of 21% primarily due to the effects of state income taxes and various permanent differences.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Supplemental Cash Flow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nine months ended August 29, 2026 and August 30, 2025, $9,228 and $378, respectively, of lease right-of-use assets were added through the recognition of the corresponding lease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 of 37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PART I-FINANCIAL INFORMATION-CONTINUED</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BASSETT FURNITURE INDUSTRIES, INCORPORATED AND SUBSIDIARIES</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NOTES TO CONDENSED CONSOLIDATED FINANCIAL STATEMENTS-UNAUDITED</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AUGUST 29, 2026</w:t>
      </w:r>
    </w:p>
    <w:p>
      <w:pPr>
        <w:pStyle w:val="TextBody"/>
        <w:bidi w:val="0"/>
        <w:ind w:left="0" w:right="0" w:hanging="0"/>
        <w:jc w:val="center"/>
        <w:rPr>
          <w:rFonts w:ascii="Times New Roman;Times;serif" w:hAnsi="Times New Roman;Times;serif"/>
          <w:sz w:val="20"/>
          <w:u w:val="single"/>
        </w:rPr>
      </w:pPr>
      <w:r>
        <w:rPr>
          <w:rFonts w:ascii="Times New Roman;Times;serif" w:hAnsi="Times New Roman;Times;serif"/>
          <w:sz w:val="20"/>
          <w:u w:val="single"/>
        </w:rPr>
        <w:t>(Dollars in thousands except share and per share data)</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Income tax refunds received (taxes paid), net, during the nine months ended August 29, 2026 and August 30, 2025 were as follows:</w:t>
      </w:r>
    </w:p>
    <w:p>
      <w:pPr>
        <w:pStyle w:val="TextBody"/>
        <w:bidi w:val="0"/>
        <w:spacing w:before="0" w:after="0"/>
        <w:ind w:left="0" w:right="0" w:hanging="0"/>
        <w:jc w:val="left"/>
        <w:rPr>
          <w:caps w:val="false"/>
          <w:smallCaps w:val="false"/>
        </w:rPr>
      </w:pPr>
      <w:r>
        <w:rPr>
          <w:caps w:val="false"/>
          <w:smallCaps w:val="false"/>
        </w:rPr>
        <w:t> </w:t>
      </w:r>
    </w:p>
    <w:tbl>
      <w:tblPr>
        <w:tblW w:w="6391" w:type="dxa"/>
        <w:jc w:val="left"/>
        <w:tblInd w:w="0" w:type="dxa"/>
        <w:tblLayout w:type="fixed"/>
        <w:tblCellMar>
          <w:top w:w="0" w:type="dxa"/>
          <w:left w:w="0" w:type="dxa"/>
          <w:bottom w:w="0" w:type="dxa"/>
          <w:right w:w="0" w:type="dxa"/>
        </w:tblCellMar>
      </w:tblPr>
      <w:tblGrid>
        <w:gridCol w:w="4130"/>
        <w:gridCol w:w="60"/>
        <w:gridCol w:w="257"/>
        <w:gridCol w:w="692"/>
        <w:gridCol w:w="119"/>
        <w:gridCol w:w="89"/>
        <w:gridCol w:w="228"/>
        <w:gridCol w:w="721"/>
        <w:gridCol w:w="95"/>
      </w:tblGrid>
      <w:tr>
        <w:trPr/>
        <w:tc>
          <w:tcPr>
            <w:tcW w:w="4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0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r>
          </w:p>
        </w:tc>
        <w:tc>
          <w:tcPr>
            <w:tcW w:w="95" w:type="dxa"/>
            <w:tcBorders/>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August 29,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1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August 30,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95" w:type="dxa"/>
            <w:tcBorders/>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Federal</w:t>
            </w:r>
          </w:p>
        </w:tc>
        <w:tc>
          <w:tcPr>
            <w:tcW w:w="60" w:type="dxa"/>
            <w:tcBorders/>
            <w:shd w:fill="CCEEFF" w:val="clear"/>
            <w:vAlign w:val="center"/>
          </w:tcPr>
          <w:p>
            <w:pPr>
              <w:pStyle w:val="TableContents"/>
              <w:bidi w:val="0"/>
              <w:spacing w:before="0" w:after="283"/>
              <w:ind w:left="0" w:right="0" w:hanging="0"/>
              <w:jc w:val="left"/>
              <w:rPr/>
            </w:pPr>
            <w:r>
              <w:rPr/>
              <w:t> </w:t>
            </w:r>
          </w:p>
        </w:tc>
        <w:tc>
          <w:tcPr>
            <w:tcW w:w="2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w:t>
            </w:r>
          </w:p>
        </w:tc>
        <w:tc>
          <w:tcPr>
            <w:tcW w:w="11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2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w:t>
            </w:r>
          </w:p>
        </w:tc>
        <w:tc>
          <w:tcPr>
            <w:tcW w:w="60" w:type="dxa"/>
            <w:tcBorders/>
            <w:shd w:fill="FFFFFF" w:val="clear"/>
            <w:vAlign w:val="center"/>
          </w:tcPr>
          <w:p>
            <w:pPr>
              <w:pStyle w:val="TableContents"/>
              <w:bidi w:val="0"/>
              <w:spacing w:before="0" w:after="283"/>
              <w:jc w:val="left"/>
              <w:rPr/>
            </w:pPr>
            <w:r>
              <w:rPr/>
              <w:t> </w:t>
            </w:r>
          </w:p>
        </w:tc>
        <w:tc>
          <w:tcPr>
            <w:tcW w:w="2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11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9" w:type="dxa"/>
            <w:tcBorders/>
            <w:shd w:fill="FFFFFF" w:val="clear"/>
            <w:vAlign w:val="center"/>
          </w:tcPr>
          <w:p>
            <w:pPr>
              <w:pStyle w:val="TableContents"/>
              <w:bidi w:val="0"/>
              <w:spacing w:before="0" w:after="283"/>
              <w:jc w:val="left"/>
              <w:rPr/>
            </w:pPr>
            <w:r>
              <w:rPr/>
              <w:t> </w:t>
            </w:r>
          </w:p>
        </w:tc>
        <w:tc>
          <w:tcPr>
            <w:tcW w:w="2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income tax refunds received (taxes paid), net</w:t>
            </w:r>
          </w:p>
        </w:tc>
        <w:tc>
          <w:tcPr>
            <w:tcW w:w="60" w:type="dxa"/>
            <w:tcBorders/>
            <w:shd w:fill="FFFFFF" w:val="clear"/>
            <w:vAlign w:val="center"/>
          </w:tcPr>
          <w:p>
            <w:pPr>
              <w:pStyle w:val="TableContents"/>
              <w:bidi w:val="0"/>
              <w:spacing w:before="0" w:after="283"/>
              <w:ind w:left="0" w:right="0" w:hanging="0"/>
              <w:jc w:val="left"/>
              <w:rPr/>
            </w:pPr>
            <w:r>
              <w:rPr/>
              <w:t> </w:t>
            </w:r>
          </w:p>
        </w:tc>
        <w:tc>
          <w:tcPr>
            <w:tcW w:w="2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w:t>
            </w:r>
          </w:p>
        </w:tc>
        <w:tc>
          <w:tcPr>
            <w:tcW w:w="11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2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Interest paid during the nine months ended August 29, 2026 and August 30, 2025 was $42 and $25,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Lessor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receive lease income as the lessor on a small number of leased premises which we have subleased to other tenants. Sublease income for closed stores and warehouses is included in selling, general and administrative (“SG&amp;A”) expense in the accompanying condensed consolidated statements of income and was $118 and $427 for the three and nine months ended August 29, 2026, respectively, and $149 and $399 for the three and nine months ended August 30, 2025, respectively. We also sublease one location to a licensee. This sublease income is included in other income (loss), net in the accompanying condensed consolidated statements of income and was $118 and $354 for the three and nine months ended August 29, 2026, respectively, and $114 and $343 for the three and nine months ended August 30,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Licensee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Effective March 1, 2026, we acquired the operations of the Bassett Home Furnishings (“BHF”) store located in Cherry Hill, New Jersey for an all-cash purchase price of $470 with no other forms of consideration transferred. The store had been owned and operated by a licensee that had determined that continued ownership of a BHF store was no longer consistent with its future business objectives. We believe that Cherry Hill, New Jersey represents a viable market for a BHF store.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preliminary purchase price allocation was as follows:</w:t>
      </w:r>
    </w:p>
    <w:p>
      <w:pPr>
        <w:pStyle w:val="TextBody"/>
        <w:bidi w:val="0"/>
        <w:spacing w:before="0" w:after="0"/>
        <w:ind w:left="0" w:right="0" w:hanging="0"/>
        <w:jc w:val="left"/>
        <w:rPr>
          <w:caps w:val="false"/>
          <w:smallCaps w:val="false"/>
        </w:rPr>
      </w:pPr>
      <w:r>
        <w:rPr>
          <w:caps w:val="false"/>
          <w:smallCaps w:val="false"/>
        </w:rPr>
        <w:t> </w:t>
      </w:r>
    </w:p>
    <w:tbl>
      <w:tblPr>
        <w:tblW w:w="2540" w:type="dxa"/>
        <w:jc w:val="left"/>
        <w:tblInd w:w="0" w:type="dxa"/>
        <w:tblLayout w:type="fixed"/>
        <w:tblCellMar>
          <w:top w:w="0" w:type="dxa"/>
          <w:left w:w="0" w:type="dxa"/>
          <w:bottom w:w="0" w:type="dxa"/>
          <w:right w:w="0" w:type="dxa"/>
        </w:tblCellMar>
      </w:tblPr>
      <w:tblGrid>
        <w:gridCol w:w="1925"/>
        <w:gridCol w:w="60"/>
        <w:gridCol w:w="125"/>
        <w:gridCol w:w="335"/>
        <w:gridCol w:w="95"/>
      </w:tblGrid>
      <w:tr>
        <w:trPr/>
        <w:tc>
          <w:tcPr>
            <w:tcW w:w="19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Inventory</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p>
        </w:tc>
        <w:tc>
          <w:tcPr>
            <w:tcW w:w="95" w:type="dxa"/>
            <w:tcBorders/>
            <w:shd w:fill="CCEEFF" w:val="clear"/>
            <w:vAlign w:val="center"/>
          </w:tcPr>
          <w:p>
            <w:pPr>
              <w:pStyle w:val="TableContents"/>
              <w:bidi w:val="0"/>
              <w:spacing w:before="0" w:after="283"/>
              <w:jc w:val="left"/>
              <w:rPr/>
            </w:pPr>
            <w:r>
              <w:rPr/>
              <w:t> </w:t>
            </w:r>
          </w:p>
        </w:tc>
      </w:tr>
      <w:tr>
        <w:trPr/>
        <w:tc>
          <w:tcPr>
            <w:tcW w:w="19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deposits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9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92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assets acquired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95" w:type="dxa"/>
            <w:tcBorders/>
            <w:shd w:fill="FFFFFF" w:val="clear"/>
            <w:vAlign w:val="center"/>
          </w:tcPr>
          <w:p>
            <w:pPr>
              <w:pStyle w:val="TableContents"/>
              <w:bidi w:val="0"/>
              <w:spacing w:before="0" w:after="283"/>
              <w:jc w:val="left"/>
              <w:rPr/>
            </w:pPr>
            <w:r>
              <w:rPr/>
              <w:t> </w:t>
            </w:r>
          </w:p>
        </w:tc>
      </w:tr>
      <w:tr>
        <w:trPr/>
        <w:tc>
          <w:tcPr>
            <w:tcW w:w="19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447</w:t>
            </w:r>
          </w:p>
        </w:tc>
        <w:tc>
          <w:tcPr>
            <w:tcW w:w="95" w:type="dxa"/>
            <w:tcBorders/>
            <w:shd w:fill="CCEEFF" w:val="clear"/>
            <w:vAlign w:val="center"/>
          </w:tcPr>
          <w:p>
            <w:pPr>
              <w:pStyle w:val="TableContents"/>
              <w:bidi w:val="0"/>
              <w:spacing w:before="0" w:after="283"/>
              <w:jc w:val="left"/>
              <w:rPr/>
            </w:pPr>
            <w:r>
              <w:rPr/>
              <w:t> </w:t>
            </w:r>
          </w:p>
        </w:tc>
      </w:tr>
      <w:tr>
        <w:trPr/>
        <w:tc>
          <w:tcPr>
            <w:tcW w:w="19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19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 price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470</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The allocation of the fair value of the acquired business was based on a preliminary valuation. Our estimates and assumptions are subject to change as we obtain additional information for our estimates during the measurement period (up to one year from the acquisition date). The primary area of the preliminary allocation of the purchase price that is not yet finalized relates to the estimate of certain accrued liabilities. The inputs into our valuation of the acquired assets reflect our market assumptions and are not observable. Consequently, the inputs are considered to be Level 3 inputs as specified in the fair value hierarchy in ASC Topic 820, </w:t>
      </w:r>
      <w:r>
        <w:rPr>
          <w:rFonts w:ascii="Times New Roman" w:hAnsi="Times New Roman"/>
          <w:i/>
          <w:caps w:val="false"/>
          <w:smallCaps w:val="false"/>
          <w:sz w:val="20"/>
        </w:rPr>
        <w:t>Fair Value Measurements and Disclosures</w:t>
      </w:r>
      <w:r>
        <w:rPr>
          <w:rFonts w:ascii="Times New Roman" w:hAnsi="Times New Roman"/>
          <w:caps w:val="false"/>
          <w:smallCaps w:val="false"/>
          <w:sz w:val="20"/>
        </w:rPr>
        <w:t>. See Note 6, Goodwill, regarding the allocation of the goodwill to our reportable segments. The recognized goodwill of $447 is deductible for income tax purposes. We believe that the primary factor supporting the recognized goodwill is that the acquired licensee has established our brand in the greater Philadelphia, Pennsylvania market and this acquisition will enable us to maintain and grow our brand presence in that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acquisition is not material to our condensed consolidated financial statements and, accordingly, pro forma revenue and earnings disclosures are not material and have not been presented. Sales and operating losses generated by the Cherry Hill store subsequent to acquisition were not material for the three and nine months ended August 29, 2026. Acquisition costs were immaterial.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 of 37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PART I-FINANCIAL INFORMATION-CONTINUED</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BASSETT FURNITURE INDUSTRIES, INCORPORATED AND SUBSIDIARIES</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NOTES TO CONDENSED CONSOLIDATED FINANCIAL STATEMENTS-UNAUDITED</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AUGUST 29, 2026</w:t>
      </w:r>
    </w:p>
    <w:p>
      <w:pPr>
        <w:pStyle w:val="TextBody"/>
        <w:bidi w:val="0"/>
        <w:ind w:left="0" w:right="0" w:hanging="0"/>
        <w:jc w:val="center"/>
        <w:rPr>
          <w:rFonts w:ascii="Times New Roman;Times;serif" w:hAnsi="Times New Roman;Times;serif"/>
          <w:sz w:val="20"/>
          <w:u w:val="single"/>
        </w:rPr>
      </w:pPr>
      <w:r>
        <w:rPr>
          <w:rFonts w:ascii="Times New Roman;Times;serif" w:hAnsi="Times New Roman;Times;serif"/>
          <w:sz w:val="20"/>
          <w:u w:val="single"/>
        </w:rPr>
        <w:t>(Dollars in thousands except share and per share data)</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New Store Pre-Opening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Income from operations for the three and nine months ended August 29, 2026 includes new store pre-opening costs of $144 and $712, respectively. Such costs consist of expenses incurred at the new store location during the period prior to its opening and include, among other things, facility occupancy costs such as rent and utilities and local store personnel costs related to pre-opening activities including training. New store pre-opening costs do not include costs which are capitalized in accordance with our property and equipment capitalization policies, such as leasehold improvements and store fixtures and equipment. Such capitalized costs associated with new stores are depreciated commencing with the opening of the store. There are no pre-opening costs associated with stores acquired from licensees, as such locations were already in operation at the time of their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Tariff Refund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2025, the President of the United States imposed high tariffs on many imported goods, including many of our imported products, under the International Emergency Economic Powers Act of 1977 (“IEEPA”). We capitalize tariffs into the cost of imported inventory and recognize tariffs in the income statement as the products are sold to third party customers. In February of 2026, the U.S. Supreme Court invalidated the tariffs previously imposed under IEEPA. As a result, during the third quarter of fiscal 2026 we received $2,832 in tariff refunds from U.S. Customs and Border Protection. We have elected to recognize the tariff refunds as received. To the extent that the refund related to tariffs previously capitalized into inventory that had been sold through August 29, 2026, the benefit of the refund has been recognized in the income statement resulting in a $956 increase in gross profit for the three and nine months ended August 29, 2026. The cost of inventory on hand at August 29, 2026 has been reduced to reflect the remaining reversal of previously incurred IEEPA tariffs due to the refund, which will result in additional benefits to gross profit as those goods are sold, primarily during the fourth quarter of fiscal 2026. In connection with the tariff refund, we also received interest of $94 which is included in interest income for the three and nine months ended August 29,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3. Financial Instruments and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Financial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financial instruments include cash and cash equivalents, short-term investments in certificates of deposit (CDs), accounts receivable, and accounts payable. Because of their short maturities, the carrying amounts of cash and cash equivalents, accounts receivable, and accounts payable approximate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Investments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short-term investments of $18,023 and $17,963 at August 29, 2026 and November 29, 2025, respectively, consisted of CDs. At August 29, 2026, the CDs had original terms averaging seven months, bearing interest at rates ranging from 2.0% to 4.1% and the weighted average remaining time to maturity was approximately five months and the weighted average yield of the CDs was approximately 3.8%. Each CD is placed with a federally insured financial institution and all deposits are within federal deposit insurance limits. Due to the nature of these investments and their relatively short maturities, the carrying amount of the short-term investments at August 29, 2026 and November 29, 2025 approximates their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 of 37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PART I-FINANCIAL INFORMATION-CONTINUED</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BASSETT FURNITURE INDUSTRIES, INCORPORATED AND SUBSIDIARIES</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NOTES TO CONDENSED CONSOLIDATED FINANCIAL STATEMENTS-UNAUDITED</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AUGUST 29, 2026</w:t>
      </w:r>
    </w:p>
    <w:p>
      <w:pPr>
        <w:pStyle w:val="TextBody"/>
        <w:bidi w:val="0"/>
        <w:ind w:left="0" w:right="0" w:hanging="0"/>
        <w:jc w:val="center"/>
        <w:rPr>
          <w:rFonts w:ascii="Times New Roman;Times;serif" w:hAnsi="Times New Roman;Times;serif"/>
          <w:sz w:val="20"/>
          <w:u w:val="single"/>
        </w:rPr>
      </w:pPr>
      <w:r>
        <w:rPr>
          <w:rFonts w:ascii="Times New Roman;Times;serif" w:hAnsi="Times New Roman;Times;serif"/>
          <w:sz w:val="20"/>
          <w:u w:val="single"/>
        </w:rPr>
        <w:t>(Dollars in thousands except share and per share data)</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4. Accounts Receivable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Accounts receivable consists of the following:</w:t>
      </w:r>
    </w:p>
    <w:p>
      <w:pPr>
        <w:pStyle w:val="TextBody"/>
        <w:bidi w:val="0"/>
        <w:spacing w:before="0" w:after="0"/>
        <w:ind w:left="0" w:right="0" w:hanging="0"/>
        <w:jc w:val="left"/>
        <w:rPr>
          <w:caps w:val="false"/>
          <w:smallCaps w:val="false"/>
        </w:rPr>
      </w:pPr>
      <w:r>
        <w:rPr>
          <w:caps w:val="false"/>
          <w:smallCaps w:val="false"/>
        </w:rPr>
        <w:t> </w:t>
      </w:r>
    </w:p>
    <w:tbl>
      <w:tblPr>
        <w:tblW w:w="5123" w:type="dxa"/>
        <w:jc w:val="left"/>
        <w:tblInd w:w="0" w:type="dxa"/>
        <w:tblLayout w:type="fixed"/>
        <w:tblCellMar>
          <w:top w:w="0" w:type="dxa"/>
          <w:left w:w="0" w:type="dxa"/>
          <w:bottom w:w="0" w:type="dxa"/>
          <w:right w:w="0" w:type="dxa"/>
        </w:tblCellMar>
      </w:tblPr>
      <w:tblGrid>
        <w:gridCol w:w="2210"/>
        <w:gridCol w:w="60"/>
        <w:gridCol w:w="239"/>
        <w:gridCol w:w="1130"/>
        <w:gridCol w:w="80"/>
        <w:gridCol w:w="60"/>
        <w:gridCol w:w="218"/>
        <w:gridCol w:w="1031"/>
        <w:gridCol w:w="95"/>
      </w:tblGrid>
      <w:tr>
        <w:trPr/>
        <w:tc>
          <w:tcPr>
            <w:tcW w:w="2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August 29, 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November 29,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95" w:type="dxa"/>
            <w:tcBorders/>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accounts receivable</w:t>
            </w:r>
          </w:p>
        </w:tc>
        <w:tc>
          <w:tcPr>
            <w:tcW w:w="60" w:type="dxa"/>
            <w:tcBorders/>
            <w:shd w:fill="CCEEFF" w:val="clear"/>
            <w:vAlign w:val="center"/>
          </w:tcPr>
          <w:p>
            <w:pPr>
              <w:pStyle w:val="TableContents"/>
              <w:bidi w:val="0"/>
              <w:spacing w:before="0" w:after="283"/>
              <w:ind w:left="0" w:right="0" w:hanging="0"/>
              <w:jc w:val="left"/>
              <w:rPr/>
            </w:pPr>
            <w:r>
              <w:rPr/>
              <w:t> </w:t>
            </w:r>
          </w:p>
        </w:tc>
        <w:tc>
          <w:tcPr>
            <w:tcW w:w="2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14,839</w:t>
            </w:r>
          </w:p>
        </w:tc>
        <w:tc>
          <w:tcPr>
            <w:tcW w:w="95" w:type="dxa"/>
            <w:tcBorders/>
            <w:shd w:fill="CCEE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Allowance for credit losses</w:t>
            </w:r>
          </w:p>
        </w:tc>
        <w:tc>
          <w:tcPr>
            <w:tcW w:w="60" w:type="dxa"/>
            <w:tcBorders/>
            <w:shd w:fill="FFFFFF" w:val="clear"/>
            <w:vAlign w:val="center"/>
          </w:tcPr>
          <w:p>
            <w:pPr>
              <w:pStyle w:val="TableContents"/>
              <w:bidi w:val="0"/>
              <w:spacing w:before="0" w:after="283"/>
              <w:jc w:val="left"/>
              <w:rPr/>
            </w:pPr>
            <w:r>
              <w:rPr/>
              <w:t> </w:t>
            </w:r>
          </w:p>
        </w:tc>
        <w:tc>
          <w:tcPr>
            <w:tcW w:w="2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(429</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net</w:t>
            </w:r>
          </w:p>
        </w:tc>
        <w:tc>
          <w:tcPr>
            <w:tcW w:w="60" w:type="dxa"/>
            <w:tcBorders/>
            <w:shd w:fill="CCEEFF" w:val="clear"/>
            <w:vAlign w:val="center"/>
          </w:tcPr>
          <w:p>
            <w:pPr>
              <w:pStyle w:val="TableContents"/>
              <w:bidi w:val="0"/>
              <w:spacing w:before="0" w:after="283"/>
              <w:ind w:left="0" w:right="0" w:hanging="0"/>
              <w:jc w:val="left"/>
              <w:rPr/>
            </w:pPr>
            <w:r>
              <w:rPr/>
              <w:t> </w:t>
            </w:r>
          </w:p>
        </w:tc>
        <w:tc>
          <w:tcPr>
            <w:tcW w:w="2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14,410</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We maintain an allowance for credit losses for estimated losses resulting from the inability of our customers to make required payments. The allowance for credit losses is based on a review of specifically identified accounts in addition to an overall aging analysis which is applied to accounts pooled on the basis of similar risk characteristics. Judgments are made with respect to the collectability of accounts receivable within each pool based on historical experience, current payment practices and current economic conditions. Actual credit losses could differ from those estimates. We have elected to use the practical expedient under ASC Topic 326, </w:t>
      </w:r>
      <w:r>
        <w:rPr>
          <w:rFonts w:ascii="Times New Roman" w:hAnsi="Times New Roman"/>
          <w:i/>
          <w:caps w:val="false"/>
          <w:smallCaps w:val="false"/>
          <w:sz w:val="20"/>
        </w:rPr>
        <w:t xml:space="preserve">Financial Instruments </w:t>
      </w:r>
      <w:r>
        <w:rPr>
          <w:rFonts w:ascii="Times New Roman" w:hAnsi="Times New Roman"/>
          <w:caps w:val="false"/>
          <w:smallCaps w:val="false"/>
          <w:sz w:val="20"/>
        </w:rPr>
        <w:t xml:space="preserve">– </w:t>
      </w:r>
      <w:r>
        <w:rPr>
          <w:rFonts w:ascii="Times New Roman" w:hAnsi="Times New Roman"/>
          <w:i/>
          <w:caps w:val="false"/>
          <w:smallCaps w:val="false"/>
          <w:sz w:val="20"/>
        </w:rPr>
        <w:t>Credit Losses</w:t>
      </w:r>
      <w:r>
        <w:rPr>
          <w:rFonts w:ascii="Times New Roman" w:hAnsi="Times New Roman"/>
          <w:caps w:val="false"/>
          <w:smallCaps w:val="false"/>
          <w:sz w:val="20"/>
        </w:rPr>
        <w:t>, which allows us to assume that current conditions as of the balance sheet date do not change over the expected life of the receivables, which is generally ninety days or 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Activity in the allowance for credit losses for the nine months ended August 29, 2026 and August 30, 2025 was as follows:</w:t>
      </w:r>
    </w:p>
    <w:p>
      <w:pPr>
        <w:pStyle w:val="TextBody"/>
        <w:bidi w:val="0"/>
        <w:spacing w:before="0" w:after="0"/>
        <w:ind w:left="0" w:right="0" w:firstLine="540"/>
        <w:jc w:val="left"/>
        <w:rPr>
          <w:caps w:val="false"/>
          <w:smallCaps w:val="false"/>
        </w:rPr>
      </w:pPr>
      <w:r>
        <w:rPr>
          <w:caps w:val="false"/>
          <w:smallCaps w:val="false"/>
        </w:rPr>
        <w:t> </w:t>
      </w:r>
    </w:p>
    <w:tbl>
      <w:tblPr>
        <w:tblW w:w="7230" w:type="dxa"/>
        <w:jc w:val="left"/>
        <w:tblInd w:w="0" w:type="dxa"/>
        <w:tblLayout w:type="fixed"/>
        <w:tblCellMar>
          <w:top w:w="0" w:type="dxa"/>
          <w:left w:w="0" w:type="dxa"/>
          <w:bottom w:w="0" w:type="dxa"/>
          <w:right w:w="0" w:type="dxa"/>
        </w:tblCellMar>
      </w:tblPr>
      <w:tblGrid>
        <w:gridCol w:w="4145"/>
        <w:gridCol w:w="60"/>
        <w:gridCol w:w="371"/>
        <w:gridCol w:w="998"/>
        <w:gridCol w:w="110"/>
        <w:gridCol w:w="82"/>
        <w:gridCol w:w="280"/>
        <w:gridCol w:w="1089"/>
        <w:gridCol w:w="95"/>
      </w:tblGrid>
      <w:tr>
        <w:trPr/>
        <w:tc>
          <w:tcPr>
            <w:tcW w:w="4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93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r>
          </w:p>
        </w:tc>
        <w:tc>
          <w:tcPr>
            <w:tcW w:w="95"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August 29, 2026</w:t>
            </w:r>
          </w:p>
        </w:tc>
        <w:tc>
          <w:tcPr>
            <w:tcW w:w="11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ind w:left="0" w:right="0" w:hanging="0"/>
              <w:jc w:val="left"/>
              <w:rPr/>
            </w:pPr>
            <w:r>
              <w:rPr/>
              <w:t> </w:t>
            </w:r>
          </w:p>
        </w:tc>
        <w:tc>
          <w:tcPr>
            <w:tcW w:w="13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August 30, 2025</w:t>
            </w:r>
          </w:p>
        </w:tc>
        <w:tc>
          <w:tcPr>
            <w:tcW w:w="95"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1"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 </w:t>
            </w:r>
          </w:p>
        </w:tc>
        <w:tc>
          <w:tcPr>
            <w:tcW w:w="1089"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 balance</w:t>
            </w:r>
          </w:p>
        </w:tc>
        <w:tc>
          <w:tcPr>
            <w:tcW w:w="60" w:type="dxa"/>
            <w:tcBorders/>
            <w:shd w:fill="CCEEFF" w:val="clear"/>
            <w:vAlign w:val="center"/>
          </w:tcPr>
          <w:p>
            <w:pPr>
              <w:pStyle w:val="TableContents"/>
              <w:bidi w:val="0"/>
              <w:spacing w:before="0" w:after="283"/>
              <w:ind w:left="0" w:right="0" w:hanging="0"/>
              <w:jc w:val="left"/>
              <w:rPr/>
            </w:pPr>
            <w:r>
              <w:rPr/>
              <w:t> </w:t>
            </w:r>
          </w:p>
        </w:tc>
        <w:tc>
          <w:tcPr>
            <w:tcW w:w="3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429</w:t>
            </w:r>
          </w:p>
        </w:tc>
        <w:tc>
          <w:tcPr>
            <w:tcW w:w="11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2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1,097</w:t>
            </w:r>
          </w:p>
        </w:tc>
        <w:tc>
          <w:tcPr>
            <w:tcW w:w="95" w:type="dxa"/>
            <w:tcBorders/>
            <w:shd w:fill="CCEEFF" w:val="clear"/>
            <w:vAlign w:val="center"/>
          </w:tcPr>
          <w:p>
            <w:pPr>
              <w:pStyle w:val="TableContents"/>
              <w:bidi w:val="0"/>
              <w:spacing w:before="0" w:after="283"/>
              <w:jc w:val="left"/>
              <w:rPr/>
            </w:pPr>
            <w:r>
              <w:rPr/>
              <w:t> </w:t>
            </w:r>
          </w:p>
        </w:tc>
      </w:tr>
      <w:tr>
        <w:trPr/>
        <w:tc>
          <w:tcPr>
            <w:tcW w:w="41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Additions charged (recoveries credited) to expense</w:t>
            </w:r>
          </w:p>
        </w:tc>
        <w:tc>
          <w:tcPr>
            <w:tcW w:w="60" w:type="dxa"/>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ind w:left="0" w:right="0" w:hanging="0"/>
              <w:jc w:val="left"/>
              <w:rPr/>
            </w:pPr>
            <w:r>
              <w:rPr/>
              <w:t> </w:t>
            </w:r>
          </w:p>
        </w:tc>
        <w:tc>
          <w:tcPr>
            <w:tcW w:w="9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w:t>
            </w:r>
          </w:p>
        </w:tc>
        <w:tc>
          <w:tcPr>
            <w:tcW w:w="11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108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Write-offs against allowance</w:t>
            </w:r>
          </w:p>
        </w:tc>
        <w:tc>
          <w:tcPr>
            <w:tcW w:w="60" w:type="dxa"/>
            <w:tcBorders/>
            <w:shd w:fill="CCEEFF" w:val="clear"/>
            <w:vAlign w:val="center"/>
          </w:tcPr>
          <w:p>
            <w:pPr>
              <w:pStyle w:val="TableContents"/>
              <w:bidi w:val="0"/>
              <w:spacing w:before="0" w:after="283"/>
              <w:jc w:val="left"/>
              <w:rPr/>
            </w:pPr>
            <w:r>
              <w:rPr/>
              <w:t> </w:t>
            </w:r>
          </w:p>
        </w:tc>
        <w:tc>
          <w:tcPr>
            <w:tcW w:w="3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2" w:type="dxa"/>
            <w:tcBorders/>
            <w:shd w:fill="CCEEFF" w:val="clear"/>
            <w:vAlign w:val="center"/>
          </w:tcPr>
          <w:p>
            <w:pPr>
              <w:pStyle w:val="TableContents"/>
              <w:bidi w:val="0"/>
              <w:spacing w:before="0" w:after="283"/>
              <w:jc w:val="left"/>
              <w:rPr/>
            </w:pPr>
            <w:r>
              <w:rPr/>
              <w:t> </w:t>
            </w:r>
          </w:p>
        </w:tc>
        <w:tc>
          <w:tcPr>
            <w:tcW w:w="2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(590</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Ending balance</w:t>
            </w:r>
          </w:p>
        </w:tc>
        <w:tc>
          <w:tcPr>
            <w:tcW w:w="60" w:type="dxa"/>
            <w:tcBorders/>
            <w:shd w:fill="FFFFFF" w:val="clear"/>
            <w:vAlign w:val="center"/>
          </w:tcPr>
          <w:p>
            <w:pPr>
              <w:pStyle w:val="TableContents"/>
              <w:bidi w:val="0"/>
              <w:spacing w:before="0" w:after="283"/>
              <w:ind w:left="0" w:right="0" w:hanging="0"/>
              <w:jc w:val="left"/>
              <w:rPr/>
            </w:pPr>
            <w:r>
              <w:rPr/>
              <w:t> </w:t>
            </w:r>
          </w:p>
        </w:tc>
        <w:tc>
          <w:tcPr>
            <w:tcW w:w="3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w:t>
            </w:r>
          </w:p>
        </w:tc>
        <w:tc>
          <w:tcPr>
            <w:tcW w:w="11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28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440</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Substantially all of the accounts receivable written off against the reserve during the three and nine months ended August 29, 2026 and August 30, 2025 originated during our fiscal years ended November 29, 2025 and November 30,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Because the expected life of our trade receivables is short-term, we believe that the carrying value of our net accounts receivable approximates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 of 37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PART I-FINANCIAL INFORMATION-CONTINUED</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BASSETT FURNITURE INDUSTRIES, INCORPORATED AND SUBSIDIARIES</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NOTES TO CONDENSED CONSOLIDATED FINANCIAL STATEMENTS-UNAUDITED</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AUGUST 29, 2026</w:t>
      </w:r>
    </w:p>
    <w:p>
      <w:pPr>
        <w:pStyle w:val="TextBody"/>
        <w:bidi w:val="0"/>
        <w:ind w:left="0" w:right="0" w:hanging="0"/>
        <w:jc w:val="center"/>
        <w:rPr>
          <w:rFonts w:ascii="Times New Roman;Times;serif" w:hAnsi="Times New Roman;Times;serif"/>
          <w:sz w:val="20"/>
          <w:u w:val="single"/>
        </w:rPr>
      </w:pPr>
      <w:r>
        <w:rPr>
          <w:rFonts w:ascii="Times New Roman;Times;serif" w:hAnsi="Times New Roman;Times;serif"/>
          <w:sz w:val="20"/>
          <w:u w:val="single"/>
        </w:rPr>
        <w:t>(Dollars in thousands except share and per share data)</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5. Inventories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Domestic furniture inventories are valued at the lower of cost, which is determined using the last-in, first-out (LIFO) method, or market. Imported inventories and those applicable to our Lane Venture and Bassett Outdoor lines are valued at the lower of cost, which is determined using the first-in, first-out (FIFO) method, or net realizable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Inventories were comprised of the following:</w:t>
      </w:r>
    </w:p>
    <w:p>
      <w:pPr>
        <w:pStyle w:val="TextBody"/>
        <w:bidi w:val="0"/>
        <w:spacing w:before="0" w:after="0"/>
        <w:ind w:left="0" w:right="0" w:hanging="0"/>
        <w:jc w:val="left"/>
        <w:rPr>
          <w:caps w:val="false"/>
          <w:smallCaps w:val="false"/>
        </w:rPr>
      </w:pPr>
      <w:r>
        <w:rPr>
          <w:caps w:val="false"/>
          <w:smallCaps w:val="false"/>
        </w:rPr>
        <w:t> </w:t>
      </w:r>
    </w:p>
    <w:tbl>
      <w:tblPr>
        <w:tblW w:w="6968" w:type="dxa"/>
        <w:jc w:val="left"/>
        <w:tblInd w:w="0" w:type="dxa"/>
        <w:tblLayout w:type="fixed"/>
        <w:tblCellMar>
          <w:top w:w="0" w:type="dxa"/>
          <w:left w:w="0" w:type="dxa"/>
          <w:bottom w:w="0" w:type="dxa"/>
          <w:right w:w="0" w:type="dxa"/>
        </w:tblCellMar>
      </w:tblPr>
      <w:tblGrid>
        <w:gridCol w:w="3650"/>
        <w:gridCol w:w="60"/>
        <w:gridCol w:w="220"/>
        <w:gridCol w:w="1149"/>
        <w:gridCol w:w="80"/>
        <w:gridCol w:w="60"/>
        <w:gridCol w:w="267"/>
        <w:gridCol w:w="1402"/>
        <w:gridCol w:w="80"/>
      </w:tblGrid>
      <w:tr>
        <w:trPr/>
        <w:tc>
          <w:tcPr>
            <w:tcW w:w="3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August 29, 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November 29, 2025</w:t>
            </w:r>
          </w:p>
        </w:tc>
        <w:tc>
          <w:tcPr>
            <w:tcW w:w="80" w:type="dxa"/>
            <w:tcBorders/>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Wholesale finished goods</w:t>
            </w:r>
          </w:p>
        </w:tc>
        <w:tc>
          <w:tcPr>
            <w:tcW w:w="60" w:type="dxa"/>
            <w:tcBorders/>
            <w:shd w:fill="CCEEFF" w:val="clear"/>
            <w:vAlign w:val="center"/>
          </w:tcPr>
          <w:p>
            <w:pPr>
              <w:pStyle w:val="TableContents"/>
              <w:bidi w:val="0"/>
              <w:spacing w:before="0" w:after="283"/>
              <w:ind w:left="0" w:right="0" w:hanging="0"/>
              <w:jc w:val="left"/>
              <w:rPr/>
            </w:pPr>
            <w:r>
              <w:rPr/>
              <w:t> </w:t>
            </w:r>
          </w:p>
        </w:tc>
        <w:tc>
          <w:tcPr>
            <w:tcW w:w="22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30,746</w:t>
            </w:r>
          </w:p>
        </w:tc>
        <w:tc>
          <w:tcPr>
            <w:tcW w:w="80"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Work in process</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11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ind w:left="0" w:right="0" w:hanging="0"/>
              <w:jc w:val="left"/>
              <w:rPr/>
            </w:pPr>
            <w:r>
              <w:rPr/>
              <w:t> </w:t>
            </w:r>
          </w:p>
        </w:tc>
        <w:tc>
          <w:tcPr>
            <w:tcW w:w="140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544</w:t>
            </w:r>
          </w:p>
        </w:tc>
        <w:tc>
          <w:tcPr>
            <w:tcW w:w="80" w:type="dxa"/>
            <w:tcBorders/>
            <w:shd w:fill="FFFFFF" w:val="clear"/>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Raw materials and supplies</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11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ind w:left="0" w:right="0" w:hanging="0"/>
              <w:jc w:val="left"/>
              <w:rPr/>
            </w:pPr>
            <w:r>
              <w:rPr/>
              <w:t> </w:t>
            </w:r>
          </w:p>
        </w:tc>
        <w:tc>
          <w:tcPr>
            <w:tcW w:w="14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16,040</w:t>
            </w:r>
          </w:p>
        </w:tc>
        <w:tc>
          <w:tcPr>
            <w:tcW w:w="80"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Retail merchandise</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34,742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0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32,503</w:t>
            </w:r>
          </w:p>
        </w:tc>
        <w:tc>
          <w:tcPr>
            <w:tcW w:w="80" w:type="dxa"/>
            <w:tcBorders/>
            <w:shd w:fill="FFFFFF" w:val="clear"/>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inventories on first-in, first-out method</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11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77,053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ind w:left="0" w:right="0" w:hanging="0"/>
              <w:jc w:val="left"/>
              <w:rPr/>
            </w:pPr>
            <w:r>
              <w:rPr/>
              <w:t> </w:t>
            </w:r>
          </w:p>
        </w:tc>
        <w:tc>
          <w:tcPr>
            <w:tcW w:w="14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79,833</w:t>
            </w:r>
          </w:p>
        </w:tc>
        <w:tc>
          <w:tcPr>
            <w:tcW w:w="80"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LIFO adjustment</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11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(12,239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ind w:left="0" w:right="0" w:hanging="0"/>
              <w:jc w:val="left"/>
              <w:rPr/>
            </w:pPr>
            <w:r>
              <w:rPr/>
              <w:t> </w:t>
            </w:r>
          </w:p>
        </w:tc>
        <w:tc>
          <w:tcPr>
            <w:tcW w:w="140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(12,016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Reserve for excess and obsolete inventory</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(5,535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0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(6,027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59,279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0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61,790</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estimate an inventory reserve for excess quantities and obsolete items based on specific identification and historical write-offs, taking into account future demand, market conditions and the respective valuations at LIFO. The need for these reserves is primarily driven by the normal product life cycle. As products mature and sales volumes decline, we rationalize our product offerings to respond to consumer tastes and keep our product lines fresh. If actual demand or market conditions in the future are less favorable than those estimated, additional inventory write-downs may be required. In determining reserves, we calculate separate reserves on our wholesale and retail inventories. Our wholesale inventories tend to carry the majority of the reserves for excess quantities and obsolete inventory due to the nature of our distribution model. These wholesale reserves primarily represent design and/or style obsolescence. Typically, product is not shipped to our retail warehouses until a consumer has ordered and paid a deposit for the product. We do not typically hold retail inventory for stock purposes. Consequently, floor sample inventory and inventory for delivery to customers account for the majority of our inventory at retail. Retail reserves are based on accessory and clearance floor sample inventory in our stores and any inventory that is not associated with a specific customer order in our retail warehouses.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Activity in the reserves for excess quantities and obsolete inventory by segment are as follows:</w:t>
      </w:r>
    </w:p>
    <w:p>
      <w:pPr>
        <w:pStyle w:val="TextBody"/>
        <w:bidi w:val="0"/>
        <w:spacing w:before="0" w:after="0"/>
        <w:ind w:left="0" w:right="0" w:hanging="0"/>
        <w:jc w:val="left"/>
        <w:rPr>
          <w:caps w:val="false"/>
          <w:smallCaps w:val="false"/>
        </w:rPr>
      </w:pPr>
      <w:r>
        <w:rPr>
          <w:caps w:val="false"/>
          <w:smallCaps w:val="false"/>
        </w:rPr>
        <w:t> </w:t>
      </w:r>
    </w:p>
    <w:tbl>
      <w:tblPr>
        <w:tblW w:w="6210" w:type="dxa"/>
        <w:jc w:val="left"/>
        <w:tblInd w:w="0" w:type="dxa"/>
        <w:tblLayout w:type="fixed"/>
        <w:tblCellMar>
          <w:top w:w="0" w:type="dxa"/>
          <w:left w:w="0" w:type="dxa"/>
          <w:bottom w:w="0" w:type="dxa"/>
          <w:right w:w="0" w:type="dxa"/>
        </w:tblCellMar>
      </w:tblPr>
      <w:tblGrid>
        <w:gridCol w:w="2525"/>
        <w:gridCol w:w="60"/>
        <w:gridCol w:w="176"/>
        <w:gridCol w:w="773"/>
        <w:gridCol w:w="109"/>
        <w:gridCol w:w="82"/>
        <w:gridCol w:w="264"/>
        <w:gridCol w:w="1030"/>
        <w:gridCol w:w="109"/>
        <w:gridCol w:w="82"/>
        <w:gridCol w:w="171"/>
        <w:gridCol w:w="749"/>
        <w:gridCol w:w="80"/>
      </w:tblGrid>
      <w:tr>
        <w:trPr/>
        <w:tc>
          <w:tcPr>
            <w:tcW w:w="2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545"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August 29, 2026</w:t>
            </w:r>
          </w:p>
        </w:tc>
        <w:tc>
          <w:tcPr>
            <w:tcW w:w="80"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Wholesale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Segment</w:t>
            </w:r>
          </w:p>
        </w:tc>
        <w:tc>
          <w:tcPr>
            <w:tcW w:w="109"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ind w:left="0" w:right="0" w:hanging="0"/>
              <w:jc w:val="left"/>
              <w:rPr/>
            </w:pPr>
            <w:r>
              <w:rPr/>
              <w:t> </w:t>
            </w:r>
          </w:p>
        </w:tc>
        <w:tc>
          <w:tcPr>
            <w:tcW w:w="12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Retail Segment</w:t>
            </w:r>
          </w:p>
        </w:tc>
        <w:tc>
          <w:tcPr>
            <w:tcW w:w="109"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80"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November 29, 2025</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4,585</w:t>
            </w:r>
          </w:p>
        </w:tc>
        <w:tc>
          <w:tcPr>
            <w:tcW w:w="109"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26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1,442</w:t>
            </w:r>
          </w:p>
        </w:tc>
        <w:tc>
          <w:tcPr>
            <w:tcW w:w="109"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6,027</w:t>
            </w:r>
          </w:p>
        </w:tc>
        <w:tc>
          <w:tcPr>
            <w:tcW w:w="80"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Additions charged to expense</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1,038</w:t>
            </w:r>
          </w:p>
        </w:tc>
        <w:tc>
          <w:tcPr>
            <w:tcW w:w="109"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ind w:left="0" w:right="0" w:hanging="0"/>
              <w:jc w:val="left"/>
              <w:rPr/>
            </w:pPr>
            <w:r>
              <w:rPr/>
              <w:t> </w:t>
            </w:r>
          </w:p>
        </w:tc>
        <w:tc>
          <w:tcPr>
            <w:tcW w:w="10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711</w:t>
            </w:r>
          </w:p>
        </w:tc>
        <w:tc>
          <w:tcPr>
            <w:tcW w:w="109"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7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1,749</w:t>
            </w:r>
          </w:p>
        </w:tc>
        <w:tc>
          <w:tcPr>
            <w:tcW w:w="80"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Write-offs</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(1,717</w:t>
            </w:r>
          </w:p>
        </w:tc>
        <w:tc>
          <w:tcPr>
            <w:tcW w:w="10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2" w:type="dxa"/>
            <w:tcBorders/>
            <w:shd w:fill="CCEEFF" w:val="clear"/>
            <w:vAlign w:val="center"/>
          </w:tcPr>
          <w:p>
            <w:pPr>
              <w:pStyle w:val="TableContents"/>
              <w:bidi w:val="0"/>
              <w:spacing w:before="0" w:after="283"/>
              <w:jc w:val="left"/>
              <w:rPr/>
            </w:pPr>
            <w:r>
              <w:rPr/>
              <w:t> </w:t>
            </w:r>
          </w:p>
        </w:tc>
        <w:tc>
          <w:tcPr>
            <w:tcW w:w="2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(524</w:t>
            </w:r>
          </w:p>
        </w:tc>
        <w:tc>
          <w:tcPr>
            <w:tcW w:w="10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2" w:type="dxa"/>
            <w:tcBorders/>
            <w:shd w:fill="CCEEFF" w:val="clear"/>
            <w:vAlign w:val="center"/>
          </w:tcPr>
          <w:p>
            <w:pPr>
              <w:pStyle w:val="TableContents"/>
              <w:bidi w:val="0"/>
              <w:spacing w:before="0" w:after="283"/>
              <w:jc w:val="left"/>
              <w:rPr/>
            </w:pPr>
            <w:r>
              <w:rPr/>
              <w:t> </w:t>
            </w:r>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August 29, 2026</w:t>
            </w:r>
          </w:p>
        </w:tc>
        <w:tc>
          <w:tcPr>
            <w:tcW w:w="60" w:type="dxa"/>
            <w:tcBorders/>
            <w:shd w:fill="FFFF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3,906</w:t>
            </w:r>
          </w:p>
        </w:tc>
        <w:tc>
          <w:tcPr>
            <w:tcW w:w="109"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26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1,629</w:t>
            </w:r>
          </w:p>
        </w:tc>
        <w:tc>
          <w:tcPr>
            <w:tcW w:w="109"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5,535</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6245" w:type="dxa"/>
        <w:jc w:val="left"/>
        <w:tblInd w:w="0" w:type="dxa"/>
        <w:tblLayout w:type="fixed"/>
        <w:tblCellMar>
          <w:top w:w="0" w:type="dxa"/>
          <w:left w:w="0" w:type="dxa"/>
          <w:bottom w:w="0" w:type="dxa"/>
          <w:right w:w="0" w:type="dxa"/>
        </w:tblCellMar>
      </w:tblPr>
      <w:tblGrid>
        <w:gridCol w:w="2525"/>
        <w:gridCol w:w="60"/>
        <w:gridCol w:w="194"/>
        <w:gridCol w:w="755"/>
        <w:gridCol w:w="112"/>
        <w:gridCol w:w="84"/>
        <w:gridCol w:w="264"/>
        <w:gridCol w:w="1030"/>
        <w:gridCol w:w="112"/>
        <w:gridCol w:w="84"/>
        <w:gridCol w:w="176"/>
        <w:gridCol w:w="769"/>
        <w:gridCol w:w="80"/>
      </w:tblGrid>
      <w:tr>
        <w:trPr/>
        <w:tc>
          <w:tcPr>
            <w:tcW w:w="2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580"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August 30, 2025</w:t>
            </w:r>
          </w:p>
        </w:tc>
        <w:tc>
          <w:tcPr>
            <w:tcW w:w="80"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Wholesale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Segment</w:t>
            </w:r>
          </w:p>
        </w:tc>
        <w:tc>
          <w:tcPr>
            <w:tcW w:w="112"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ind w:left="0" w:right="0" w:hanging="0"/>
              <w:jc w:val="left"/>
              <w:rPr/>
            </w:pPr>
            <w:r>
              <w:rPr/>
              <w:t> </w:t>
            </w:r>
          </w:p>
        </w:tc>
        <w:tc>
          <w:tcPr>
            <w:tcW w:w="12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Retail Segment</w:t>
            </w:r>
          </w:p>
        </w:tc>
        <w:tc>
          <w:tcPr>
            <w:tcW w:w="112"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ind w:left="0" w:right="0" w:hanging="0"/>
              <w:jc w:val="left"/>
              <w:rPr/>
            </w:pPr>
            <w:r>
              <w:rPr/>
              <w:t> </w:t>
            </w:r>
          </w:p>
        </w:tc>
        <w:tc>
          <w:tcPr>
            <w:tcW w:w="9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80"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69"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November 30, 2024</w:t>
            </w:r>
          </w:p>
        </w:tc>
        <w:tc>
          <w:tcPr>
            <w:tcW w:w="60" w:type="dxa"/>
            <w:tcBorders/>
            <w:shd w:fill="CCEEFF" w:val="clear"/>
            <w:vAlign w:val="center"/>
          </w:tcPr>
          <w:p>
            <w:pPr>
              <w:pStyle w:val="TableContents"/>
              <w:bidi w:val="0"/>
              <w:spacing w:before="0" w:after="283"/>
              <w:ind w:left="0" w:right="0" w:hanging="0"/>
              <w:jc w:val="left"/>
              <w:rPr/>
            </w:pPr>
            <w:r>
              <w:rPr/>
              <w:t> </w:t>
            </w:r>
          </w:p>
        </w:tc>
        <w:tc>
          <w:tcPr>
            <w:tcW w:w="19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4,158</w:t>
            </w:r>
          </w:p>
        </w:tc>
        <w:tc>
          <w:tcPr>
            <w:tcW w:w="112"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c>
          <w:tcPr>
            <w:tcW w:w="26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1,237</w:t>
            </w:r>
          </w:p>
        </w:tc>
        <w:tc>
          <w:tcPr>
            <w:tcW w:w="112"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5,395</w:t>
            </w:r>
          </w:p>
        </w:tc>
        <w:tc>
          <w:tcPr>
            <w:tcW w:w="80"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Additions charged to expense</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1,252</w:t>
            </w:r>
          </w:p>
        </w:tc>
        <w:tc>
          <w:tcPr>
            <w:tcW w:w="112"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ind w:left="0" w:right="0" w:hanging="0"/>
              <w:jc w:val="left"/>
              <w:rPr/>
            </w:pPr>
            <w:r>
              <w:rPr/>
              <w:t> </w:t>
            </w:r>
          </w:p>
        </w:tc>
        <w:tc>
          <w:tcPr>
            <w:tcW w:w="10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474</w:t>
            </w:r>
          </w:p>
        </w:tc>
        <w:tc>
          <w:tcPr>
            <w:tcW w:w="112"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7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1,726</w:t>
            </w:r>
          </w:p>
        </w:tc>
        <w:tc>
          <w:tcPr>
            <w:tcW w:w="80"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Write-offs</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(983</w:t>
            </w:r>
          </w:p>
        </w:tc>
        <w:tc>
          <w:tcPr>
            <w:tcW w:w="11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 w:type="dxa"/>
            <w:tcBorders/>
            <w:shd w:fill="CCEEFF" w:val="clear"/>
            <w:vAlign w:val="center"/>
          </w:tcPr>
          <w:p>
            <w:pPr>
              <w:pStyle w:val="TableContents"/>
              <w:bidi w:val="0"/>
              <w:spacing w:before="0" w:after="283"/>
              <w:jc w:val="left"/>
              <w:rPr/>
            </w:pPr>
            <w:r>
              <w:rPr/>
              <w:t> </w:t>
            </w:r>
          </w:p>
        </w:tc>
        <w:tc>
          <w:tcPr>
            <w:tcW w:w="2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w:t>
            </w:r>
          </w:p>
        </w:tc>
        <w:tc>
          <w:tcPr>
            <w:tcW w:w="11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 w:type="dxa"/>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6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August 30, 2025</w:t>
            </w:r>
          </w:p>
        </w:tc>
        <w:tc>
          <w:tcPr>
            <w:tcW w:w="60" w:type="dxa"/>
            <w:tcBorders/>
            <w:shd w:fill="FFFFFF" w:val="clear"/>
            <w:vAlign w:val="center"/>
          </w:tcPr>
          <w:p>
            <w:pPr>
              <w:pStyle w:val="TableContents"/>
              <w:bidi w:val="0"/>
              <w:spacing w:before="0" w:after="283"/>
              <w:ind w:left="0" w:right="0" w:hanging="0"/>
              <w:jc w:val="left"/>
              <w:rPr/>
            </w:pPr>
            <w:r>
              <w:rPr/>
              <w:t> </w:t>
            </w:r>
          </w:p>
        </w:tc>
        <w:tc>
          <w:tcPr>
            <w:tcW w:w="19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4,427</w:t>
            </w:r>
          </w:p>
        </w:tc>
        <w:tc>
          <w:tcPr>
            <w:tcW w:w="112"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ind w:left="0" w:right="0" w:hanging="0"/>
              <w:jc w:val="left"/>
              <w:rPr/>
            </w:pPr>
            <w:r>
              <w:rPr/>
              <w:t> </w:t>
            </w:r>
          </w:p>
        </w:tc>
        <w:tc>
          <w:tcPr>
            <w:tcW w:w="26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1,393</w:t>
            </w:r>
          </w:p>
        </w:tc>
        <w:tc>
          <w:tcPr>
            <w:tcW w:w="112"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5,820</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estimates and assumptions have been reasonably accurate in the past. We have not made any significant changes to our methodology for determining inventory reserves in 2026 and do not anticipate that our methodology is likely to change in the foreseeable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 of 37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PART I-FINANCIAL INFORMATION-CONTINUED</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BASSETT FURNITURE INDUSTRIES, INCORPORATED AND SUBSIDIARIES</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NOTES TO CONDENSED CONSOLIDATED FINANCIAL STATEMENTS-UNAUDITED</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AUGUST 29, 2026</w:t>
      </w:r>
    </w:p>
    <w:p>
      <w:pPr>
        <w:pStyle w:val="TextBody"/>
        <w:bidi w:val="0"/>
        <w:ind w:left="0" w:right="0" w:hanging="0"/>
        <w:jc w:val="center"/>
        <w:rPr>
          <w:rFonts w:ascii="Times New Roman;Times;serif" w:hAnsi="Times New Roman;Times;serif"/>
          <w:sz w:val="20"/>
          <w:u w:val="single"/>
        </w:rPr>
      </w:pPr>
      <w:r>
        <w:rPr>
          <w:rFonts w:ascii="Times New Roman;Times;serif" w:hAnsi="Times New Roman;Times;serif"/>
          <w:sz w:val="20"/>
          <w:u w:val="single"/>
        </w:rPr>
        <w:t>(Dollars in thousands except share and per share data)</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6. Goodwill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carrying amounts of goodwill by reportable segment, net of accumulated impairment losses, were as follows:</w:t>
      </w:r>
    </w:p>
    <w:p>
      <w:pPr>
        <w:pStyle w:val="TextBody"/>
        <w:bidi w:val="0"/>
        <w:spacing w:before="0" w:after="0"/>
        <w:ind w:left="0" w:right="0" w:hanging="0"/>
        <w:jc w:val="left"/>
        <w:rPr>
          <w:caps w:val="false"/>
          <w:smallCaps w:val="false"/>
        </w:rPr>
      </w:pPr>
      <w:r>
        <w:rPr>
          <w:caps w:val="false"/>
          <w:smallCaps w:val="false"/>
        </w:rPr>
        <w:t> </w:t>
      </w:r>
    </w:p>
    <w:tbl>
      <w:tblPr>
        <w:tblW w:w="7679" w:type="dxa"/>
        <w:jc w:val="left"/>
        <w:tblInd w:w="0" w:type="dxa"/>
        <w:tblLayout w:type="fixed"/>
        <w:tblCellMar>
          <w:top w:w="0" w:type="dxa"/>
          <w:left w:w="0" w:type="dxa"/>
          <w:bottom w:w="0" w:type="dxa"/>
          <w:right w:w="0" w:type="dxa"/>
        </w:tblCellMar>
      </w:tblPr>
      <w:tblGrid>
        <w:gridCol w:w="4175"/>
        <w:gridCol w:w="60"/>
        <w:gridCol w:w="179"/>
        <w:gridCol w:w="696"/>
        <w:gridCol w:w="60"/>
        <w:gridCol w:w="60"/>
        <w:gridCol w:w="181"/>
        <w:gridCol w:w="334"/>
        <w:gridCol w:w="60"/>
        <w:gridCol w:w="60"/>
        <w:gridCol w:w="624"/>
        <w:gridCol w:w="400"/>
        <w:gridCol w:w="60"/>
        <w:gridCol w:w="60"/>
        <w:gridCol w:w="125"/>
        <w:gridCol w:w="485"/>
        <w:gridCol w:w="60"/>
      </w:tblGrid>
      <w:tr>
        <w:trPr/>
        <w:tc>
          <w:tcPr>
            <w:tcW w:w="4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Wholesale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Retail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&amp;</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3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November 29, 2025</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2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7,217</w:t>
            </w:r>
          </w:p>
        </w:tc>
        <w:tc>
          <w:tcPr>
            <w:tcW w:w="60" w:type="dxa"/>
            <w:tcBorders/>
            <w:shd w:fill="CCEEFF" w:val="clear"/>
            <w:vAlign w:val="center"/>
          </w:tcPr>
          <w:p>
            <w:pPr>
              <w:pStyle w:val="TableContents"/>
              <w:bidi w:val="0"/>
              <w:spacing w:before="0" w:after="283"/>
              <w:jc w:val="left"/>
              <w:rPr/>
            </w:pPr>
            <w:r>
              <w:rPr/>
              <w:t> </w:t>
            </w:r>
          </w:p>
        </w:tc>
      </w:tr>
      <w:tr>
        <w:trPr/>
        <w:tc>
          <w:tcPr>
            <w:tcW w:w="417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 arising from licensee acquisition (Note 2)</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447</w:t>
            </w:r>
          </w:p>
        </w:tc>
        <w:tc>
          <w:tcPr>
            <w:tcW w:w="60" w:type="dxa"/>
            <w:tcBorders/>
            <w:shd w:fill="FFFFFF" w:val="clear"/>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August 29, 2026</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2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0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7,664</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Accumulated impairment losses at both August 29, 2026 and November 29, 2025 were as follows:</w:t>
      </w:r>
    </w:p>
    <w:p>
      <w:pPr>
        <w:pStyle w:val="TextBody"/>
        <w:bidi w:val="0"/>
        <w:spacing w:before="0" w:after="0"/>
        <w:ind w:left="0" w:right="0" w:hanging="0"/>
        <w:jc w:val="left"/>
        <w:rPr>
          <w:caps w:val="false"/>
          <w:smallCaps w:val="false"/>
        </w:rPr>
      </w:pPr>
      <w:r>
        <w:rPr>
          <w:caps w:val="false"/>
          <w:smallCaps w:val="false"/>
        </w:rPr>
        <w:t> </w:t>
      </w:r>
    </w:p>
    <w:tbl>
      <w:tblPr>
        <w:tblW w:w="6199" w:type="dxa"/>
        <w:jc w:val="left"/>
        <w:tblInd w:w="0" w:type="dxa"/>
        <w:tblLayout w:type="fixed"/>
        <w:tblCellMar>
          <w:top w:w="0" w:type="dxa"/>
          <w:left w:w="0" w:type="dxa"/>
          <w:bottom w:w="0" w:type="dxa"/>
          <w:right w:w="0" w:type="dxa"/>
        </w:tblCellMar>
      </w:tblPr>
      <w:tblGrid>
        <w:gridCol w:w="2600"/>
        <w:gridCol w:w="60"/>
        <w:gridCol w:w="179"/>
        <w:gridCol w:w="696"/>
        <w:gridCol w:w="60"/>
        <w:gridCol w:w="60"/>
        <w:gridCol w:w="125"/>
        <w:gridCol w:w="485"/>
        <w:gridCol w:w="60"/>
        <w:gridCol w:w="60"/>
        <w:gridCol w:w="209"/>
        <w:gridCol w:w="815"/>
        <w:gridCol w:w="60"/>
        <w:gridCol w:w="60"/>
        <w:gridCol w:w="125"/>
        <w:gridCol w:w="485"/>
        <w:gridCol w:w="60"/>
      </w:tblGrid>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Wholesale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Retail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&amp;</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impairment losses</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9,306</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7.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Intangible assets at August 29, 2026 and November 29, 2025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5738" w:type="dxa"/>
        <w:jc w:val="left"/>
        <w:tblInd w:w="0" w:type="dxa"/>
        <w:tblLayout w:type="fixed"/>
        <w:tblCellMar>
          <w:top w:w="0" w:type="dxa"/>
          <w:left w:w="0" w:type="dxa"/>
          <w:bottom w:w="0" w:type="dxa"/>
          <w:right w:w="0" w:type="dxa"/>
        </w:tblCellMar>
      </w:tblPr>
      <w:tblGrid>
        <w:gridCol w:w="3245"/>
        <w:gridCol w:w="60"/>
        <w:gridCol w:w="194"/>
        <w:gridCol w:w="755"/>
        <w:gridCol w:w="80"/>
        <w:gridCol w:w="60"/>
        <w:gridCol w:w="255"/>
        <w:gridCol w:w="994"/>
        <w:gridCol w:w="95"/>
      </w:tblGrid>
      <w:tr>
        <w:trPr/>
        <w:tc>
          <w:tcPr>
            <w:tcW w:w="3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August 29,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November 29,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95" w:type="dxa"/>
            <w:tcBorders/>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Intangibles subject to amortization:</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2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relationships</w:t>
            </w:r>
          </w:p>
        </w:tc>
        <w:tc>
          <w:tcPr>
            <w:tcW w:w="60" w:type="dxa"/>
            <w:tcBorders/>
            <w:shd w:fill="FFFFFF" w:val="clear"/>
            <w:vAlign w:val="center"/>
          </w:tcPr>
          <w:p>
            <w:pPr>
              <w:pStyle w:val="TableContents"/>
              <w:bidi w:val="0"/>
              <w:spacing w:before="0" w:after="283"/>
              <w:ind w:left="0" w:right="0" w:hanging="0"/>
              <w:jc w:val="left"/>
              <w:rPr/>
            </w:pPr>
            <w:r>
              <w:rPr/>
              <w:t> </w:t>
            </w:r>
          </w:p>
        </w:tc>
        <w:tc>
          <w:tcPr>
            <w:tcW w:w="19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512</w:t>
            </w:r>
          </w:p>
        </w:tc>
        <w:tc>
          <w:tcPr>
            <w:tcW w:w="95" w:type="dxa"/>
            <w:tcBorders/>
            <w:shd w:fill="FFFFFF" w:val="clear"/>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accumulated amortization</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Intangibles subject to amortization, net</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ind w:left="0" w:right="0" w:hanging="0"/>
              <w:jc w:val="left"/>
              <w:rPr/>
            </w:pPr>
            <w:r>
              <w:rPr/>
              <w:t> </w:t>
            </w:r>
          </w:p>
        </w:tc>
        <w:tc>
          <w:tcPr>
            <w:tcW w:w="9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w:t>
            </w:r>
          </w:p>
        </w:tc>
        <w:tc>
          <w:tcPr>
            <w:tcW w:w="95" w:type="dxa"/>
            <w:tcBorders/>
            <w:shd w:fill="FFFFFF" w:val="clear"/>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Intangibles not subject to amortization:</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2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names</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6,848</w:t>
            </w:r>
          </w:p>
        </w:tc>
        <w:tc>
          <w:tcPr>
            <w:tcW w:w="95" w:type="dxa"/>
            <w:tcBorders/>
            <w:shd w:fill="FFFFFF" w:val="clear"/>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intangible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9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6,910</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Amortization expense associated with intangible assets during the three and nine months ended August 29, 2026 and August 30, 2025 was as follows:</w:t>
      </w:r>
    </w:p>
    <w:p>
      <w:pPr>
        <w:pStyle w:val="TextBody"/>
        <w:bidi w:val="0"/>
        <w:spacing w:before="0" w:after="0"/>
        <w:ind w:left="0" w:right="0" w:hanging="0"/>
        <w:jc w:val="left"/>
        <w:rPr>
          <w:caps w:val="false"/>
          <w:smallCaps w:val="false"/>
        </w:rPr>
      </w:pPr>
      <w:r>
        <w:rPr>
          <w:caps w:val="false"/>
          <w:smallCaps w:val="false"/>
        </w:rPr>
        <w:t> </w:t>
      </w:r>
    </w:p>
    <w:tbl>
      <w:tblPr>
        <w:tblW w:w="7542" w:type="dxa"/>
        <w:jc w:val="left"/>
        <w:tblInd w:w="0" w:type="dxa"/>
        <w:tblLayout w:type="fixed"/>
        <w:tblCellMar>
          <w:top w:w="0" w:type="dxa"/>
          <w:left w:w="0" w:type="dxa"/>
          <w:bottom w:w="0" w:type="dxa"/>
          <w:right w:w="0" w:type="dxa"/>
        </w:tblCellMar>
      </w:tblPr>
      <w:tblGrid>
        <w:gridCol w:w="3080"/>
        <w:gridCol w:w="60"/>
        <w:gridCol w:w="334"/>
        <w:gridCol w:w="615"/>
        <w:gridCol w:w="93"/>
        <w:gridCol w:w="93"/>
        <w:gridCol w:w="334"/>
        <w:gridCol w:w="615"/>
        <w:gridCol w:w="60"/>
        <w:gridCol w:w="60"/>
        <w:gridCol w:w="334"/>
        <w:gridCol w:w="615"/>
        <w:gridCol w:w="120"/>
        <w:gridCol w:w="120"/>
        <w:gridCol w:w="334"/>
        <w:gridCol w:w="615"/>
        <w:gridCol w:w="60"/>
      </w:tblGrid>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08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Quarter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3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r>
          </w:p>
        </w:tc>
        <w:tc>
          <w:tcPr>
            <w:tcW w:w="60" w:type="dxa"/>
            <w:tcBorders/>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August 29,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August 30,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August 29,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August 30,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4"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334"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4"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4"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 amortization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3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3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3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Estimated future amortization expense for intangible assets that exist at August 29, 2026 is as follows:</w:t>
      </w:r>
    </w:p>
    <w:p>
      <w:pPr>
        <w:pStyle w:val="TextBody"/>
        <w:bidi w:val="0"/>
        <w:spacing w:before="0" w:after="0"/>
        <w:ind w:left="0" w:right="0" w:hanging="0"/>
        <w:jc w:val="left"/>
        <w:rPr>
          <w:caps w:val="false"/>
          <w:smallCaps w:val="false"/>
        </w:rPr>
      </w:pPr>
      <w:r>
        <w:rPr>
          <w:caps w:val="false"/>
          <w:smallCaps w:val="false"/>
        </w:rPr>
        <w:t> </w:t>
      </w:r>
    </w:p>
    <w:tbl>
      <w:tblPr>
        <w:tblW w:w="2565" w:type="dxa"/>
        <w:jc w:val="left"/>
        <w:tblInd w:w="0" w:type="dxa"/>
        <w:tblLayout w:type="fixed"/>
        <w:tblCellMar>
          <w:top w:w="0" w:type="dxa"/>
          <w:left w:w="0" w:type="dxa"/>
          <w:bottom w:w="0" w:type="dxa"/>
          <w:right w:w="0" w:type="dxa"/>
        </w:tblCellMar>
      </w:tblPr>
      <w:tblGrid>
        <w:gridCol w:w="2075"/>
        <w:gridCol w:w="60"/>
        <w:gridCol w:w="125"/>
        <w:gridCol w:w="230"/>
        <w:gridCol w:w="75"/>
      </w:tblGrid>
      <w:tr>
        <w:trPr/>
        <w:tc>
          <w:tcPr>
            <w:tcW w:w="20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Remainder of fiscal 2026</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75" w:type="dxa"/>
            <w:tcBorders/>
            <w:shd w:fill="CCEE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Fiscal 2027</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75" w:type="dxa"/>
            <w:tcBorders/>
            <w:shd w:fill="FFFFFF" w:val="clear"/>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 of 37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PART I-FINANCIAL INFORMATION-CONTINUED</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BASSETT FURNITURE INDUSTRIES, INCORPORATED AND SUBSIDIARIES</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NOTES TO CONDENSED CONSOLIDATED FINANCIAL STATEMENTS-UNAUDITED</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AUGUST 29, 2026</w:t>
      </w:r>
    </w:p>
    <w:p>
      <w:pPr>
        <w:pStyle w:val="TextBody"/>
        <w:bidi w:val="0"/>
        <w:ind w:left="0" w:right="0" w:hanging="0"/>
        <w:jc w:val="center"/>
        <w:rPr>
          <w:rFonts w:ascii="Times New Roman;Times;serif" w:hAnsi="Times New Roman;Times;serif"/>
          <w:sz w:val="20"/>
          <w:u w:val="single"/>
        </w:rPr>
      </w:pPr>
      <w:r>
        <w:rPr>
          <w:rFonts w:ascii="Times New Roman;Times;serif" w:hAnsi="Times New Roman;Times;serif"/>
          <w:sz w:val="20"/>
          <w:u w:val="single"/>
        </w:rPr>
        <w:t>(Dollars in thousands except share and per share data)</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8. Bank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May 15, 2024, we entered into the Eighth Amended and Restated Credit Agreement with our bank (the “Credit Facility”). This Credit Facility provides for a line of credit of up to $25,000. At August 29, 2026, we had $5,866 outstanding under standby letters of credit against our line. The line bears interest at the One-Month Term Secured Overnight Financing Rate (“One-Month Term SOFR”) plus 1.75% and is secured by our accounts receivable and inventory. Our bank charges a fee of 0.25% on the daily unused balance of the line, payable quarterly. Under the terms of the Credit Facility, Consolidated Minimum Tangible Net Worth (as defined in the Credit Facility) shall at no time be less than $120,000. In addition, we must maintain the following financial covenants, measured quarterly on a rolling twelve-month basis and commencing as of the end of the first fiscal quarter after the first date that the used commitment (the sum of any outstanding advances plus standby letters of credit) equals or exceeds $8,250:</w:t>
      </w:r>
    </w:p>
    <w:p>
      <w:pPr>
        <w:pStyle w:val="TextBody"/>
        <w:bidi w:val="0"/>
        <w:spacing w:before="0" w:after="0"/>
        <w:ind w:left="0" w:right="0" w:hanging="0"/>
        <w:jc w:val="left"/>
        <w:rPr>
          <w:caps w:val="false"/>
          <w:smallCaps w:val="false"/>
        </w:rPr>
      </w:pPr>
      <w:r>
        <w:rPr>
          <w:caps w:val="false"/>
          <w:smallCaps w:val="false"/>
        </w:rPr>
        <w:t> </w:t>
      </w:r>
    </w:p>
    <w:tbl>
      <w:tblPr>
        <w:tblW w:w="8935" w:type="dxa"/>
        <w:jc w:val="left"/>
        <w:tblInd w:w="0" w:type="dxa"/>
        <w:tblLayout w:type="fixed"/>
        <w:tblCellMar>
          <w:top w:w="0" w:type="dxa"/>
          <w:left w:w="0" w:type="dxa"/>
          <w:bottom w:w="0" w:type="dxa"/>
          <w:right w:w="0" w:type="dxa"/>
        </w:tblCellMar>
      </w:tblPr>
      <w:tblGrid>
        <w:gridCol w:w="60"/>
        <w:gridCol w:w="170"/>
        <w:gridCol w:w="87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7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 Fixed Charge Coverage Ratio (as defined in the Credit Facility) of not less than 1.2 times and</w:t>
            </w:r>
          </w:p>
        </w:tc>
      </w:tr>
    </w:tbl>
    <w:p>
      <w:pPr>
        <w:pStyle w:val="TextBody"/>
        <w:bidi w:val="0"/>
        <w:spacing w:before="0" w:after="0"/>
        <w:ind w:left="0" w:right="0" w:hanging="0"/>
        <w:jc w:val="left"/>
        <w:rPr/>
      </w:pPr>
      <w:r>
        <w:rPr/>
        <w:t> </w:t>
      </w:r>
    </w:p>
    <w:tbl>
      <w:tblPr>
        <w:tblW w:w="9820" w:type="dxa"/>
        <w:jc w:val="left"/>
        <w:tblInd w:w="0" w:type="dxa"/>
        <w:tblLayout w:type="fixed"/>
        <w:tblCellMar>
          <w:top w:w="0" w:type="dxa"/>
          <w:left w:w="0" w:type="dxa"/>
          <w:bottom w:w="0" w:type="dxa"/>
          <w:right w:w="0" w:type="dxa"/>
        </w:tblCellMar>
      </w:tblPr>
      <w:tblGrid>
        <w:gridCol w:w="60"/>
        <w:gridCol w:w="170"/>
        <w:gridCol w:w="95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5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 Lease Adjusted Leverage to EBITDAR Ratio (as defined in the Credit Facility) not to exceed 3.35 times.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 August 29, 2026, we were in compliance with the Consolidated Minimum Tangible Net Worth requirement. Since our used commitment was less than $8,250 at August 29, 2026, we were not required to test the Consolidated Fixed Charge Coverage Ratio or the Consolidated Lease Adjusted Leverage to EBITDAR Ratio. However, had we been required to test those ratios, we would have been in full compliance. Our availability under the Credit Facility as of August 29, 2026 is $19,134. On January 9, 2026, the Credit Facility was amended to extend the expiration to January 31, 2029.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9. Post Employment Benefit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u w:val="single"/>
        </w:rPr>
      </w:pPr>
      <w:r>
        <w:rPr>
          <w:rFonts w:ascii="Times New Roman" w:hAnsi="Times New Roman"/>
          <w:i/>
          <w:caps w:val="false"/>
          <w:smallCaps w:val="false"/>
          <w:sz w:val="20"/>
          <w:u w:val="single"/>
        </w:rPr>
        <w:t>Defined Benefit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an unfunded Supplemental Retirement Income Plan (the “Supplemental Plan”) that covers one current executive and certain former executives. The liability for the Supplemental Plan was $5,627 and $5,611 as of August 29, 2026 and November 29,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also have the Bassett Furniture Industries, Incorporated Management Savings Plan (the “Management Savings Plan”) which was established in the second quarter of fiscal 2017. The Management Savings Plan is an unfunded, non-qualified deferred compensation plan maintained for the benefit of certain highly compensated or management level employees. As part of the Management Savings Plan, we have made Long Term Cash Awards (“LTC Awards”) totaling $2,000 to five current and former management employees in the amount of $400 each. We are accounting for the LTC Awards as a defined benefit pension plan. Currently, two of those employees have retired and are receiving benefits. The liability for the LTC Awards was $1,343 and $1,379 as of August 29, 2026 and November 29,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Components of net periodic pension costs for our defined benefit plans for the three and nine months ended August 29, 2026 and August 30, 2025 are as follows:</w:t>
      </w:r>
    </w:p>
    <w:p>
      <w:pPr>
        <w:pStyle w:val="TextBody"/>
        <w:bidi w:val="0"/>
        <w:spacing w:before="0" w:after="0"/>
        <w:ind w:left="0" w:right="0" w:hanging="0"/>
        <w:jc w:val="left"/>
        <w:rPr>
          <w:caps w:val="false"/>
          <w:smallCaps w:val="false"/>
        </w:rPr>
      </w:pPr>
      <w:r>
        <w:rPr>
          <w:caps w:val="false"/>
          <w:smallCaps w:val="false"/>
        </w:rPr>
        <w:t> </w:t>
      </w:r>
    </w:p>
    <w:tbl>
      <w:tblPr>
        <w:tblW w:w="8252" w:type="dxa"/>
        <w:jc w:val="left"/>
        <w:tblInd w:w="0" w:type="dxa"/>
        <w:tblLayout w:type="fixed"/>
        <w:tblCellMar>
          <w:top w:w="0" w:type="dxa"/>
          <w:left w:w="0" w:type="dxa"/>
          <w:bottom w:w="0" w:type="dxa"/>
          <w:right w:w="0" w:type="dxa"/>
        </w:tblCellMar>
      </w:tblPr>
      <w:tblGrid>
        <w:gridCol w:w="2090"/>
        <w:gridCol w:w="60"/>
        <w:gridCol w:w="412"/>
        <w:gridCol w:w="957"/>
        <w:gridCol w:w="106"/>
        <w:gridCol w:w="80"/>
        <w:gridCol w:w="412"/>
        <w:gridCol w:w="957"/>
        <w:gridCol w:w="80"/>
        <w:gridCol w:w="60"/>
        <w:gridCol w:w="371"/>
        <w:gridCol w:w="998"/>
        <w:gridCol w:w="126"/>
        <w:gridCol w:w="94"/>
        <w:gridCol w:w="371"/>
        <w:gridCol w:w="998"/>
        <w:gridCol w:w="80"/>
      </w:tblGrid>
      <w:tr>
        <w:trPr/>
        <w:tc>
          <w:tcPr>
            <w:tcW w:w="2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92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Quarter Ended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95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r>
          </w:p>
        </w:tc>
        <w:tc>
          <w:tcPr>
            <w:tcW w:w="80" w:type="dxa"/>
            <w:tcBorders/>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August 29, 2026</w:t>
            </w:r>
          </w:p>
        </w:tc>
        <w:tc>
          <w:tcPr>
            <w:tcW w:w="106"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ind w:left="0" w:right="0" w:hanging="0"/>
              <w:jc w:val="left"/>
              <w:rPr/>
            </w:pPr>
            <w:r>
              <w:rPr/>
              <w:t> </w:t>
            </w:r>
          </w:p>
        </w:tc>
        <w:tc>
          <w:tcPr>
            <w:tcW w:w="13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August 30, 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August 29, 2026</w:t>
            </w:r>
          </w:p>
        </w:tc>
        <w:tc>
          <w:tcPr>
            <w:tcW w:w="126"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ind w:left="0" w:right="0" w:hanging="0"/>
              <w:jc w:val="left"/>
              <w:rPr/>
            </w:pPr>
            <w:r>
              <w:rPr/>
              <w:t> </w:t>
            </w:r>
          </w:p>
        </w:tc>
        <w:tc>
          <w:tcPr>
            <w:tcW w:w="13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August 30, 2025</w:t>
            </w:r>
          </w:p>
        </w:tc>
        <w:tc>
          <w:tcPr>
            <w:tcW w:w="80" w:type="dxa"/>
            <w:tcBorders/>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 cost</w:t>
            </w:r>
          </w:p>
        </w:tc>
        <w:tc>
          <w:tcPr>
            <w:tcW w:w="60" w:type="dxa"/>
            <w:tcBorders/>
            <w:shd w:fill="CCEEFF" w:val="clear"/>
            <w:vAlign w:val="center"/>
          </w:tcPr>
          <w:p>
            <w:pPr>
              <w:pStyle w:val="TableContents"/>
              <w:bidi w:val="0"/>
              <w:spacing w:before="0" w:after="283"/>
              <w:ind w:left="0" w:right="0" w:hanging="0"/>
              <w:jc w:val="left"/>
              <w:rPr/>
            </w:pPr>
            <w:r>
              <w:rPr/>
              <w:t> </w:t>
            </w:r>
          </w:p>
        </w:tc>
        <w:tc>
          <w:tcPr>
            <w:tcW w:w="41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0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41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26"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3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80" w:type="dxa"/>
            <w:tcBorders/>
            <w:shd w:fill="CCEEFF" w:val="clear"/>
            <w:vAlign w:val="center"/>
          </w:tcPr>
          <w:p>
            <w:pPr>
              <w:pStyle w:val="TableContents"/>
              <w:bidi w:val="0"/>
              <w:spacing w:before="0" w:after="283"/>
              <w:jc w:val="left"/>
              <w:rPr/>
            </w:pPr>
            <w:r>
              <w:rPr/>
              <w:t> </w:t>
            </w:r>
          </w:p>
        </w:tc>
      </w:tr>
      <w:tr>
        <w:trPr/>
        <w:tc>
          <w:tcPr>
            <w:tcW w:w="20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cost</w:t>
            </w:r>
          </w:p>
        </w:tc>
        <w:tc>
          <w:tcPr>
            <w:tcW w:w="60" w:type="dxa"/>
            <w:tcBorders/>
            <w:shd w:fill="FFFFFF" w:val="clear"/>
            <w:vAlign w:val="center"/>
          </w:tcPr>
          <w:p>
            <w:pPr>
              <w:pStyle w:val="TableContents"/>
              <w:bidi w:val="0"/>
              <w:spacing w:before="0" w:after="283"/>
              <w:jc w:val="left"/>
              <w:rPr/>
            </w:pPr>
            <w:r>
              <w:rPr/>
              <w:t> </w:t>
            </w:r>
          </w:p>
        </w:tc>
        <w:tc>
          <w:tcPr>
            <w:tcW w:w="412"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w:t>
            </w:r>
          </w:p>
        </w:tc>
        <w:tc>
          <w:tcPr>
            <w:tcW w:w="10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412"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ind w:left="0" w:right="0" w:hanging="0"/>
              <w:jc w:val="left"/>
              <w:rPr/>
            </w:pPr>
            <w:r>
              <w:rPr/>
              <w:t> </w:t>
            </w:r>
          </w:p>
        </w:tc>
        <w:tc>
          <w:tcPr>
            <w:tcW w:w="9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w:t>
            </w:r>
          </w:p>
        </w:tc>
        <w:tc>
          <w:tcPr>
            <w:tcW w:w="126"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ind w:left="0" w:right="0" w:hanging="0"/>
              <w:jc w:val="left"/>
              <w:rPr/>
            </w:pPr>
            <w:r>
              <w:rPr/>
              <w:t> </w:t>
            </w:r>
          </w:p>
        </w:tc>
        <w:tc>
          <w:tcPr>
            <w:tcW w:w="9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w:t>
            </w:r>
          </w:p>
        </w:tc>
        <w:tc>
          <w:tcPr>
            <w:tcW w:w="80" w:type="dxa"/>
            <w:tcBorders/>
            <w:shd w:fill="FFFFFF" w:val="clear"/>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loss</w:t>
            </w:r>
          </w:p>
        </w:tc>
        <w:tc>
          <w:tcPr>
            <w:tcW w:w="60" w:type="dxa"/>
            <w:tcBorders/>
            <w:shd w:fill="CCEEFF" w:val="clear"/>
            <w:vAlign w:val="center"/>
          </w:tcPr>
          <w:p>
            <w:pPr>
              <w:pStyle w:val="TableContents"/>
              <w:bidi w:val="0"/>
              <w:spacing w:before="0" w:after="283"/>
              <w:jc w:val="left"/>
              <w:rPr/>
            </w:pPr>
            <w:r>
              <w:rPr/>
              <w:t> </w:t>
            </w:r>
          </w:p>
        </w:tc>
        <w:tc>
          <w:tcPr>
            <w:tcW w:w="41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10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41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w:t>
            </w:r>
          </w:p>
        </w:tc>
        <w:tc>
          <w:tcPr>
            <w:tcW w:w="12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 w:type="dxa"/>
            <w:tcBorders/>
            <w:shd w:fill="CCEEFF" w:val="clear"/>
            <w:vAlign w:val="center"/>
          </w:tcPr>
          <w:p>
            <w:pPr>
              <w:pStyle w:val="TableContents"/>
              <w:bidi w:val="0"/>
              <w:spacing w:before="0" w:after="283"/>
              <w:jc w:val="left"/>
              <w:rPr/>
            </w:pPr>
            <w:r>
              <w:rPr/>
              <w:t> </w:t>
            </w:r>
          </w:p>
        </w:tc>
        <w:tc>
          <w:tcPr>
            <w:tcW w:w="3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0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periodic pension cost</w:t>
            </w:r>
          </w:p>
        </w:tc>
        <w:tc>
          <w:tcPr>
            <w:tcW w:w="60" w:type="dxa"/>
            <w:tcBorders/>
            <w:shd w:fill="FFFFFF" w:val="clear"/>
            <w:vAlign w:val="center"/>
          </w:tcPr>
          <w:p>
            <w:pPr>
              <w:pStyle w:val="TableContents"/>
              <w:bidi w:val="0"/>
              <w:spacing w:before="0" w:after="283"/>
              <w:ind w:left="0" w:right="0" w:hanging="0"/>
              <w:jc w:val="left"/>
              <w:rPr/>
            </w:pPr>
            <w:r>
              <w:rPr/>
              <w:t> </w:t>
            </w:r>
          </w:p>
        </w:tc>
        <w:tc>
          <w:tcPr>
            <w:tcW w:w="41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10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c>
          <w:tcPr>
            <w:tcW w:w="41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w:t>
            </w:r>
          </w:p>
        </w:tc>
        <w:tc>
          <w:tcPr>
            <w:tcW w:w="126"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3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components of net periodic pension cost other than the service cost component, which is included in SG&amp;A expenses, are included in other income (loss), net in our condensed consolidated statements of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 of 37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PART I-FINANCIAL INFORMATION-CONTINUED</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BASSETT FURNITURE INDUSTRIES, INCORPORATED AND SUBSIDIARIES</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NOTES TO CONDENSED CONSOLIDATED FINANCIAL STATEMENTS-UNAUDITED</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AUGUST 29, 2026</w:t>
      </w:r>
    </w:p>
    <w:p>
      <w:pPr>
        <w:pStyle w:val="TextBody"/>
        <w:bidi w:val="0"/>
        <w:ind w:left="0" w:right="0" w:hanging="0"/>
        <w:jc w:val="center"/>
        <w:rPr>
          <w:rFonts w:ascii="Times New Roman;Times;serif" w:hAnsi="Times New Roman;Times;serif"/>
          <w:sz w:val="20"/>
          <w:u w:val="single"/>
        </w:rPr>
      </w:pPr>
      <w:r>
        <w:rPr>
          <w:rFonts w:ascii="Times New Roman;Times;serif" w:hAnsi="Times New Roman;Times;serif"/>
          <w:sz w:val="20"/>
          <w:u w:val="single"/>
        </w:rPr>
        <w:t>(Dollars in thousands except share and per share data)</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i/>
          <w:caps w:val="false"/>
          <w:smallCaps w:val="false"/>
          <w:sz w:val="20"/>
          <w:u w:val="single"/>
        </w:rPr>
      </w:pPr>
      <w:r>
        <w:rPr>
          <w:rFonts w:ascii="Times New Roman" w:hAnsi="Times New Roman"/>
          <w:i/>
          <w:caps w:val="false"/>
          <w:smallCaps w:val="false"/>
          <w:sz w:val="20"/>
          <w:u w:val="single"/>
        </w:rPr>
        <w:t>Deferred Compensation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an unfunded deferred compensation plan that covers one current executive and certain former executives and provides for voluntary deferral of compensation. This plan has been frozen with no additional participants or deferrals permitted. Our liability under this plan was $1,615 and $1,562 as of August 29, 2026 and November 29,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an additional unfunded deferred compensation plan maintained for the benefit of certain highly compensated or management level employees which was established under the Management Savings Plan. Our liability under this plan, including both accrued Company contributions and participant salary deferrals, was $4,795 and $3,968 as of August 29, 2026 and November 29,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non-current portion of the obligations under our defined benefit and deferred compensation plans are included in post employment benefit obligations in the accompanying balance sheets as follows:</w:t>
      </w:r>
    </w:p>
    <w:p>
      <w:pPr>
        <w:pStyle w:val="TextBody"/>
        <w:bidi w:val="0"/>
        <w:spacing w:before="0" w:after="0"/>
        <w:ind w:left="0" w:right="0" w:hanging="0"/>
        <w:jc w:val="left"/>
        <w:rPr>
          <w:caps w:val="false"/>
          <w:smallCaps w:val="false"/>
        </w:rPr>
      </w:pPr>
      <w:r>
        <w:rPr>
          <w:caps w:val="false"/>
          <w:smallCaps w:val="false"/>
        </w:rPr>
        <w:t> </w:t>
      </w:r>
    </w:p>
    <w:tbl>
      <w:tblPr>
        <w:tblW w:w="6328" w:type="dxa"/>
        <w:jc w:val="left"/>
        <w:tblInd w:w="0" w:type="dxa"/>
        <w:tblLayout w:type="fixed"/>
        <w:tblCellMar>
          <w:top w:w="0" w:type="dxa"/>
          <w:left w:w="0" w:type="dxa"/>
          <w:bottom w:w="0" w:type="dxa"/>
          <w:right w:w="0" w:type="dxa"/>
        </w:tblCellMar>
      </w:tblPr>
      <w:tblGrid>
        <w:gridCol w:w="3035"/>
        <w:gridCol w:w="60"/>
        <w:gridCol w:w="239"/>
        <w:gridCol w:w="1130"/>
        <w:gridCol w:w="60"/>
        <w:gridCol w:w="60"/>
        <w:gridCol w:w="291"/>
        <w:gridCol w:w="1378"/>
        <w:gridCol w:w="75"/>
      </w:tblGrid>
      <w:tr>
        <w:trPr/>
        <w:tc>
          <w:tcPr>
            <w:tcW w:w="3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August 29,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November 29, 2025</w:t>
            </w:r>
          </w:p>
        </w:tc>
        <w:tc>
          <w:tcPr>
            <w:tcW w:w="75" w:type="dxa"/>
            <w:tcBorders/>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Defined benefit plans:</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 </w:t>
            </w:r>
          </w:p>
        </w:tc>
        <w:tc>
          <w:tcPr>
            <w:tcW w:w="1378"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0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Supplemental Plan</w:t>
            </w:r>
          </w:p>
        </w:tc>
        <w:tc>
          <w:tcPr>
            <w:tcW w:w="60" w:type="dxa"/>
            <w:tcBorders/>
            <w:shd w:fill="FFFFFF" w:val="clear"/>
            <w:vAlign w:val="center"/>
          </w:tcPr>
          <w:p>
            <w:pPr>
              <w:pStyle w:val="TableContents"/>
              <w:bidi w:val="0"/>
              <w:spacing w:before="0" w:after="283"/>
              <w:ind w:left="0" w:right="0" w:hanging="0"/>
              <w:jc w:val="left"/>
              <w:rPr/>
            </w:pPr>
            <w:r>
              <w:rPr/>
              <w:t> </w:t>
            </w:r>
          </w:p>
        </w:tc>
        <w:tc>
          <w:tcPr>
            <w:tcW w:w="23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4,917</w:t>
            </w:r>
          </w:p>
        </w:tc>
        <w:tc>
          <w:tcPr>
            <w:tcW w:w="75" w:type="dxa"/>
            <w:tcBorders/>
            <w:shd w:fill="FFFFFF" w:val="clear"/>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LTC Awards</w:t>
            </w:r>
          </w:p>
        </w:tc>
        <w:tc>
          <w:tcPr>
            <w:tcW w:w="60" w:type="dxa"/>
            <w:tcBorders/>
            <w:shd w:fill="CCEEFF" w:val="clear"/>
            <w:vAlign w:val="center"/>
          </w:tcPr>
          <w:p>
            <w:pPr>
              <w:pStyle w:val="TableContents"/>
              <w:bidi w:val="0"/>
              <w:spacing w:before="0" w:after="283"/>
              <w:jc w:val="left"/>
              <w:rPr/>
            </w:pPr>
            <w:r>
              <w:rPr/>
              <w:t> </w:t>
            </w:r>
          </w:p>
        </w:tc>
        <w:tc>
          <w:tcPr>
            <w:tcW w:w="2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7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1,258</w:t>
            </w:r>
          </w:p>
        </w:tc>
        <w:tc>
          <w:tcPr>
            <w:tcW w:w="75" w:type="dxa"/>
            <w:tcBorders/>
            <w:shd w:fill="CCEEFF" w:val="clear"/>
            <w:vAlign w:val="center"/>
          </w:tcPr>
          <w:p>
            <w:pPr>
              <w:pStyle w:val="TableContents"/>
              <w:bidi w:val="0"/>
              <w:spacing w:before="0" w:after="283"/>
              <w:jc w:val="left"/>
              <w:rPr/>
            </w:pPr>
            <w:r>
              <w:rPr/>
              <w:t> </w:t>
            </w:r>
          </w:p>
        </w:tc>
      </w:tr>
      <w:tr>
        <w:trPr/>
        <w:tc>
          <w:tcPr>
            <w:tcW w:w="30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1378"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defined benefit plans</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ind w:left="0" w:right="0" w:hanging="0"/>
              <w:jc w:val="left"/>
              <w:rPr/>
            </w:pPr>
            <w:r>
              <w:rPr/>
              <w:t> </w:t>
            </w:r>
          </w:p>
        </w:tc>
        <w:tc>
          <w:tcPr>
            <w:tcW w:w="11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ind w:left="0" w:right="0" w:hanging="0"/>
              <w:jc w:val="left"/>
              <w:rPr/>
            </w:pPr>
            <w:r>
              <w:rPr/>
              <w:t> </w:t>
            </w:r>
          </w:p>
        </w:tc>
        <w:tc>
          <w:tcPr>
            <w:tcW w:w="13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6,175</w:t>
            </w:r>
          </w:p>
        </w:tc>
        <w:tc>
          <w:tcPr>
            <w:tcW w:w="75" w:type="dxa"/>
            <w:tcBorders/>
            <w:shd w:fill="CCEEFF" w:val="clear"/>
            <w:vAlign w:val="center"/>
          </w:tcPr>
          <w:p>
            <w:pPr>
              <w:pStyle w:val="TableContents"/>
              <w:bidi w:val="0"/>
              <w:spacing w:before="0" w:after="283"/>
              <w:jc w:val="left"/>
              <w:rPr/>
            </w:pPr>
            <w:r>
              <w:rPr/>
              <w:t> </w:t>
            </w:r>
          </w:p>
        </w:tc>
      </w:tr>
      <w:tr>
        <w:trPr/>
        <w:tc>
          <w:tcPr>
            <w:tcW w:w="30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compensation plans:</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1378"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Management Savings Plan</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ind w:left="0" w:right="0" w:hanging="0"/>
              <w:jc w:val="left"/>
              <w:rPr/>
            </w:pPr>
            <w:r>
              <w:rPr/>
              <w:t> </w:t>
            </w:r>
          </w:p>
        </w:tc>
        <w:tc>
          <w:tcPr>
            <w:tcW w:w="11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ind w:left="0" w:right="0" w:hanging="0"/>
              <w:jc w:val="left"/>
              <w:rPr/>
            </w:pPr>
            <w:r>
              <w:rPr/>
              <w:t> </w:t>
            </w:r>
          </w:p>
        </w:tc>
        <w:tc>
          <w:tcPr>
            <w:tcW w:w="13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3,968</w:t>
            </w:r>
          </w:p>
        </w:tc>
        <w:tc>
          <w:tcPr>
            <w:tcW w:w="75" w:type="dxa"/>
            <w:tcBorders/>
            <w:shd w:fill="CCEEFF" w:val="clear"/>
            <w:vAlign w:val="center"/>
          </w:tcPr>
          <w:p>
            <w:pPr>
              <w:pStyle w:val="TableContents"/>
              <w:bidi w:val="0"/>
              <w:spacing w:before="0" w:after="283"/>
              <w:jc w:val="left"/>
              <w:rPr/>
            </w:pPr>
            <w:r>
              <w:rPr/>
              <w:t> </w:t>
            </w:r>
          </w:p>
        </w:tc>
      </w:tr>
      <w:tr>
        <w:trPr/>
        <w:tc>
          <w:tcPr>
            <w:tcW w:w="30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Compensation Plan</w:t>
            </w:r>
          </w:p>
        </w:tc>
        <w:tc>
          <w:tcPr>
            <w:tcW w:w="60" w:type="dxa"/>
            <w:tcBorders/>
            <w:shd w:fill="FFFFFF" w:val="clear"/>
            <w:vAlign w:val="center"/>
          </w:tcPr>
          <w:p>
            <w:pPr>
              <w:pStyle w:val="TableContents"/>
              <w:bidi w:val="0"/>
              <w:spacing w:before="0" w:after="283"/>
              <w:jc w:val="left"/>
              <w:rPr/>
            </w:pPr>
            <w:r>
              <w:rPr/>
              <w:t> </w:t>
            </w:r>
          </w:p>
        </w:tc>
        <w:tc>
          <w:tcPr>
            <w:tcW w:w="2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1,236</w:t>
            </w:r>
          </w:p>
        </w:tc>
        <w:tc>
          <w:tcPr>
            <w:tcW w:w="75" w:type="dxa"/>
            <w:tcBorders/>
            <w:shd w:fill="FFFFFF" w:val="clear"/>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 </w:t>
            </w:r>
          </w:p>
        </w:tc>
        <w:tc>
          <w:tcPr>
            <w:tcW w:w="1378"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03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deferred compensation plans</w:t>
            </w:r>
          </w:p>
        </w:tc>
        <w:tc>
          <w:tcPr>
            <w:tcW w:w="60" w:type="dxa"/>
            <w:tcBorders/>
            <w:shd w:fill="FFFFFF" w:val="clear"/>
            <w:vAlign w:val="center"/>
          </w:tcPr>
          <w:p>
            <w:pPr>
              <w:pStyle w:val="TableContents"/>
              <w:bidi w:val="0"/>
              <w:spacing w:before="0" w:after="283"/>
              <w:jc w:val="left"/>
              <w:rPr/>
            </w:pPr>
            <w:r>
              <w:rPr/>
              <w:t> </w:t>
            </w:r>
          </w:p>
        </w:tc>
        <w:tc>
          <w:tcPr>
            <w:tcW w:w="2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5,204</w:t>
            </w:r>
          </w:p>
        </w:tc>
        <w:tc>
          <w:tcPr>
            <w:tcW w:w="75" w:type="dxa"/>
            <w:tcBorders/>
            <w:shd w:fill="FFFFFF" w:val="clear"/>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 </w:t>
            </w:r>
          </w:p>
        </w:tc>
        <w:tc>
          <w:tcPr>
            <w:tcW w:w="1378"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0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Post employment benefit obligations</w:t>
            </w:r>
          </w:p>
        </w:tc>
        <w:tc>
          <w:tcPr>
            <w:tcW w:w="60" w:type="dxa"/>
            <w:tcBorders/>
            <w:shd w:fill="FFFFFF" w:val="clear"/>
            <w:vAlign w:val="center"/>
          </w:tcPr>
          <w:p>
            <w:pPr>
              <w:pStyle w:val="TableContents"/>
              <w:bidi w:val="0"/>
              <w:spacing w:before="0" w:after="283"/>
              <w:ind w:left="0" w:right="0" w:hanging="0"/>
              <w:jc w:val="left"/>
              <w:rPr/>
            </w:pPr>
            <w:r>
              <w:rPr/>
              <w:t> </w:t>
            </w:r>
          </w:p>
        </w:tc>
        <w:tc>
          <w:tcPr>
            <w:tcW w:w="23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7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11,379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current portion of these post employment benefit obligations totaled $1,142 at both August 29, 2026 and November 29, 2025 and is included in accrued compensation and benefits in the accompanying condensed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recognized expense under our deferred compensation arrangements during the three and nine months ended August 29, 2026 and August 30, 2025 as follows:</w:t>
      </w:r>
    </w:p>
    <w:p>
      <w:pPr>
        <w:pStyle w:val="TextBody"/>
        <w:bidi w:val="0"/>
        <w:spacing w:before="0" w:after="0"/>
        <w:ind w:left="0" w:right="0" w:hanging="0"/>
        <w:jc w:val="left"/>
        <w:rPr>
          <w:caps w:val="false"/>
          <w:smallCaps w:val="false"/>
        </w:rPr>
      </w:pPr>
      <w:r>
        <w:rPr>
          <w:caps w:val="false"/>
          <w:smallCaps w:val="false"/>
        </w:rPr>
        <w:t> </w:t>
      </w:r>
    </w:p>
    <w:tbl>
      <w:tblPr>
        <w:tblW w:w="8656" w:type="dxa"/>
        <w:jc w:val="left"/>
        <w:tblInd w:w="0" w:type="dxa"/>
        <w:tblLayout w:type="fixed"/>
        <w:tblCellMar>
          <w:top w:w="0" w:type="dxa"/>
          <w:left w:w="0" w:type="dxa"/>
          <w:bottom w:w="0" w:type="dxa"/>
          <w:right w:w="0" w:type="dxa"/>
        </w:tblCellMar>
      </w:tblPr>
      <w:tblGrid>
        <w:gridCol w:w="2600"/>
        <w:gridCol w:w="60"/>
        <w:gridCol w:w="371"/>
        <w:gridCol w:w="998"/>
        <w:gridCol w:w="74"/>
        <w:gridCol w:w="74"/>
        <w:gridCol w:w="371"/>
        <w:gridCol w:w="998"/>
        <w:gridCol w:w="60"/>
        <w:gridCol w:w="60"/>
        <w:gridCol w:w="371"/>
        <w:gridCol w:w="998"/>
        <w:gridCol w:w="96"/>
        <w:gridCol w:w="96"/>
        <w:gridCol w:w="371"/>
        <w:gridCol w:w="998"/>
        <w:gridCol w:w="60"/>
      </w:tblGrid>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88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Quarter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93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r>
          </w:p>
        </w:tc>
        <w:tc>
          <w:tcPr>
            <w:tcW w:w="60"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August 29, 2026</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ind w:left="0" w:right="0" w:hanging="0"/>
              <w:jc w:val="left"/>
              <w:rPr/>
            </w:pPr>
            <w:r>
              <w:rPr/>
              <w:t> </w:t>
            </w:r>
          </w:p>
        </w:tc>
        <w:tc>
          <w:tcPr>
            <w:tcW w:w="13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August 30,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August 29, 2026</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ind w:left="0" w:right="0" w:hanging="0"/>
              <w:jc w:val="left"/>
              <w:rPr/>
            </w:pPr>
            <w:r>
              <w:rPr/>
              <w:t> </w:t>
            </w:r>
          </w:p>
        </w:tc>
        <w:tc>
          <w:tcPr>
            <w:tcW w:w="13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August 30, 2025</w:t>
            </w:r>
          </w:p>
        </w:tc>
        <w:tc>
          <w:tcPr>
            <w:tcW w:w="60"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compensation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3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ind w:left="0" w:right="0" w:hanging="0"/>
              <w:jc w:val="left"/>
              <w:rPr/>
            </w:pPr>
            <w:r>
              <w:rPr/>
              <w:t> </w:t>
            </w:r>
          </w:p>
        </w:tc>
        <w:tc>
          <w:tcPr>
            <w:tcW w:w="3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581</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3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10. 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involved in various legal and environmental matters which arise in the normal course of business. Although the final outcome of these matters cannot be determined, based on the facts presently known, we believe that the final resolution of these matters will not have a material adverse effect on our financial position or future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Lease Guarantees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were contingently liable under licensee lease obligation guarantees in the amounts of $3,410 and $4,148 at August 29, 2026 and November 29, 2025, respectively. The remaining term under these lease guarantees extends for approximately four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 of 37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PART I-FINANCIAL INFORMATION-CONTINUED</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BASSETT FURNITURE INDUSTRIES, INCORPORATED AND SUBSIDIARIES</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NOTES TO CONDENSED CONSOLIDATED FINANCIAL STATEMENTS-UNAUDITED</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AUGUST 29, 2026</w:t>
      </w:r>
    </w:p>
    <w:p>
      <w:pPr>
        <w:pStyle w:val="TextBody"/>
        <w:bidi w:val="0"/>
        <w:ind w:left="0" w:right="0" w:hanging="0"/>
        <w:jc w:val="center"/>
        <w:rPr>
          <w:rFonts w:ascii="Times New Roman;Times;serif" w:hAnsi="Times New Roman;Times;serif"/>
          <w:sz w:val="20"/>
          <w:u w:val="single"/>
        </w:rPr>
      </w:pPr>
      <w:r>
        <w:rPr>
          <w:rFonts w:ascii="Times New Roman;Times;serif" w:hAnsi="Times New Roman;Times;serif"/>
          <w:sz w:val="20"/>
          <w:u w:val="single"/>
        </w:rPr>
        <w:t>(Dollars in thousands except share and per share data)</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event of default by the licensee, we believe that the risk of loss is mitigated through a combination of options that include, but are not limited to, arranging for a replacement licensee or liquidating the collateral (primarily inventory). The proceeds of the above options are expected to cover the estimated amount of our future payments under the guarantee obligation, net of recorded reserves. The fair value of these lease guarantees (an estimate of the cost to the Company to perform on the guarantee) at August 29, 2026 and November 29, 2025 was not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Lease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 August 29, 2026, we had a commitment for one lease of real property which is expected to commence during fiscal 2027. This lease calls for total annual rents averaging approximately $403 per year for an initial term of ten years. The lease has two five-year renewal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11. Earnings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Basic earnings per common share is computed by dividing net income allocable to common shares by the weighted average number of common shares outstanding, adjusted for participating securities, if any. The following reconciles basic and diluted earnings per share:</w:t>
      </w:r>
    </w:p>
    <w:p>
      <w:pPr>
        <w:pStyle w:val="TextBody"/>
        <w:bidi w:val="0"/>
        <w:spacing w:before="0" w:after="0"/>
        <w:ind w:left="0" w:right="0" w:hanging="0"/>
        <w:jc w:val="left"/>
        <w:rPr>
          <w:caps w:val="false"/>
          <w:smallCaps w:val="false"/>
        </w:rPr>
      </w:pPr>
      <w:r>
        <w:rPr>
          <w:caps w:val="false"/>
          <w:smallCaps w:val="false"/>
        </w:rPr>
        <w:t> </w:t>
      </w:r>
    </w:p>
    <w:tbl>
      <w:tblPr>
        <w:tblW w:w="7547" w:type="dxa"/>
        <w:jc w:val="left"/>
        <w:tblInd w:w="0" w:type="dxa"/>
        <w:tblLayout w:type="fixed"/>
        <w:tblCellMar>
          <w:top w:w="0" w:type="dxa"/>
          <w:left w:w="0" w:type="dxa"/>
          <w:bottom w:w="0" w:type="dxa"/>
          <w:right w:w="0" w:type="dxa"/>
        </w:tblCellMar>
      </w:tblPr>
      <w:tblGrid>
        <w:gridCol w:w="3665"/>
        <w:gridCol w:w="60"/>
        <w:gridCol w:w="194"/>
        <w:gridCol w:w="755"/>
        <w:gridCol w:w="60"/>
        <w:gridCol w:w="60"/>
        <w:gridCol w:w="101"/>
        <w:gridCol w:w="1433"/>
        <w:gridCol w:w="60"/>
        <w:gridCol w:w="60"/>
        <w:gridCol w:w="257"/>
        <w:gridCol w:w="782"/>
        <w:gridCol w:w="60"/>
      </w:tblGrid>
      <w:tr>
        <w:trPr/>
        <w:tc>
          <w:tcPr>
            <w:tcW w:w="3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Per</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Share</w:t>
            </w:r>
          </w:p>
        </w:tc>
        <w:tc>
          <w:tcPr>
            <w:tcW w:w="60" w:type="dxa"/>
            <w:tcBorders/>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For the quarter ended August 29, 2026</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43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43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earnings per share</w:t>
            </w:r>
          </w:p>
        </w:tc>
        <w:tc>
          <w:tcPr>
            <w:tcW w:w="60" w:type="dxa"/>
            <w:tcBorders/>
            <w:shd w:fill="CCEEFF" w:val="clear"/>
            <w:vAlign w:val="center"/>
          </w:tcPr>
          <w:p>
            <w:pPr>
              <w:pStyle w:val="TableContents"/>
              <w:bidi w:val="0"/>
              <w:spacing w:before="0" w:after="283"/>
              <w:ind w:left="0" w:right="0" w:hanging="0"/>
              <w:jc w:val="left"/>
              <w:rPr/>
            </w:pPr>
            <w:r>
              <w:rPr/>
              <w:t> </w:t>
            </w:r>
          </w:p>
        </w:tc>
        <w:tc>
          <w:tcPr>
            <w:tcW w:w="19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ind w:left="0" w:right="0" w:hanging="0"/>
              <w:jc w:val="left"/>
              <w:rPr/>
            </w:pPr>
            <w:r>
              <w:rPr/>
              <w:t> </w:t>
            </w:r>
          </w:p>
        </w:tc>
        <w:tc>
          <w:tcPr>
            <w:tcW w:w="14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8,605,457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0.24</w:t>
            </w:r>
          </w:p>
        </w:tc>
        <w:tc>
          <w:tcPr>
            <w:tcW w:w="60"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 effect of dilutive securities:</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43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shares</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 earnings per share</w:t>
            </w:r>
          </w:p>
        </w:tc>
        <w:tc>
          <w:tcPr>
            <w:tcW w:w="60" w:type="dxa"/>
            <w:tcBorders/>
            <w:shd w:fill="FFFFFF" w:val="clear"/>
            <w:vAlign w:val="center"/>
          </w:tcPr>
          <w:p>
            <w:pPr>
              <w:pStyle w:val="TableContents"/>
              <w:bidi w:val="0"/>
              <w:spacing w:before="0" w:after="283"/>
              <w:ind w:left="0" w:right="0" w:hanging="0"/>
              <w:jc w:val="left"/>
              <w:rPr/>
            </w:pPr>
            <w:r>
              <w:rPr/>
              <w:t> </w:t>
            </w:r>
          </w:p>
        </w:tc>
        <w:tc>
          <w:tcPr>
            <w:tcW w:w="19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3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8,639,115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0.24</w:t>
            </w:r>
          </w:p>
        </w:tc>
        <w:tc>
          <w:tcPr>
            <w:tcW w:w="60"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43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43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For the quarter ended August 30, 2025</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43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43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earnings per share</w:t>
            </w:r>
          </w:p>
        </w:tc>
        <w:tc>
          <w:tcPr>
            <w:tcW w:w="60" w:type="dxa"/>
            <w:tcBorders/>
            <w:shd w:fill="CCEEFF" w:val="clear"/>
            <w:vAlign w:val="center"/>
          </w:tcPr>
          <w:p>
            <w:pPr>
              <w:pStyle w:val="TableContents"/>
              <w:bidi w:val="0"/>
              <w:spacing w:before="0" w:after="283"/>
              <w:ind w:left="0" w:right="0" w:hanging="0"/>
              <w:jc w:val="left"/>
              <w:rPr/>
            </w:pPr>
            <w:r>
              <w:rPr/>
              <w:t> </w:t>
            </w:r>
          </w:p>
        </w:tc>
        <w:tc>
          <w:tcPr>
            <w:tcW w:w="19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ind w:left="0" w:right="0" w:hanging="0"/>
              <w:jc w:val="left"/>
              <w:rPr/>
            </w:pPr>
            <w:r>
              <w:rPr/>
              <w:t> </w:t>
            </w:r>
          </w:p>
        </w:tc>
        <w:tc>
          <w:tcPr>
            <w:tcW w:w="14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8,650,651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0.09</w:t>
            </w:r>
          </w:p>
        </w:tc>
        <w:tc>
          <w:tcPr>
            <w:tcW w:w="60"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 effect of dilutive securities:</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43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shares</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 earnings per share</w:t>
            </w:r>
          </w:p>
        </w:tc>
        <w:tc>
          <w:tcPr>
            <w:tcW w:w="60" w:type="dxa"/>
            <w:tcBorders/>
            <w:shd w:fill="FFFFFF" w:val="clear"/>
            <w:vAlign w:val="center"/>
          </w:tcPr>
          <w:p>
            <w:pPr>
              <w:pStyle w:val="TableContents"/>
              <w:bidi w:val="0"/>
              <w:spacing w:before="0" w:after="283"/>
              <w:ind w:left="0" w:right="0" w:hanging="0"/>
              <w:jc w:val="left"/>
              <w:rPr/>
            </w:pPr>
            <w:r>
              <w:rPr/>
              <w:t> </w:t>
            </w:r>
          </w:p>
        </w:tc>
        <w:tc>
          <w:tcPr>
            <w:tcW w:w="19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3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8,675,215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0.09</w:t>
            </w:r>
          </w:p>
        </w:tc>
        <w:tc>
          <w:tcPr>
            <w:tcW w:w="60"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43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43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For the Nine Months Ended August 29, 2026</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43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43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earnings per share</w:t>
            </w:r>
          </w:p>
        </w:tc>
        <w:tc>
          <w:tcPr>
            <w:tcW w:w="60" w:type="dxa"/>
            <w:tcBorders/>
            <w:shd w:fill="CCEEFF" w:val="clear"/>
            <w:vAlign w:val="center"/>
          </w:tcPr>
          <w:p>
            <w:pPr>
              <w:pStyle w:val="TableContents"/>
              <w:bidi w:val="0"/>
              <w:spacing w:before="0" w:after="283"/>
              <w:ind w:left="0" w:right="0" w:hanging="0"/>
              <w:jc w:val="left"/>
              <w:rPr/>
            </w:pPr>
            <w:r>
              <w:rPr/>
              <w:t> </w:t>
            </w:r>
          </w:p>
        </w:tc>
        <w:tc>
          <w:tcPr>
            <w:tcW w:w="19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ind w:left="0" w:right="0" w:hanging="0"/>
              <w:jc w:val="left"/>
              <w:rPr/>
            </w:pPr>
            <w:r>
              <w:rPr/>
              <w:t> </w:t>
            </w:r>
          </w:p>
        </w:tc>
        <w:tc>
          <w:tcPr>
            <w:tcW w:w="14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8,613,154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0.61</w:t>
            </w:r>
          </w:p>
        </w:tc>
        <w:tc>
          <w:tcPr>
            <w:tcW w:w="60"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 effect of dilutive securities:</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43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shares</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 earnings per share</w:t>
            </w:r>
          </w:p>
        </w:tc>
        <w:tc>
          <w:tcPr>
            <w:tcW w:w="60" w:type="dxa"/>
            <w:tcBorders/>
            <w:shd w:fill="FFFFFF" w:val="clear"/>
            <w:vAlign w:val="center"/>
          </w:tcPr>
          <w:p>
            <w:pPr>
              <w:pStyle w:val="TableContents"/>
              <w:bidi w:val="0"/>
              <w:spacing w:before="0" w:after="283"/>
              <w:ind w:left="0" w:right="0" w:hanging="0"/>
              <w:jc w:val="left"/>
              <w:rPr/>
            </w:pPr>
            <w:r>
              <w:rPr/>
              <w:t> </w:t>
            </w:r>
          </w:p>
        </w:tc>
        <w:tc>
          <w:tcPr>
            <w:tcW w:w="19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3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8,637,415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0.61</w:t>
            </w:r>
          </w:p>
        </w:tc>
        <w:tc>
          <w:tcPr>
            <w:tcW w:w="60"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43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43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For the Nine Months Ended August 30, 2025</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43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43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earnings per share</w:t>
            </w:r>
          </w:p>
        </w:tc>
        <w:tc>
          <w:tcPr>
            <w:tcW w:w="60" w:type="dxa"/>
            <w:tcBorders/>
            <w:shd w:fill="CCEEFF" w:val="clear"/>
            <w:vAlign w:val="center"/>
          </w:tcPr>
          <w:p>
            <w:pPr>
              <w:pStyle w:val="TableContents"/>
              <w:bidi w:val="0"/>
              <w:spacing w:before="0" w:after="283"/>
              <w:ind w:left="0" w:right="0" w:hanging="0"/>
              <w:jc w:val="left"/>
              <w:rPr/>
            </w:pPr>
            <w:r>
              <w:rPr/>
              <w:t> </w:t>
            </w:r>
          </w:p>
        </w:tc>
        <w:tc>
          <w:tcPr>
            <w:tcW w:w="19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ind w:left="0" w:right="0" w:hanging="0"/>
              <w:jc w:val="left"/>
              <w:rPr/>
            </w:pPr>
            <w:r>
              <w:rPr/>
              <w:t> </w:t>
            </w:r>
          </w:p>
        </w:tc>
        <w:tc>
          <w:tcPr>
            <w:tcW w:w="14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8,665,776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0.53</w:t>
            </w:r>
          </w:p>
        </w:tc>
        <w:tc>
          <w:tcPr>
            <w:tcW w:w="60"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 effect of dilutive securities:</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43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shares</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 earnings per share</w:t>
            </w:r>
          </w:p>
        </w:tc>
        <w:tc>
          <w:tcPr>
            <w:tcW w:w="60" w:type="dxa"/>
            <w:tcBorders/>
            <w:shd w:fill="FFFFFF" w:val="clear"/>
            <w:vAlign w:val="center"/>
          </w:tcPr>
          <w:p>
            <w:pPr>
              <w:pStyle w:val="TableContents"/>
              <w:bidi w:val="0"/>
              <w:spacing w:before="0" w:after="283"/>
              <w:ind w:left="0" w:right="0" w:hanging="0"/>
              <w:jc w:val="left"/>
              <w:rPr/>
            </w:pPr>
            <w:r>
              <w:rPr/>
              <w:t> </w:t>
            </w:r>
          </w:p>
        </w:tc>
        <w:tc>
          <w:tcPr>
            <w:tcW w:w="19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3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8,687,948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0.53</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the three and nine months ended August 29, 2026 and August 30, 2025, the following potentially dilutive shares were excluded from the computations as their effect was anti-dilutive:</w:t>
      </w:r>
    </w:p>
    <w:p>
      <w:pPr>
        <w:pStyle w:val="TextBody"/>
        <w:bidi w:val="0"/>
        <w:spacing w:before="0" w:after="0"/>
        <w:ind w:left="0" w:right="0" w:hanging="0"/>
        <w:jc w:val="left"/>
        <w:rPr>
          <w:caps w:val="false"/>
          <w:smallCaps w:val="false"/>
        </w:rPr>
      </w:pPr>
      <w:r>
        <w:rPr>
          <w:caps w:val="false"/>
          <w:smallCaps w:val="false"/>
        </w:rPr>
        <w:t> </w:t>
      </w:r>
    </w:p>
    <w:tbl>
      <w:tblPr>
        <w:tblW w:w="7453" w:type="dxa"/>
        <w:jc w:val="left"/>
        <w:tblInd w:w="0" w:type="dxa"/>
        <w:tblLayout w:type="fixed"/>
        <w:tblCellMar>
          <w:top w:w="0" w:type="dxa"/>
          <w:left w:w="0" w:type="dxa"/>
          <w:bottom w:w="0" w:type="dxa"/>
          <w:right w:w="0" w:type="dxa"/>
        </w:tblCellMar>
      </w:tblPr>
      <w:tblGrid>
        <w:gridCol w:w="1325"/>
        <w:gridCol w:w="60"/>
        <w:gridCol w:w="150"/>
        <w:gridCol w:w="1219"/>
        <w:gridCol w:w="96"/>
        <w:gridCol w:w="96"/>
        <w:gridCol w:w="586"/>
        <w:gridCol w:w="783"/>
        <w:gridCol w:w="60"/>
        <w:gridCol w:w="60"/>
        <w:gridCol w:w="126"/>
        <w:gridCol w:w="1243"/>
        <w:gridCol w:w="110"/>
        <w:gridCol w:w="110"/>
        <w:gridCol w:w="586"/>
        <w:gridCol w:w="783"/>
        <w:gridCol w:w="60"/>
      </w:tblGrid>
      <w:tr>
        <w:trPr/>
        <w:tc>
          <w:tcPr>
            <w:tcW w:w="1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93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Quarter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95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r>
          </w:p>
        </w:tc>
        <w:tc>
          <w:tcPr>
            <w:tcW w:w="60" w:type="dxa"/>
            <w:tcBorders/>
            <w:vAlign w:val="center"/>
          </w:tcPr>
          <w:p>
            <w:pPr>
              <w:pStyle w:val="TableContents"/>
              <w:bidi w:val="0"/>
              <w:spacing w:before="0" w:after="283"/>
              <w:jc w:val="left"/>
              <w:rPr/>
            </w:pPr>
            <w:r>
              <w:rPr/>
              <w:t> </w:t>
            </w:r>
          </w:p>
        </w:tc>
      </w:tr>
      <w:tr>
        <w:trPr/>
        <w:tc>
          <w:tcPr>
            <w:tcW w:w="1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August 29, 2026</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ind w:left="0" w:right="0" w:hanging="0"/>
              <w:jc w:val="left"/>
              <w:rPr/>
            </w:pPr>
            <w:r>
              <w:rPr/>
              <w:t> </w:t>
            </w:r>
          </w:p>
        </w:tc>
        <w:tc>
          <w:tcPr>
            <w:tcW w:w="13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August 30,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August 29, 2026</w:t>
            </w:r>
          </w:p>
        </w:tc>
        <w:tc>
          <w:tcPr>
            <w:tcW w:w="11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ind w:left="0" w:right="0" w:hanging="0"/>
              <w:jc w:val="left"/>
              <w:rPr/>
            </w:pPr>
            <w:r>
              <w:rPr/>
              <w:t> </w:t>
            </w:r>
          </w:p>
        </w:tc>
        <w:tc>
          <w:tcPr>
            <w:tcW w:w="13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August 30, 2025</w:t>
            </w:r>
          </w:p>
        </w:tc>
        <w:tc>
          <w:tcPr>
            <w:tcW w:w="60" w:type="dxa"/>
            <w:tcBorders/>
            <w:vAlign w:val="center"/>
          </w:tcPr>
          <w:p>
            <w:pPr>
              <w:pStyle w:val="TableContents"/>
              <w:bidi w:val="0"/>
              <w:spacing w:before="0" w:after="283"/>
              <w:jc w:val="left"/>
              <w:rPr/>
            </w:pPr>
            <w:r>
              <w:rPr/>
              <w:t> </w:t>
            </w:r>
          </w:p>
        </w:tc>
      </w:tr>
      <w:tr>
        <w:trPr/>
        <w:tc>
          <w:tcPr>
            <w:tcW w:w="1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219"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left"/>
              <w:rPr/>
            </w:pPr>
            <w:r>
              <w:rPr/>
              <w:t> </w:t>
            </w:r>
          </w:p>
        </w:tc>
        <w:tc>
          <w:tcPr>
            <w:tcW w:w="7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243"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left"/>
              <w:rPr/>
            </w:pPr>
            <w:r>
              <w:rPr/>
              <w:t> </w:t>
            </w:r>
          </w:p>
        </w:tc>
        <w:tc>
          <w:tcPr>
            <w:tcW w:w="7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3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Unvested shares</w:t>
            </w:r>
          </w:p>
        </w:tc>
        <w:tc>
          <w:tcPr>
            <w:tcW w:w="60" w:type="dxa"/>
            <w:tcBorders/>
            <w:shd w:fill="CCEEFF" w:val="clear"/>
            <w:vAlign w:val="center"/>
          </w:tcPr>
          <w:p>
            <w:pPr>
              <w:pStyle w:val="TableContents"/>
              <w:bidi w:val="0"/>
              <w:spacing w:before="0" w:after="283"/>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1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3,000</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58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4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30,856</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8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 of 37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PART I-FINANCIAL INFORMATION-CONTINUED</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BASSETT FURNITURE INDUSTRIES, INCORPORATED AND SUBSIDIARIES</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NOTES TO CONDENSED CONSOLIDATED FINANCIAL STATEMENTS-UNAUDITED</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AUGUST 29, 2026</w:t>
      </w:r>
    </w:p>
    <w:p>
      <w:pPr>
        <w:pStyle w:val="TextBody"/>
        <w:bidi w:val="0"/>
        <w:ind w:left="0" w:right="0" w:hanging="0"/>
        <w:jc w:val="center"/>
        <w:rPr>
          <w:rFonts w:ascii="Times New Roman;Times;serif" w:hAnsi="Times New Roman;Times;serif"/>
          <w:sz w:val="20"/>
          <w:u w:val="single"/>
        </w:rPr>
      </w:pPr>
      <w:r>
        <w:rPr>
          <w:rFonts w:ascii="Times New Roman;Times;serif" w:hAnsi="Times New Roman;Times;serif"/>
          <w:sz w:val="20"/>
          <w:u w:val="single"/>
        </w:rPr>
        <w:t>(Dollars in thousands except share and per share data)</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12. Segment Information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We report segment information consistent with the way our chief operating decision maker (the “CODM”), a single individual who serves as our Board Chair, President and Chief Executive Officer, evaluates the operating results and performance of the Company. We have strategically aligned our business into two reportable segments as defined in ASC Topic 280, </w:t>
      </w:r>
      <w:r>
        <w:rPr>
          <w:rFonts w:ascii="Times New Roman" w:hAnsi="Times New Roman"/>
          <w:i/>
          <w:caps w:val="false"/>
          <w:smallCaps w:val="false"/>
          <w:sz w:val="20"/>
        </w:rPr>
        <w:t>Segment Reporting</w:t>
      </w:r>
      <w:r>
        <w:rPr>
          <w:rFonts w:ascii="Times New Roman" w:hAnsi="Times New Roman"/>
          <w:caps w:val="false"/>
          <w:smallCaps w:val="false"/>
          <w:sz w:val="20"/>
        </w:rPr>
        <w:t>, and as described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 xml:space="preserve">Wholesale. </w:t>
            </w:r>
            <w:r>
              <w:rPr>
                <w:rFonts w:ascii="Times New Roman;Times;serif" w:hAnsi="Times New Roman;Times;serif"/>
                <w:caps w:val="false"/>
                <w:smallCaps w:val="false"/>
                <w:sz w:val="20"/>
              </w:rPr>
              <w:t>The wholesale home furnishings segment is involved principally in the design, manufacture, sourcing, sale and distribution of furniture products to a network of Bassett stores (Company-owned and licensee-owned retail stores) and independent furniture retailers. Our wholesale segment includes our wood and upholstery operations, which includes Lane Venture.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 xml:space="preserve">Retail </w:t>
            </w:r>
            <w:r>
              <w:rPr>
                <w:rFonts w:ascii="Times New Roman;Times;serif" w:hAnsi="Times New Roman;Times;serif"/>
                <w:caps w:val="false"/>
                <w:smallCaps w:val="false"/>
                <w:sz w:val="20"/>
              </w:rPr>
              <w:t>– </w:t>
            </w:r>
            <w:r>
              <w:rPr>
                <w:rFonts w:ascii="Times New Roman;Times;serif" w:hAnsi="Times New Roman;Times;serif"/>
                <w:b/>
                <w:caps w:val="false"/>
                <w:smallCaps w:val="false"/>
                <w:sz w:val="20"/>
              </w:rPr>
              <w:t xml:space="preserve">Company-owned stores. </w:t>
            </w:r>
            <w:r>
              <w:rPr>
                <w:rFonts w:ascii="Times New Roman;Times;serif" w:hAnsi="Times New Roman;Times;serif"/>
                <w:caps w:val="false"/>
                <w:smallCaps w:val="false"/>
                <w:sz w:val="20"/>
              </w:rPr>
              <w:t>Our retail segment consists of Company-owned stores and includes the revenues, expenses, assets and liabilities and capital expenditures directly related to these stores and the Company-owned distribution network utilized to deliver products to our retail customers.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to the two reportable segments described above, we include our remaining business activities and assets in a reconciling category known as Corporate and other. This category includes the shared costs of corporate functions such as treasury and finance, information technology, accounting, human resources, legal and others, including certain product development and marketing functions benefiting both wholesale and retail operations. In addition to property and equipment and various other assets associated with the shared corporate functions, the identifiable assets of Corporate and other include substantially all of our cash and our investments in CDs. We consider our corporate functions to be other business activities. As of and for the three and nine months ended August 29, 2026 and August 30, 2025, Corporate and other included no other operating segments.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Intercompany net sales elimination represents the elimination of wholesale sales to our Company-owned stores. Intercompany income elimination includes the embedded wholesale profit in the Company-owned store inventory that has not been realized. These profits will be recorded when merchandise is delivered to the retail consumer. The intercompany income elimination also includes rent paid by our retail stores occupying Company-owned real estate.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purpose of evaluating segment performance and allocating resources, our CODM uses a measure of income (loss) from operations excluding special items. These excluded items include such things as asset impairment charges, restructuring charges, and other unusual or infrequent gains and losses which management does not expect to recur on a routine basis. During the three and nine months ended August 29, 2026 and August 30, 2025, there were no special items recognized in our results of operations. The CODM assesses performance by regularly reviewing each segment’s significant expense categories which include total cost of goods sold and total SG&amp;A expenses. If these significant expense categories deviate from expected results, the CODM will delegate to his direct reports the task of investigating the underlying causes and, when necessary, making recommendations for remedial action to the CODM for his consideration and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 of 37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PART I-FINANCIAL INFORMATION-CONTINUED</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BASSETT FURNITURE INDUSTRIES, INCORPORATED AND SUBSIDIARIES</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NOTES TO CONDENSED CONSOLIDATED FINANCIAL STATEMENTS-UNAUDITED</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AUGUST 29, 2026</w:t>
      </w:r>
    </w:p>
    <w:p>
      <w:pPr>
        <w:pStyle w:val="TextBody"/>
        <w:bidi w:val="0"/>
        <w:ind w:left="0" w:right="0" w:hanging="0"/>
        <w:jc w:val="center"/>
        <w:rPr>
          <w:rFonts w:ascii="Times New Roman;Times;serif" w:hAnsi="Times New Roman;Times;serif"/>
          <w:sz w:val="20"/>
          <w:u w:val="single"/>
        </w:rPr>
      </w:pPr>
      <w:r>
        <w:rPr>
          <w:rFonts w:ascii="Times New Roman;Times;serif" w:hAnsi="Times New Roman;Times;serif"/>
          <w:sz w:val="20"/>
          <w:u w:val="single"/>
        </w:rPr>
        <w:t>(Dollars in thousands except share and per share data)</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tables present our results of operations by segment:</w:t>
      </w:r>
    </w:p>
    <w:p>
      <w:pPr>
        <w:pStyle w:val="TextBody"/>
        <w:bidi w:val="0"/>
        <w:spacing w:before="0" w:after="0"/>
        <w:ind w:left="0" w:right="0" w:hanging="0"/>
        <w:jc w:val="left"/>
        <w:rPr>
          <w:caps w:val="false"/>
          <w:smallCaps w:val="false"/>
        </w:rPr>
      </w:pPr>
      <w:r>
        <w:rPr>
          <w:caps w:val="false"/>
          <w:smallCaps w:val="false"/>
        </w:rPr>
        <w:t> </w:t>
      </w:r>
    </w:p>
    <w:tbl>
      <w:tblPr>
        <w:tblW w:w="7242" w:type="dxa"/>
        <w:jc w:val="left"/>
        <w:tblInd w:w="0" w:type="dxa"/>
        <w:tblLayout w:type="fixed"/>
        <w:tblCellMar>
          <w:top w:w="0" w:type="dxa"/>
          <w:left w:w="0" w:type="dxa"/>
          <w:bottom w:w="0" w:type="dxa"/>
          <w:right w:w="0" w:type="dxa"/>
        </w:tblCellMar>
      </w:tblPr>
      <w:tblGrid>
        <w:gridCol w:w="4070"/>
        <w:gridCol w:w="60"/>
        <w:gridCol w:w="152"/>
        <w:gridCol w:w="723"/>
        <w:gridCol w:w="64"/>
        <w:gridCol w:w="64"/>
        <w:gridCol w:w="133"/>
        <w:gridCol w:w="632"/>
        <w:gridCol w:w="85"/>
        <w:gridCol w:w="64"/>
        <w:gridCol w:w="169"/>
        <w:gridCol w:w="946"/>
        <w:gridCol w:w="80"/>
      </w:tblGrid>
      <w:tr>
        <w:trPr/>
        <w:tc>
          <w:tcPr>
            <w:tcW w:w="4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032"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Quarter Ended August 29, 2026</w:t>
            </w:r>
          </w:p>
        </w:tc>
        <w:tc>
          <w:tcPr>
            <w:tcW w:w="80"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Wholesale</w:t>
            </w:r>
          </w:p>
        </w:tc>
        <w:tc>
          <w:tcPr>
            <w:tcW w:w="64" w:type="dxa"/>
            <w:tcBorders>
              <w:bottom w:val="single" w:sz="2" w:space="0" w:color="000000"/>
            </w:tcBorders>
            <w:tcMar>
              <w:bottom w:w="28" w:type="dxa"/>
            </w:tcMar>
            <w:vAlign w:val="center"/>
          </w:tcPr>
          <w:p>
            <w:pPr>
              <w:pStyle w:val="TableContents"/>
              <w:bidi w:val="0"/>
              <w:spacing w:before="0" w:after="283"/>
              <w:jc w:val="left"/>
              <w:rPr/>
            </w:pPr>
            <w:r>
              <w:rPr/>
              <w:t> </w:t>
            </w:r>
          </w:p>
        </w:tc>
        <w:tc>
          <w:tcPr>
            <w:tcW w:w="64"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Retail</w:t>
            </w:r>
          </w:p>
        </w:tc>
        <w:tc>
          <w:tcPr>
            <w:tcW w:w="85" w:type="dxa"/>
            <w:tcBorders>
              <w:bottom w:val="single" w:sz="2" w:space="0" w:color="000000"/>
            </w:tcBorders>
            <w:tcMar>
              <w:bottom w:w="28" w:type="dxa"/>
            </w:tcMar>
            <w:vAlign w:val="center"/>
          </w:tcPr>
          <w:p>
            <w:pPr>
              <w:pStyle w:val="TableContents"/>
              <w:bidi w:val="0"/>
              <w:spacing w:before="0" w:after="283"/>
              <w:jc w:val="left"/>
              <w:rPr/>
            </w:pPr>
            <w:r>
              <w:rPr/>
              <w:t> </w:t>
            </w:r>
          </w:p>
        </w:tc>
        <w:tc>
          <w:tcPr>
            <w:tcW w:w="64"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w:t>
            </w:r>
          </w:p>
        </w:tc>
        <w:tc>
          <w:tcPr>
            <w:tcW w:w="80"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632"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 to external customers</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28,603</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13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54,235</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16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82,838</w:t>
            </w:r>
          </w:p>
        </w:tc>
        <w:tc>
          <w:tcPr>
            <w:tcW w:w="80"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Intersegment sales</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25,089</w:t>
            </w:r>
          </w:p>
        </w:tc>
        <w:tc>
          <w:tcPr>
            <w:tcW w:w="6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25,089</w:t>
            </w:r>
          </w:p>
        </w:tc>
        <w:tc>
          <w:tcPr>
            <w:tcW w:w="80"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net sales</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7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53,692</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6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54,235</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9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107,927</w:t>
            </w:r>
          </w:p>
        </w:tc>
        <w:tc>
          <w:tcPr>
            <w:tcW w:w="80"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intersegment sales</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(25,089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 net sales</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16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82,838</w:t>
            </w:r>
          </w:p>
        </w:tc>
        <w:tc>
          <w:tcPr>
            <w:tcW w:w="80"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7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34,024</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6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26,317</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SG&amp;A expense</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7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10,351</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6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28,027</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segment items - new store pre-opening costs</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w:t>
            </w:r>
          </w:p>
        </w:tc>
        <w:tc>
          <w:tcPr>
            <w:tcW w:w="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6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income (loss) from operations</w:t>
            </w:r>
          </w:p>
        </w:tc>
        <w:tc>
          <w:tcPr>
            <w:tcW w:w="60" w:type="dxa"/>
            <w:tcBorders/>
            <w:shd w:fill="FFFF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9,317</w:t>
            </w:r>
          </w:p>
        </w:tc>
        <w:tc>
          <w:tcPr>
            <w:tcW w:w="6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w:t>
            </w:r>
          </w:p>
        </w:tc>
        <w:tc>
          <w:tcPr>
            <w:tcW w:w="8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 w:type="dxa"/>
            <w:tcBorders/>
            <w:shd w:fill="FFFFFF" w:val="clear"/>
            <w:vAlign w:val="center"/>
          </w:tcPr>
          <w:p>
            <w:pPr>
              <w:pStyle w:val="TableContents"/>
              <w:bidi w:val="0"/>
              <w:spacing w:before="0" w:after="283"/>
              <w:ind w:left="0" w:right="0" w:hanging="0"/>
              <w:jc w:val="left"/>
              <w:rPr/>
            </w:pPr>
            <w:r>
              <w:rPr/>
              <w:t> </w:t>
            </w:r>
          </w:p>
        </w:tc>
        <w:tc>
          <w:tcPr>
            <w:tcW w:w="16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9,064</w:t>
            </w:r>
          </w:p>
        </w:tc>
        <w:tc>
          <w:tcPr>
            <w:tcW w:w="80"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Reconciliation of profit or loss:</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Unallocated corporate expenses</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9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(6,620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Elimination of intersegment loss</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338</w:t>
            </w:r>
          </w:p>
        </w:tc>
        <w:tc>
          <w:tcPr>
            <w:tcW w:w="80"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 income from operations</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9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2,782</w:t>
            </w:r>
          </w:p>
        </w:tc>
        <w:tc>
          <w:tcPr>
            <w:tcW w:w="80"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9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480</w:t>
            </w:r>
          </w:p>
        </w:tc>
        <w:tc>
          <w:tcPr>
            <w:tcW w:w="80"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loss, net</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7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before income taxes</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16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2,887</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6342" w:type="dxa"/>
        <w:jc w:val="left"/>
        <w:tblInd w:w="0" w:type="dxa"/>
        <w:tblLayout w:type="fixed"/>
        <w:tblCellMar>
          <w:top w:w="0" w:type="dxa"/>
          <w:left w:w="0" w:type="dxa"/>
          <w:bottom w:w="0" w:type="dxa"/>
          <w:right w:w="0" w:type="dxa"/>
        </w:tblCellMar>
      </w:tblPr>
      <w:tblGrid>
        <w:gridCol w:w="3170"/>
        <w:gridCol w:w="60"/>
        <w:gridCol w:w="152"/>
        <w:gridCol w:w="723"/>
        <w:gridCol w:w="64"/>
        <w:gridCol w:w="64"/>
        <w:gridCol w:w="133"/>
        <w:gridCol w:w="632"/>
        <w:gridCol w:w="85"/>
        <w:gridCol w:w="64"/>
        <w:gridCol w:w="169"/>
        <w:gridCol w:w="946"/>
        <w:gridCol w:w="80"/>
      </w:tblGrid>
      <w:tr>
        <w:trPr/>
        <w:tc>
          <w:tcPr>
            <w:tcW w:w="3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032"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Quarter Ended August 30, 2025</w:t>
            </w:r>
          </w:p>
        </w:tc>
        <w:tc>
          <w:tcPr>
            <w:tcW w:w="80" w:type="dxa"/>
            <w:tcBorders/>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Wholesale</w:t>
            </w:r>
          </w:p>
        </w:tc>
        <w:tc>
          <w:tcPr>
            <w:tcW w:w="64" w:type="dxa"/>
            <w:tcBorders>
              <w:bottom w:val="single" w:sz="2" w:space="0" w:color="000000"/>
            </w:tcBorders>
            <w:tcMar>
              <w:bottom w:w="28" w:type="dxa"/>
            </w:tcMar>
            <w:vAlign w:val="center"/>
          </w:tcPr>
          <w:p>
            <w:pPr>
              <w:pStyle w:val="TableContents"/>
              <w:bidi w:val="0"/>
              <w:spacing w:before="0" w:after="283"/>
              <w:jc w:val="left"/>
              <w:rPr/>
            </w:pPr>
            <w:r>
              <w:rPr/>
              <w:t> </w:t>
            </w:r>
          </w:p>
        </w:tc>
        <w:tc>
          <w:tcPr>
            <w:tcW w:w="64"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Retail</w:t>
            </w:r>
          </w:p>
        </w:tc>
        <w:tc>
          <w:tcPr>
            <w:tcW w:w="85" w:type="dxa"/>
            <w:tcBorders>
              <w:bottom w:val="single" w:sz="2" w:space="0" w:color="000000"/>
            </w:tcBorders>
            <w:tcMar>
              <w:bottom w:w="28" w:type="dxa"/>
            </w:tcMar>
            <w:vAlign w:val="center"/>
          </w:tcPr>
          <w:p>
            <w:pPr>
              <w:pStyle w:val="TableContents"/>
              <w:bidi w:val="0"/>
              <w:spacing w:before="0" w:after="283"/>
              <w:jc w:val="left"/>
              <w:rPr/>
            </w:pPr>
            <w:r>
              <w:rPr/>
              <w:t> </w:t>
            </w:r>
          </w:p>
        </w:tc>
        <w:tc>
          <w:tcPr>
            <w:tcW w:w="64"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w:t>
            </w:r>
          </w:p>
        </w:tc>
        <w:tc>
          <w:tcPr>
            <w:tcW w:w="80" w:type="dxa"/>
            <w:tcBorders/>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632"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 to external customers</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28,212</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13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51,891</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16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80,103</w:t>
            </w:r>
          </w:p>
        </w:tc>
        <w:tc>
          <w:tcPr>
            <w:tcW w:w="80"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Intersegment sales</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22,575</w:t>
            </w:r>
          </w:p>
        </w:tc>
        <w:tc>
          <w:tcPr>
            <w:tcW w:w="6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22,575</w:t>
            </w:r>
          </w:p>
        </w:tc>
        <w:tc>
          <w:tcPr>
            <w:tcW w:w="80" w:type="dxa"/>
            <w:tcBorders/>
            <w:shd w:fill="FFFFFF" w:val="cle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net sales</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7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50,787</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6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51,891</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9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102,678</w:t>
            </w:r>
          </w:p>
        </w:tc>
        <w:tc>
          <w:tcPr>
            <w:tcW w:w="80"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intersegment sales</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(22,575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 net sales</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6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80,103</w:t>
            </w:r>
          </w:p>
        </w:tc>
        <w:tc>
          <w:tcPr>
            <w:tcW w:w="80"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7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32,950</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6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24,710</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SG&amp;A expense</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9,782</w:t>
            </w:r>
          </w:p>
        </w:tc>
        <w:tc>
          <w:tcPr>
            <w:tcW w:w="6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27,514</w:t>
            </w:r>
          </w:p>
        </w:tc>
        <w:tc>
          <w:tcPr>
            <w:tcW w:w="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6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4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income (loss) from operations</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8,055</w:t>
            </w:r>
          </w:p>
        </w:tc>
        <w:tc>
          <w:tcPr>
            <w:tcW w:w="6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w:t>
            </w:r>
          </w:p>
        </w:tc>
        <w:tc>
          <w:tcPr>
            <w:tcW w:w="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 w:type="dxa"/>
            <w:tcBorders/>
            <w:shd w:fill="CCEEFF" w:val="clear"/>
            <w:vAlign w:val="center"/>
          </w:tcPr>
          <w:p>
            <w:pPr>
              <w:pStyle w:val="TableContents"/>
              <w:bidi w:val="0"/>
              <w:spacing w:before="0" w:after="283"/>
              <w:ind w:left="0" w:right="0" w:hanging="0"/>
              <w:jc w:val="left"/>
              <w:rPr/>
            </w:pPr>
            <w:r>
              <w:rPr/>
              <w:t> </w:t>
            </w:r>
          </w:p>
        </w:tc>
        <w:tc>
          <w:tcPr>
            <w:tcW w:w="16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7,722</w:t>
            </w:r>
          </w:p>
        </w:tc>
        <w:tc>
          <w:tcPr>
            <w:tcW w:w="80"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Reconciliation of profit or loss:</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Unallocated corporate expenses</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9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(7,419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Elimination of intersegment loss</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w:t>
            </w:r>
          </w:p>
        </w:tc>
        <w:tc>
          <w:tcPr>
            <w:tcW w:w="80" w:type="dxa"/>
            <w:tcBorders/>
            <w:shd w:fill="FFFFFF" w:val="cle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 income from operations</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9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593</w:t>
            </w:r>
          </w:p>
        </w:tc>
        <w:tc>
          <w:tcPr>
            <w:tcW w:w="80"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9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472</w:t>
            </w:r>
          </w:p>
        </w:tc>
        <w:tc>
          <w:tcPr>
            <w:tcW w:w="80" w:type="dxa"/>
            <w:tcBorders/>
            <w:shd w:fill="FFFFFF" w:val="cle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net</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80"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before income taxes</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16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1,095</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17 of 37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PART I-FINANCIAL INFORMATION-CONTINUED</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BASSETT FURNITURE INDUSTRIES, INCORPORATED AND SUBSIDIARIES</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NOTES TO CONDENSED CONSOLIDATED FINANCIAL STATEMENTS-UNAUDITED</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AUGUST 29, 2026</w:t>
      </w:r>
    </w:p>
    <w:p>
      <w:pPr>
        <w:pStyle w:val="TextBody"/>
        <w:bidi w:val="0"/>
        <w:ind w:left="0" w:right="0" w:hanging="0"/>
        <w:jc w:val="center"/>
        <w:rPr>
          <w:rFonts w:ascii="Times New Roman;Times;serif" w:hAnsi="Times New Roman;Times;serif"/>
          <w:sz w:val="20"/>
          <w:u w:val="single"/>
        </w:rPr>
      </w:pPr>
      <w:r>
        <w:rPr>
          <w:rFonts w:ascii="Times New Roman;Times;serif" w:hAnsi="Times New Roman;Times;serif"/>
          <w:sz w:val="20"/>
          <w:u w:val="single"/>
        </w:rPr>
        <w:t>(Dollars in thousands except share and per share data)</w:t>
      </w:r>
    </w:p>
    <w:p>
      <w:pPr>
        <w:pStyle w:val="TextBody"/>
        <w:bidi w:val="0"/>
        <w:spacing w:before="0" w:after="0"/>
        <w:ind w:left="0" w:right="0" w:hanging="0"/>
        <w:jc w:val="left"/>
        <w:rPr/>
      </w:pPr>
      <w:r>
        <w:rPr/>
        <w:t> </w:t>
      </w:r>
    </w:p>
    <w:tbl>
      <w:tblPr>
        <w:tblW w:w="7462" w:type="dxa"/>
        <w:jc w:val="left"/>
        <w:tblInd w:w="0" w:type="dxa"/>
        <w:tblLayout w:type="fixed"/>
        <w:tblCellMar>
          <w:top w:w="0" w:type="dxa"/>
          <w:left w:w="0" w:type="dxa"/>
          <w:bottom w:w="0" w:type="dxa"/>
          <w:right w:w="0" w:type="dxa"/>
        </w:tblCellMar>
      </w:tblPr>
      <w:tblGrid>
        <w:gridCol w:w="4070"/>
        <w:gridCol w:w="60"/>
        <w:gridCol w:w="140"/>
        <w:gridCol w:w="783"/>
        <w:gridCol w:w="67"/>
        <w:gridCol w:w="67"/>
        <w:gridCol w:w="140"/>
        <w:gridCol w:w="783"/>
        <w:gridCol w:w="90"/>
        <w:gridCol w:w="67"/>
        <w:gridCol w:w="169"/>
        <w:gridCol w:w="946"/>
        <w:gridCol w:w="80"/>
      </w:tblGrid>
      <w:tr>
        <w:trPr/>
        <w:tc>
          <w:tcPr>
            <w:tcW w:w="4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252"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August 29, 2026</w:t>
            </w:r>
          </w:p>
        </w:tc>
        <w:tc>
          <w:tcPr>
            <w:tcW w:w="80"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Wholesale</w:t>
            </w:r>
          </w:p>
        </w:tc>
        <w:tc>
          <w:tcPr>
            <w:tcW w:w="67" w:type="dxa"/>
            <w:tcBorders>
              <w:bottom w:val="single" w:sz="2" w:space="0" w:color="000000"/>
            </w:tcBorders>
            <w:tcMar>
              <w:bottom w:w="28" w:type="dxa"/>
            </w:tcMar>
            <w:vAlign w:val="center"/>
          </w:tcPr>
          <w:p>
            <w:pPr>
              <w:pStyle w:val="TableContents"/>
              <w:bidi w:val="0"/>
              <w:spacing w:before="0" w:after="283"/>
              <w:jc w:val="left"/>
              <w:rPr/>
            </w:pPr>
            <w:r>
              <w:rPr/>
              <w:t> </w:t>
            </w:r>
          </w:p>
        </w:tc>
        <w:tc>
          <w:tcPr>
            <w:tcW w:w="67"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2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Retail</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67"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w:t>
            </w:r>
          </w:p>
        </w:tc>
        <w:tc>
          <w:tcPr>
            <w:tcW w:w="80"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83"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8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 to external customers</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84,604</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1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162,327</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16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246,931</w:t>
            </w:r>
          </w:p>
        </w:tc>
        <w:tc>
          <w:tcPr>
            <w:tcW w:w="80"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Intersegment sales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75,196</w:t>
            </w:r>
          </w:p>
        </w:tc>
        <w:tc>
          <w:tcPr>
            <w:tcW w:w="6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9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75,196</w:t>
            </w:r>
          </w:p>
        </w:tc>
        <w:tc>
          <w:tcPr>
            <w:tcW w:w="80"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net sales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159,800</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162,327</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9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322,127</w:t>
            </w:r>
          </w:p>
        </w:tc>
        <w:tc>
          <w:tcPr>
            <w:tcW w:w="80"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intersegment sales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(75,196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 net sales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16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246,931</w:t>
            </w:r>
          </w:p>
        </w:tc>
        <w:tc>
          <w:tcPr>
            <w:tcW w:w="80"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102,847</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78,879</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SG&amp;A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31,013</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84,354</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segment items - new store pre-opening costs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712</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6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income (loss) from operations</w:t>
            </w:r>
          </w:p>
        </w:tc>
        <w:tc>
          <w:tcPr>
            <w:tcW w:w="60" w:type="dxa"/>
            <w:tcBorders/>
            <w:shd w:fill="FFFF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25,940</w:t>
            </w:r>
          </w:p>
        </w:tc>
        <w:tc>
          <w:tcPr>
            <w:tcW w:w="6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(1,618</w:t>
            </w:r>
          </w:p>
        </w:tc>
        <w:tc>
          <w:tcPr>
            <w:tcW w:w="9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FFFFFF" w:val="clear"/>
            <w:vAlign w:val="center"/>
          </w:tcPr>
          <w:p>
            <w:pPr>
              <w:pStyle w:val="TableContents"/>
              <w:bidi w:val="0"/>
              <w:spacing w:before="0" w:after="283"/>
              <w:ind w:left="0" w:right="0" w:hanging="0"/>
              <w:jc w:val="left"/>
              <w:rPr/>
            </w:pPr>
            <w:r>
              <w:rPr/>
              <w:t> </w:t>
            </w:r>
          </w:p>
        </w:tc>
        <w:tc>
          <w:tcPr>
            <w:tcW w:w="16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24,322</w:t>
            </w:r>
          </w:p>
        </w:tc>
        <w:tc>
          <w:tcPr>
            <w:tcW w:w="80"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Reconciliation of profit or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Unallocated corporate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9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(18,797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Elimination of intersegment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657</w:t>
            </w:r>
          </w:p>
        </w:tc>
        <w:tc>
          <w:tcPr>
            <w:tcW w:w="80"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 income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9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6,182</w:t>
            </w:r>
          </w:p>
        </w:tc>
        <w:tc>
          <w:tcPr>
            <w:tcW w:w="80"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9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1,479</w:t>
            </w:r>
          </w:p>
        </w:tc>
        <w:tc>
          <w:tcPr>
            <w:tcW w:w="80"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loss,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7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before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16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7,181</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6465" w:type="dxa"/>
        <w:jc w:val="left"/>
        <w:tblInd w:w="0" w:type="dxa"/>
        <w:tblLayout w:type="fixed"/>
        <w:tblCellMar>
          <w:top w:w="0" w:type="dxa"/>
          <w:left w:w="0" w:type="dxa"/>
          <w:bottom w:w="0" w:type="dxa"/>
          <w:right w:w="0" w:type="dxa"/>
        </w:tblCellMar>
      </w:tblPr>
      <w:tblGrid>
        <w:gridCol w:w="3080"/>
        <w:gridCol w:w="60"/>
        <w:gridCol w:w="141"/>
        <w:gridCol w:w="788"/>
        <w:gridCol w:w="68"/>
        <w:gridCol w:w="68"/>
        <w:gridCol w:w="141"/>
        <w:gridCol w:w="788"/>
        <w:gridCol w:w="68"/>
        <w:gridCol w:w="68"/>
        <w:gridCol w:w="169"/>
        <w:gridCol w:w="946"/>
        <w:gridCol w:w="80"/>
      </w:tblGrid>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245"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August 30, 2025</w:t>
            </w:r>
          </w:p>
        </w:tc>
        <w:tc>
          <w:tcPr>
            <w:tcW w:w="80" w:type="dxa"/>
            <w:tcBorders/>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Wholesale</w:t>
            </w:r>
          </w:p>
        </w:tc>
        <w:tc>
          <w:tcPr>
            <w:tcW w:w="68" w:type="dxa"/>
            <w:tcBorders>
              <w:bottom w:val="single" w:sz="2" w:space="0" w:color="000000"/>
            </w:tcBorders>
            <w:tcMar>
              <w:bottom w:w="28" w:type="dxa"/>
            </w:tcMar>
            <w:vAlign w:val="center"/>
          </w:tcPr>
          <w:p>
            <w:pPr>
              <w:pStyle w:val="TableContents"/>
              <w:bidi w:val="0"/>
              <w:spacing w:before="0" w:after="283"/>
              <w:jc w:val="left"/>
              <w:rPr/>
            </w:pPr>
            <w:r>
              <w:rPr/>
              <w:t> </w:t>
            </w:r>
          </w:p>
        </w:tc>
        <w:tc>
          <w:tcPr>
            <w:tcW w:w="68"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Retail</w:t>
            </w:r>
          </w:p>
        </w:tc>
        <w:tc>
          <w:tcPr>
            <w:tcW w:w="68" w:type="dxa"/>
            <w:tcBorders>
              <w:bottom w:val="single" w:sz="2" w:space="0" w:color="000000"/>
            </w:tcBorders>
            <w:tcMar>
              <w:bottom w:w="28" w:type="dxa"/>
            </w:tcMar>
            <w:vAlign w:val="center"/>
          </w:tcPr>
          <w:p>
            <w:pPr>
              <w:pStyle w:val="TableContents"/>
              <w:bidi w:val="0"/>
              <w:spacing w:before="0" w:after="283"/>
              <w:jc w:val="left"/>
              <w:rPr/>
            </w:pPr>
            <w:r>
              <w:rPr/>
              <w:t> </w:t>
            </w:r>
          </w:p>
        </w:tc>
        <w:tc>
          <w:tcPr>
            <w:tcW w:w="68"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w:t>
            </w:r>
          </w:p>
        </w:tc>
        <w:tc>
          <w:tcPr>
            <w:tcW w:w="80" w:type="dxa"/>
            <w:tcBorders/>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78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78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 to external customers</w:t>
            </w:r>
          </w:p>
        </w:tc>
        <w:tc>
          <w:tcPr>
            <w:tcW w:w="60" w:type="dxa"/>
            <w:tcBorders/>
            <w:shd w:fill="CCEEFF" w:val="clear"/>
            <w:vAlign w:val="center"/>
          </w:tcPr>
          <w:p>
            <w:pPr>
              <w:pStyle w:val="TableContents"/>
              <w:bidi w:val="0"/>
              <w:spacing w:before="0" w:after="283"/>
              <w:ind w:left="0" w:right="0" w:hanging="0"/>
              <w:jc w:val="left"/>
              <w:rPr/>
            </w:pPr>
            <w:r>
              <w:rPr/>
              <w:t> </w:t>
            </w:r>
          </w:p>
        </w:tc>
        <w:tc>
          <w:tcPr>
            <w:tcW w:w="1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87,196</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1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159,417</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16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246,613</w:t>
            </w:r>
          </w:p>
        </w:tc>
        <w:tc>
          <w:tcPr>
            <w:tcW w:w="80"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Intersegment sales</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70,747</w:t>
            </w:r>
          </w:p>
        </w:tc>
        <w:tc>
          <w:tcPr>
            <w:tcW w:w="6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70,747</w:t>
            </w:r>
          </w:p>
        </w:tc>
        <w:tc>
          <w:tcPr>
            <w:tcW w:w="80"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net sales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7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157,943</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7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159,417</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9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317,360</w:t>
            </w:r>
          </w:p>
        </w:tc>
        <w:tc>
          <w:tcPr>
            <w:tcW w:w="80"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intersegment sales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(70,747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 net sales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16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246,613</w:t>
            </w:r>
          </w:p>
        </w:tc>
        <w:tc>
          <w:tcPr>
            <w:tcW w:w="80"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7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102,789</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7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75,485</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SG&amp;A expense</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30,124</w:t>
            </w:r>
          </w:p>
        </w:tc>
        <w:tc>
          <w:tcPr>
            <w:tcW w:w="6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83,831</w:t>
            </w:r>
          </w:p>
        </w:tc>
        <w:tc>
          <w:tcPr>
            <w:tcW w:w="6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6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4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income from operations</w:t>
            </w:r>
          </w:p>
        </w:tc>
        <w:tc>
          <w:tcPr>
            <w:tcW w:w="60" w:type="dxa"/>
            <w:tcBorders/>
            <w:shd w:fill="CCEEFF" w:val="clear"/>
            <w:vAlign w:val="center"/>
          </w:tcPr>
          <w:p>
            <w:pPr>
              <w:pStyle w:val="TableContents"/>
              <w:bidi w:val="0"/>
              <w:spacing w:before="0" w:after="283"/>
              <w:ind w:left="0" w:right="0" w:hanging="0"/>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25,030</w:t>
            </w:r>
          </w:p>
        </w:tc>
        <w:tc>
          <w:tcPr>
            <w:tcW w:w="6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w:t>
            </w:r>
          </w:p>
        </w:tc>
        <w:tc>
          <w:tcPr>
            <w:tcW w:w="6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16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25,131</w:t>
            </w:r>
          </w:p>
        </w:tc>
        <w:tc>
          <w:tcPr>
            <w:tcW w:w="80"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Reconciliation of profit or loss: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Unallocated corporate expenses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9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(20,166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Elimination of intersegment loss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580</w:t>
            </w:r>
          </w:p>
        </w:tc>
        <w:tc>
          <w:tcPr>
            <w:tcW w:w="80"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 income from operations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9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5,545</w:t>
            </w:r>
          </w:p>
        </w:tc>
        <w:tc>
          <w:tcPr>
            <w:tcW w:w="80"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9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1,552</w:t>
            </w:r>
          </w:p>
        </w:tc>
        <w:tc>
          <w:tcPr>
            <w:tcW w:w="80"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loss, net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8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before income taxes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16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6,246</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18 of 37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PART I-FINANCIAL INFORMATION-CONTINUED</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BASSETT FURNITURE INDUSTRIES, INCORPORATED AND SUBSIDIARIES</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NOTES TO CONDENSED CONSOLIDATED FINANCIAL STATEMENTS-UNAUDITED</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AUGUST 29, 2026</w:t>
      </w:r>
    </w:p>
    <w:p>
      <w:pPr>
        <w:pStyle w:val="TextBody"/>
        <w:bidi w:val="0"/>
        <w:ind w:left="0" w:right="0" w:hanging="0"/>
        <w:jc w:val="center"/>
        <w:rPr>
          <w:rFonts w:ascii="Times New Roman;Times;serif" w:hAnsi="Times New Roman;Times;serif"/>
          <w:sz w:val="20"/>
          <w:u w:val="single"/>
        </w:rPr>
      </w:pPr>
      <w:r>
        <w:rPr>
          <w:rFonts w:ascii="Times New Roman;Times;serif" w:hAnsi="Times New Roman;Times;serif"/>
          <w:sz w:val="20"/>
          <w:u w:val="single"/>
        </w:rPr>
        <w:t>(Dollars in thousands except share and per share data)</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Additional segment information is as follows:</w:t>
      </w:r>
    </w:p>
    <w:p>
      <w:pPr>
        <w:pStyle w:val="TextBody"/>
        <w:bidi w:val="0"/>
        <w:spacing w:before="0" w:after="0"/>
        <w:ind w:left="0" w:right="0" w:hanging="0"/>
        <w:jc w:val="left"/>
        <w:rPr>
          <w:caps w:val="false"/>
          <w:smallCaps w:val="false"/>
        </w:rPr>
      </w:pPr>
      <w:r>
        <w:rPr>
          <w:caps w:val="false"/>
          <w:smallCaps w:val="false"/>
        </w:rPr>
        <w:t> </w:t>
      </w:r>
    </w:p>
    <w:tbl>
      <w:tblPr>
        <w:tblW w:w="8644" w:type="dxa"/>
        <w:jc w:val="left"/>
        <w:tblInd w:w="0" w:type="dxa"/>
        <w:tblLayout w:type="fixed"/>
        <w:tblCellMar>
          <w:top w:w="0" w:type="dxa"/>
          <w:left w:w="0" w:type="dxa"/>
          <w:bottom w:w="0" w:type="dxa"/>
          <w:right w:w="0" w:type="dxa"/>
        </w:tblCellMar>
      </w:tblPr>
      <w:tblGrid>
        <w:gridCol w:w="2660"/>
        <w:gridCol w:w="60"/>
        <w:gridCol w:w="280"/>
        <w:gridCol w:w="1089"/>
        <w:gridCol w:w="60"/>
        <w:gridCol w:w="60"/>
        <w:gridCol w:w="280"/>
        <w:gridCol w:w="1089"/>
        <w:gridCol w:w="60"/>
        <w:gridCol w:w="60"/>
        <w:gridCol w:w="279"/>
        <w:gridCol w:w="1090"/>
        <w:gridCol w:w="74"/>
        <w:gridCol w:w="74"/>
        <w:gridCol w:w="279"/>
        <w:gridCol w:w="1090"/>
        <w:gridCol w:w="60"/>
      </w:tblGrid>
      <w:tr>
        <w:trPr/>
        <w:tc>
          <w:tcPr>
            <w:tcW w:w="26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85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Quarter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88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r>
          </w:p>
        </w:tc>
        <w:tc>
          <w:tcPr>
            <w:tcW w:w="60" w:type="dxa"/>
            <w:tcBorders/>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August 29,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August 30,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August 29, 2026</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ind w:left="0" w:right="0" w:hanging="0"/>
              <w:jc w:val="left"/>
              <w:rPr/>
            </w:pPr>
            <w:r>
              <w:rPr/>
              <w:t> </w:t>
            </w:r>
          </w:p>
        </w:tc>
        <w:tc>
          <w:tcPr>
            <w:tcW w:w="13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August 30, 2025</w:t>
            </w:r>
          </w:p>
        </w:tc>
        <w:tc>
          <w:tcPr>
            <w:tcW w:w="60" w:type="dxa"/>
            <w:tcBorders/>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6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Wholesale</w:t>
            </w:r>
          </w:p>
        </w:tc>
        <w:tc>
          <w:tcPr>
            <w:tcW w:w="60" w:type="dxa"/>
            <w:tcBorders/>
            <w:shd w:fill="FFFFFF" w:val="clear"/>
            <w:vAlign w:val="center"/>
          </w:tcPr>
          <w:p>
            <w:pPr>
              <w:pStyle w:val="TableContents"/>
              <w:bidi w:val="0"/>
              <w:spacing w:before="0" w:after="283"/>
              <w:ind w:left="0" w:right="0" w:hanging="0"/>
              <w:jc w:val="left"/>
              <w:rPr/>
            </w:pPr>
            <w:r>
              <w:rPr/>
              <w:t> </w:t>
            </w:r>
          </w:p>
        </w:tc>
        <w:tc>
          <w:tcPr>
            <w:tcW w:w="2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1,750</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ind w:left="0" w:right="0" w:hanging="0"/>
              <w:jc w:val="left"/>
              <w:rPr/>
            </w:pPr>
            <w:r>
              <w:rPr/>
              <w:t> </w:t>
            </w:r>
          </w:p>
        </w:tc>
        <w:tc>
          <w:tcPr>
            <w:tcW w:w="27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1,749</w:t>
            </w:r>
          </w:p>
        </w:tc>
        <w:tc>
          <w:tcPr>
            <w:tcW w:w="60" w:type="dxa"/>
            <w:tcBorders/>
            <w:shd w:fill="FFFFFF" w:val="clear"/>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Retail - Company-owned stores</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ind w:left="0" w:right="0" w:hanging="0"/>
              <w:jc w:val="left"/>
              <w:rPr/>
            </w:pPr>
            <w:r>
              <w:rPr/>
              <w:t> </w:t>
            </w:r>
          </w:p>
        </w:tc>
        <w:tc>
          <w:tcPr>
            <w:tcW w:w="10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ind w:left="0" w:right="0" w:hanging="0"/>
              <w:jc w:val="left"/>
              <w:rPr/>
            </w:pPr>
            <w:r>
              <w:rPr/>
              <w:t> </w:t>
            </w:r>
          </w:p>
        </w:tc>
        <w:tc>
          <w:tcPr>
            <w:tcW w:w="10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ind w:left="0" w:right="0" w:hanging="0"/>
              <w:jc w:val="left"/>
              <w:rPr/>
            </w:pPr>
            <w:r>
              <w:rPr/>
              <w:t> </w:t>
            </w:r>
          </w:p>
        </w:tc>
        <w:tc>
          <w:tcPr>
            <w:tcW w:w="10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3,064</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ind w:left="0" w:right="0" w:hanging="0"/>
              <w:jc w:val="left"/>
              <w:rPr/>
            </w:pPr>
            <w:r>
              <w:rPr/>
              <w:t> </w:t>
            </w:r>
          </w:p>
        </w:tc>
        <w:tc>
          <w:tcPr>
            <w:tcW w:w="10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2,932</w:t>
            </w:r>
          </w:p>
        </w:tc>
        <w:tc>
          <w:tcPr>
            <w:tcW w:w="60" w:type="dxa"/>
            <w:tcBorders/>
            <w:shd w:fill="CCEEFF" w:val="clear"/>
            <w:vAlign w:val="center"/>
          </w:tcPr>
          <w:p>
            <w:pPr>
              <w:pStyle w:val="TableContents"/>
              <w:bidi w:val="0"/>
              <w:spacing w:before="0" w:after="283"/>
              <w:jc w:val="left"/>
              <w:rPr/>
            </w:pPr>
            <w:r>
              <w:rPr/>
              <w:t> </w:t>
            </w:r>
          </w:p>
        </w:tc>
      </w:tr>
      <w:tr>
        <w:trPr/>
        <w:tc>
          <w:tcPr>
            <w:tcW w:w="26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and other</w:t>
            </w:r>
          </w:p>
        </w:tc>
        <w:tc>
          <w:tcPr>
            <w:tcW w:w="60" w:type="dxa"/>
            <w:tcBorders/>
            <w:shd w:fill="FFFFFF" w:val="clear"/>
            <w:vAlign w:val="center"/>
          </w:tcPr>
          <w:p>
            <w:pPr>
              <w:pStyle w:val="TableContents"/>
              <w:bidi w:val="0"/>
              <w:spacing w:before="0" w:after="283"/>
              <w:jc w:val="left"/>
              <w:rPr/>
            </w:pPr>
            <w:r>
              <w:rPr/>
              <w:t> </w:t>
            </w:r>
          </w:p>
        </w:tc>
        <w:tc>
          <w:tcPr>
            <w:tcW w:w="2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1,933</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2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1,945</w:t>
            </w:r>
          </w:p>
        </w:tc>
        <w:tc>
          <w:tcPr>
            <w:tcW w:w="60" w:type="dxa"/>
            <w:tcBorders/>
            <w:shd w:fill="FFFFFF" w:val="clear"/>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w:t>
            </w:r>
          </w:p>
        </w:tc>
        <w:tc>
          <w:tcPr>
            <w:tcW w:w="60" w:type="dxa"/>
            <w:tcBorders/>
            <w:shd w:fill="CCEEFF" w:val="clear"/>
            <w:vAlign w:val="center"/>
          </w:tcPr>
          <w:p>
            <w:pPr>
              <w:pStyle w:val="TableContents"/>
              <w:bidi w:val="0"/>
              <w:spacing w:before="0" w:after="283"/>
              <w:ind w:left="0" w:right="0" w:hanging="0"/>
              <w:jc w:val="left"/>
              <w:rPr/>
            </w:pPr>
            <w:r>
              <w:rPr/>
              <w:t> </w:t>
            </w:r>
          </w:p>
        </w:tc>
        <w:tc>
          <w:tcPr>
            <w:tcW w:w="2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6,747</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ind w:left="0" w:right="0" w:hanging="0"/>
              <w:jc w:val="left"/>
              <w:rPr/>
            </w:pPr>
            <w:r>
              <w:rPr/>
              <w:t> </w:t>
            </w:r>
          </w:p>
        </w:tc>
        <w:tc>
          <w:tcPr>
            <w:tcW w:w="27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6,626</w:t>
            </w:r>
          </w:p>
        </w:tc>
        <w:tc>
          <w:tcPr>
            <w:tcW w:w="60" w:type="dxa"/>
            <w:tcBorders/>
            <w:shd w:fill="CCEEFF" w:val="clear"/>
            <w:vAlign w:val="center"/>
          </w:tcPr>
          <w:p>
            <w:pPr>
              <w:pStyle w:val="TableContents"/>
              <w:bidi w:val="0"/>
              <w:spacing w:before="0" w:after="283"/>
              <w:jc w:val="left"/>
              <w:rPr/>
            </w:pPr>
            <w:r>
              <w:rPr/>
              <w:t> </w:t>
            </w:r>
          </w:p>
        </w:tc>
      </w:tr>
      <w:tr>
        <w:trPr/>
        <w:tc>
          <w:tcPr>
            <w:tcW w:w="26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Capital Expenditures</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6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Wholesale</w:t>
            </w:r>
          </w:p>
        </w:tc>
        <w:tc>
          <w:tcPr>
            <w:tcW w:w="60" w:type="dxa"/>
            <w:tcBorders/>
            <w:shd w:fill="FFFFFF" w:val="clear"/>
            <w:vAlign w:val="center"/>
          </w:tcPr>
          <w:p>
            <w:pPr>
              <w:pStyle w:val="TableContents"/>
              <w:bidi w:val="0"/>
              <w:spacing w:before="0" w:after="283"/>
              <w:ind w:left="0" w:right="0" w:hanging="0"/>
              <w:jc w:val="left"/>
              <w:rPr/>
            </w:pPr>
            <w:r>
              <w:rPr/>
              <w:t> </w:t>
            </w:r>
          </w:p>
        </w:tc>
        <w:tc>
          <w:tcPr>
            <w:tcW w:w="2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2,546</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ind w:left="0" w:right="0" w:hanging="0"/>
              <w:jc w:val="left"/>
              <w:rPr/>
            </w:pPr>
            <w:r>
              <w:rPr/>
              <w:t> </w:t>
            </w:r>
          </w:p>
        </w:tc>
        <w:tc>
          <w:tcPr>
            <w:tcW w:w="27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1,525</w:t>
            </w:r>
          </w:p>
        </w:tc>
        <w:tc>
          <w:tcPr>
            <w:tcW w:w="60" w:type="dxa"/>
            <w:tcBorders/>
            <w:shd w:fill="FFFFFF" w:val="clear"/>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Retail - Company-owned stores</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ind w:left="0" w:right="0" w:hanging="0"/>
              <w:jc w:val="left"/>
              <w:rPr/>
            </w:pPr>
            <w:r>
              <w:rPr/>
              <w:t> </w:t>
            </w:r>
          </w:p>
        </w:tc>
        <w:tc>
          <w:tcPr>
            <w:tcW w:w="10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ind w:left="0" w:right="0" w:hanging="0"/>
              <w:jc w:val="left"/>
              <w:rPr/>
            </w:pPr>
            <w:r>
              <w:rPr/>
              <w:t> </w:t>
            </w:r>
          </w:p>
        </w:tc>
        <w:tc>
          <w:tcPr>
            <w:tcW w:w="10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ind w:left="0" w:right="0" w:hanging="0"/>
              <w:jc w:val="left"/>
              <w:rPr/>
            </w:pPr>
            <w:r>
              <w:rPr/>
              <w:t> </w:t>
            </w:r>
          </w:p>
        </w:tc>
        <w:tc>
          <w:tcPr>
            <w:tcW w:w="10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3,775</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ind w:left="0" w:right="0" w:hanging="0"/>
              <w:jc w:val="left"/>
              <w:rPr/>
            </w:pPr>
            <w:r>
              <w:rPr/>
              <w:t> </w:t>
            </w:r>
          </w:p>
        </w:tc>
        <w:tc>
          <w:tcPr>
            <w:tcW w:w="10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1,641</w:t>
            </w:r>
          </w:p>
        </w:tc>
        <w:tc>
          <w:tcPr>
            <w:tcW w:w="60" w:type="dxa"/>
            <w:tcBorders/>
            <w:shd w:fill="CCEEFF" w:val="clear"/>
            <w:vAlign w:val="center"/>
          </w:tcPr>
          <w:p>
            <w:pPr>
              <w:pStyle w:val="TableContents"/>
              <w:bidi w:val="0"/>
              <w:spacing w:before="0" w:after="283"/>
              <w:jc w:val="left"/>
              <w:rPr/>
            </w:pPr>
            <w:r>
              <w:rPr/>
              <w:t> </w:t>
            </w:r>
          </w:p>
        </w:tc>
      </w:tr>
      <w:tr>
        <w:trPr/>
        <w:tc>
          <w:tcPr>
            <w:tcW w:w="26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and other</w:t>
            </w:r>
          </w:p>
        </w:tc>
        <w:tc>
          <w:tcPr>
            <w:tcW w:w="60" w:type="dxa"/>
            <w:tcBorders/>
            <w:shd w:fill="FFFFFF" w:val="clear"/>
            <w:vAlign w:val="center"/>
          </w:tcPr>
          <w:p>
            <w:pPr>
              <w:pStyle w:val="TableContents"/>
              <w:bidi w:val="0"/>
              <w:spacing w:before="0" w:after="283"/>
              <w:jc w:val="left"/>
              <w:rPr/>
            </w:pPr>
            <w:r>
              <w:rPr/>
              <w:t> </w:t>
            </w:r>
          </w:p>
        </w:tc>
        <w:tc>
          <w:tcPr>
            <w:tcW w:w="2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554</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2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571</w:t>
            </w:r>
          </w:p>
        </w:tc>
        <w:tc>
          <w:tcPr>
            <w:tcW w:w="60" w:type="dxa"/>
            <w:tcBorders/>
            <w:shd w:fill="FFFFFF" w:val="clear"/>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w:t>
            </w:r>
          </w:p>
        </w:tc>
        <w:tc>
          <w:tcPr>
            <w:tcW w:w="60" w:type="dxa"/>
            <w:tcBorders/>
            <w:shd w:fill="CCEEFF" w:val="clear"/>
            <w:vAlign w:val="center"/>
          </w:tcPr>
          <w:p>
            <w:pPr>
              <w:pStyle w:val="TableContents"/>
              <w:bidi w:val="0"/>
              <w:spacing w:before="0" w:after="283"/>
              <w:ind w:left="0" w:right="0" w:hanging="0"/>
              <w:jc w:val="left"/>
              <w:rPr/>
            </w:pPr>
            <w:r>
              <w:rPr/>
              <w:t> </w:t>
            </w:r>
          </w:p>
        </w:tc>
        <w:tc>
          <w:tcPr>
            <w:tcW w:w="2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6,875</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ind w:left="0" w:right="0" w:hanging="0"/>
              <w:jc w:val="left"/>
              <w:rPr/>
            </w:pPr>
            <w:r>
              <w:rPr/>
              <w:t> </w:t>
            </w:r>
          </w:p>
        </w:tc>
        <w:tc>
          <w:tcPr>
            <w:tcW w:w="27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3,737</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5848" w:type="dxa"/>
        <w:jc w:val="left"/>
        <w:tblInd w:w="0" w:type="dxa"/>
        <w:tblLayout w:type="fixed"/>
        <w:tblCellMar>
          <w:top w:w="0" w:type="dxa"/>
          <w:left w:w="0" w:type="dxa"/>
          <w:bottom w:w="0" w:type="dxa"/>
          <w:right w:w="0" w:type="dxa"/>
        </w:tblCellMar>
      </w:tblPr>
      <w:tblGrid>
        <w:gridCol w:w="2570"/>
        <w:gridCol w:w="60"/>
        <w:gridCol w:w="208"/>
        <w:gridCol w:w="1161"/>
        <w:gridCol w:w="60"/>
        <w:gridCol w:w="60"/>
        <w:gridCol w:w="252"/>
        <w:gridCol w:w="1417"/>
        <w:gridCol w:w="60"/>
      </w:tblGrid>
      <w:tr>
        <w:trPr/>
        <w:tc>
          <w:tcPr>
            <w:tcW w:w="2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6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of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6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of</w:t>
            </w:r>
          </w:p>
        </w:tc>
        <w:tc>
          <w:tcPr>
            <w:tcW w:w="60" w:type="dxa"/>
            <w:tcBorders/>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Identifiable Assets</w:t>
            </w:r>
          </w:p>
        </w:tc>
        <w:tc>
          <w:tcPr>
            <w:tcW w:w="60" w:type="dxa"/>
            <w:tcBorders/>
            <w:vAlign w:val="center"/>
          </w:tcPr>
          <w:p>
            <w:pPr>
              <w:pStyle w:val="TableContents"/>
              <w:bidi w:val="0"/>
              <w:spacing w:before="0" w:after="283"/>
              <w:ind w:left="0" w:right="0" w:hanging="0"/>
              <w:jc w:val="left"/>
              <w:rPr/>
            </w:pPr>
            <w:r>
              <w:rPr/>
              <w:t> </w:t>
            </w:r>
          </w:p>
        </w:tc>
        <w:tc>
          <w:tcPr>
            <w:tcW w:w="13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August 29,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November 29, 2025</w:t>
            </w:r>
          </w:p>
        </w:tc>
        <w:tc>
          <w:tcPr>
            <w:tcW w:w="60" w:type="dxa"/>
            <w:tcBorders/>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Wholesale</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93,018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92,805</w:t>
            </w:r>
          </w:p>
        </w:tc>
        <w:tc>
          <w:tcPr>
            <w:tcW w:w="60" w:type="dxa"/>
            <w:tcBorders/>
            <w:shd w:fill="CCEE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Retail - Company-owned stores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11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136,528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ind w:left="0" w:right="0" w:hanging="0"/>
              <w:jc w:val="left"/>
              <w:rPr/>
            </w:pPr>
            <w:r>
              <w:rPr/>
              <w:t> </w:t>
            </w:r>
          </w:p>
        </w:tc>
        <w:tc>
          <w:tcPr>
            <w:tcW w:w="14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140,507</w:t>
            </w:r>
          </w:p>
        </w:tc>
        <w:tc>
          <w:tcPr>
            <w:tcW w:w="60" w:type="dxa"/>
            <w:tcBorders/>
            <w:shd w:fill="FFFFFF" w:val="clear"/>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and other</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82,595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90,507</w:t>
            </w:r>
          </w:p>
        </w:tc>
        <w:tc>
          <w:tcPr>
            <w:tcW w:w="60" w:type="dxa"/>
            <w:tcBorders/>
            <w:shd w:fill="CCEE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w:t>
            </w:r>
          </w:p>
        </w:tc>
        <w:tc>
          <w:tcPr>
            <w:tcW w:w="60" w:type="dxa"/>
            <w:tcBorders/>
            <w:shd w:fill="FFFF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312,141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1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323,819</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See Note 13, Revenue Recognition, for disaggregated revenue information regarding sales of furniture and accessories by product type for the wholesale and retail segments.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13. Revenue Recognition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recognize revenue when we transfer promised goods or services to our customers in an amount that reflects the consideration we expect to receive in exchange for those goods or services. For our wholesale and retail segments, revenue is recognized when control of the product transfers to the customer. At wholesale, transfer occurs and revenue is recognized upon the shipment of goods to independent dealers and licensee-owned BHF stores. At retail, transfer occurs and revenue is recognized upon delivery of goods to the customer. All wholesale and retail revenues are recorded net of estimated returns and allowances based on historical patterns. Our accounts receivable, net, which are associated with our wholesale segment, were $14,273, $14,410, $13,135 and $13,181 at August 29, 2026, November 29, 2025, August 30, 2025 and November 30, 2024, respectively. We typically collect a significant portion of the purchase price from our retail customers as a deposit upon order, with the balance typically collected at the time delivery is scheduled. These customer deposits are carried on our balance sheet as a current liability until delivery is fulfilled and amounted to $23,848, $24,969, $23,149 and $25,742 as of August 29, 2026, November 29, 2025, August 30, 2025 and November 30, 2024, respectively. Substantially all of the customer deposits held as of November 29, 2025 related to performance obligations that were satisfied during the current year-to-date period and have therefore been recognized in revenue for the nine months ended August 29, 2026. Similarly, substantially all of the customer deposits held at August 29, 2026 are expected to be recognized as revenue within the next twelve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Sales commissions are expensed as part of SG&amp;A expenses at the time revenue is recognized because the amortization period would have been one year or less. Sales commissions at wholesale are accrued upon the shipment of goods. Sales commissions at retail are accrued at the time a sale is written (i.e. – when the customer’s order is placed) and are carried as prepaid commissions in other current assets until the goods are delivered and revenue is recognized. At August 29, 2026, November 29, 2025, August 30, 2025 and November 30, 2024, our balance of prepaid commissions included in other current assets was $2,568, $2,662, $2,537 and $2,928,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exclude from revenue all amounts collected from customers for sales tax. We do not disclose amounts allocated to remaining unsatisfied performance obligations as they are expected to be satisfied within one year or 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19 of 37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PART I-FINANCIAL INFORMATION-CONTINUED</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BASSETT FURNITURE INDUSTRIES, INCORPORATED AND SUBSIDIARIES</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NOTES TO CONDENSED CONSOLIDATED FINANCIAL STATEMENTS-UNAUDITED</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AUGUST 29, 2026</w:t>
      </w:r>
    </w:p>
    <w:p>
      <w:pPr>
        <w:pStyle w:val="TextBody"/>
        <w:bidi w:val="0"/>
        <w:ind w:left="0" w:right="0" w:hanging="0"/>
        <w:jc w:val="center"/>
        <w:rPr>
          <w:rFonts w:ascii="Times New Roman;Times;serif" w:hAnsi="Times New Roman;Times;serif"/>
          <w:sz w:val="20"/>
          <w:u w:val="single"/>
        </w:rPr>
      </w:pPr>
      <w:r>
        <w:rPr>
          <w:rFonts w:ascii="Times New Roman;Times;serif" w:hAnsi="Times New Roman;Times;serif"/>
          <w:sz w:val="20"/>
          <w:u w:val="single"/>
        </w:rPr>
        <w:t>(Dollars in thousands except share and per share data)</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Disaggregated revenue information for sales of furniture and accessories by product category for the three and nine months ended August 29, 2026 and August 30, 2025, excluding intercompany transactions between our segments, is as follows:</w:t>
      </w:r>
    </w:p>
    <w:p>
      <w:pPr>
        <w:pStyle w:val="TextBody"/>
        <w:bidi w:val="0"/>
        <w:spacing w:before="0" w:after="0"/>
        <w:ind w:left="0" w:right="0" w:hanging="0"/>
        <w:jc w:val="left"/>
        <w:rPr>
          <w:caps w:val="false"/>
          <w:smallCaps w:val="false"/>
        </w:rPr>
      </w:pPr>
      <w:r>
        <w:rPr>
          <w:caps w:val="false"/>
          <w:smallCaps w:val="false"/>
        </w:rPr>
        <w:t> </w:t>
      </w:r>
    </w:p>
    <w:tbl>
      <w:tblPr>
        <w:tblW w:w="8404" w:type="dxa"/>
        <w:jc w:val="left"/>
        <w:tblInd w:w="0" w:type="dxa"/>
        <w:tblLayout w:type="fixed"/>
        <w:tblCellMar>
          <w:top w:w="0" w:type="dxa"/>
          <w:left w:w="0" w:type="dxa"/>
          <w:bottom w:w="0" w:type="dxa"/>
          <w:right w:w="0" w:type="dxa"/>
        </w:tblCellMar>
      </w:tblPr>
      <w:tblGrid>
        <w:gridCol w:w="3605"/>
        <w:gridCol w:w="60"/>
        <w:gridCol w:w="132"/>
        <w:gridCol w:w="623"/>
        <w:gridCol w:w="60"/>
        <w:gridCol w:w="60"/>
        <w:gridCol w:w="110"/>
        <w:gridCol w:w="515"/>
        <w:gridCol w:w="60"/>
        <w:gridCol w:w="60"/>
        <w:gridCol w:w="110"/>
        <w:gridCol w:w="515"/>
        <w:gridCol w:w="60"/>
        <w:gridCol w:w="60"/>
        <w:gridCol w:w="132"/>
        <w:gridCol w:w="623"/>
        <w:gridCol w:w="60"/>
        <w:gridCol w:w="60"/>
        <w:gridCol w:w="119"/>
        <w:gridCol w:w="560"/>
        <w:gridCol w:w="60"/>
        <w:gridCol w:w="60"/>
        <w:gridCol w:w="110"/>
        <w:gridCol w:w="515"/>
        <w:gridCol w:w="75"/>
      </w:tblGrid>
      <w:tr>
        <w:trPr/>
        <w:tc>
          <w:tcPr>
            <w:tcW w:w="36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664" w:type="dxa"/>
            <w:gridSpan w:val="2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Quarter Ended</w:t>
            </w:r>
          </w:p>
        </w:tc>
        <w:tc>
          <w:tcPr>
            <w:tcW w:w="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45"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August 29,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99"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August 30, 2025</w:t>
            </w:r>
          </w:p>
        </w:tc>
        <w:tc>
          <w:tcPr>
            <w:tcW w:w="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tcMar>
              <w:bottom w:w="28"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Wholesale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Retail</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Wholesale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Retail (1)</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Total</w:t>
            </w:r>
          </w:p>
        </w:tc>
        <w:tc>
          <w:tcPr>
            <w:tcW w:w="75" w:type="dxa"/>
            <w:tcBorders/>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Bassett Custom Upholstery</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2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19,759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31,064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50,823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2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18,704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9"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6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30,387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49,091</w:t>
            </w:r>
          </w:p>
        </w:tc>
        <w:tc>
          <w:tcPr>
            <w:tcW w:w="75" w:type="dxa"/>
            <w:tcBorders/>
            <w:shd w:fill="CCEEFF" w:val="clear"/>
            <w:vAlign w:val="center"/>
          </w:tcPr>
          <w:p>
            <w:pPr>
              <w:pStyle w:val="TableContents"/>
              <w:bidi w:val="0"/>
              <w:spacing w:before="0" w:after="283"/>
              <w:jc w:val="left"/>
              <w:rPr/>
            </w:pPr>
            <w:r>
              <w:rPr/>
              <w:t> </w:t>
            </w:r>
          </w:p>
        </w:tc>
      </w:tr>
      <w:tr>
        <w:trPr/>
        <w:tc>
          <w:tcPr>
            <w:tcW w:w="36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Bassett Leather Imports</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62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4,547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62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56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4,355</w:t>
            </w:r>
          </w:p>
        </w:tc>
        <w:tc>
          <w:tcPr>
            <w:tcW w:w="75" w:type="dxa"/>
            <w:tcBorders/>
            <w:shd w:fill="FFFFFF" w:val="clear"/>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Bassett Custom Wood</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62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8,017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10,643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62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56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6,783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9,452</w:t>
            </w:r>
          </w:p>
        </w:tc>
        <w:tc>
          <w:tcPr>
            <w:tcW w:w="75" w:type="dxa"/>
            <w:tcBorders/>
            <w:shd w:fill="CCEEFF" w:val="clear"/>
            <w:vAlign w:val="center"/>
          </w:tcPr>
          <w:p>
            <w:pPr>
              <w:pStyle w:val="TableContents"/>
              <w:bidi w:val="0"/>
              <w:spacing w:before="0" w:after="283"/>
              <w:jc w:val="left"/>
              <w:rPr/>
            </w:pPr>
            <w:r>
              <w:rPr/>
              <w:t> </w:t>
            </w:r>
          </w:p>
        </w:tc>
      </w:tr>
      <w:tr>
        <w:trPr/>
        <w:tc>
          <w:tcPr>
            <w:tcW w:w="36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Bassett Casegoods</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62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7,366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9,768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62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2,974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56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7,308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10,282</w:t>
            </w:r>
          </w:p>
        </w:tc>
        <w:tc>
          <w:tcPr>
            <w:tcW w:w="75" w:type="dxa"/>
            <w:tcBorders/>
            <w:shd w:fill="FFFFFF" w:val="clear"/>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Accessories, mattresses and other (2)</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7,057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7,057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6,923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6,923</w:t>
            </w:r>
          </w:p>
        </w:tc>
        <w:tc>
          <w:tcPr>
            <w:tcW w:w="75" w:type="dxa"/>
            <w:tcBorders/>
            <w:shd w:fill="CCEEFF" w:val="clear"/>
            <w:vAlign w:val="center"/>
          </w:tcPr>
          <w:p>
            <w:pPr>
              <w:pStyle w:val="TableContents"/>
              <w:bidi w:val="0"/>
              <w:spacing w:before="0" w:after="283"/>
              <w:jc w:val="left"/>
              <w:rPr/>
            </w:pPr>
            <w:r>
              <w:rPr/>
              <w:t> </w:t>
            </w:r>
          </w:p>
        </w:tc>
      </w:tr>
      <w:tr>
        <w:trPr/>
        <w:tc>
          <w:tcPr>
            <w:tcW w:w="36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Consolidated net sales of furniture and accessories</w:t>
            </w:r>
          </w:p>
        </w:tc>
        <w:tc>
          <w:tcPr>
            <w:tcW w:w="60" w:type="dxa"/>
            <w:tcBorders/>
            <w:shd w:fill="FFFF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2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28,603</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54,235</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82,838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2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28,212</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51,891</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80,103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8710" w:type="dxa"/>
        <w:jc w:val="left"/>
        <w:tblInd w:w="0" w:type="dxa"/>
        <w:tblLayout w:type="fixed"/>
        <w:tblCellMar>
          <w:top w:w="0" w:type="dxa"/>
          <w:left w:w="0" w:type="dxa"/>
          <w:bottom w:w="0" w:type="dxa"/>
          <w:right w:w="0" w:type="dxa"/>
        </w:tblCellMar>
      </w:tblPr>
      <w:tblGrid>
        <w:gridCol w:w="3605"/>
        <w:gridCol w:w="60"/>
        <w:gridCol w:w="132"/>
        <w:gridCol w:w="623"/>
        <w:gridCol w:w="60"/>
        <w:gridCol w:w="60"/>
        <w:gridCol w:w="110"/>
        <w:gridCol w:w="605"/>
        <w:gridCol w:w="60"/>
        <w:gridCol w:w="60"/>
        <w:gridCol w:w="110"/>
        <w:gridCol w:w="605"/>
        <w:gridCol w:w="60"/>
        <w:gridCol w:w="60"/>
        <w:gridCol w:w="132"/>
        <w:gridCol w:w="623"/>
        <w:gridCol w:w="60"/>
        <w:gridCol w:w="60"/>
        <w:gridCol w:w="110"/>
        <w:gridCol w:w="605"/>
        <w:gridCol w:w="60"/>
        <w:gridCol w:w="60"/>
        <w:gridCol w:w="110"/>
        <w:gridCol w:w="605"/>
        <w:gridCol w:w="75"/>
      </w:tblGrid>
      <w:tr>
        <w:trPr/>
        <w:tc>
          <w:tcPr>
            <w:tcW w:w="36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970" w:type="dxa"/>
            <w:gridSpan w:val="2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Nine Months Ended</w:t>
            </w:r>
          </w:p>
        </w:tc>
        <w:tc>
          <w:tcPr>
            <w:tcW w:w="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25"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August 29,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25"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August 30, 2025</w:t>
            </w:r>
          </w:p>
        </w:tc>
        <w:tc>
          <w:tcPr>
            <w:tcW w:w="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tcMar>
              <w:bottom w:w="28"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Wholesale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Retail</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Wholesale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Retail (1)</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Total</w:t>
            </w:r>
          </w:p>
        </w:tc>
        <w:tc>
          <w:tcPr>
            <w:tcW w:w="75" w:type="dxa"/>
            <w:tcBorders/>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Bassett Custom Upholstery</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2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56,879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92,688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149,567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2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57,555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92,572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150,127</w:t>
            </w:r>
          </w:p>
        </w:tc>
        <w:tc>
          <w:tcPr>
            <w:tcW w:w="75" w:type="dxa"/>
            <w:tcBorders/>
            <w:shd w:fill="CCEEFF" w:val="clear"/>
            <w:vAlign w:val="center"/>
          </w:tcPr>
          <w:p>
            <w:pPr>
              <w:pStyle w:val="TableContents"/>
              <w:bidi w:val="0"/>
              <w:spacing w:before="0" w:after="283"/>
              <w:jc w:val="left"/>
              <w:rPr/>
            </w:pPr>
            <w:r>
              <w:rPr/>
              <w:t> </w:t>
            </w:r>
          </w:p>
        </w:tc>
      </w:tr>
      <w:tr>
        <w:trPr/>
        <w:tc>
          <w:tcPr>
            <w:tcW w:w="36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Bassett Leather Imports</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62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11,916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13,966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62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11,894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12,952</w:t>
            </w:r>
          </w:p>
        </w:tc>
        <w:tc>
          <w:tcPr>
            <w:tcW w:w="75" w:type="dxa"/>
            <w:tcBorders/>
            <w:shd w:fill="FFFFFF" w:val="clear"/>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Bassett Custom Wood</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62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8,137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24,277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32,414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62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9,016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22,957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31,973</w:t>
            </w:r>
          </w:p>
        </w:tc>
        <w:tc>
          <w:tcPr>
            <w:tcW w:w="75" w:type="dxa"/>
            <w:tcBorders/>
            <w:shd w:fill="CCEEFF" w:val="clear"/>
            <w:vAlign w:val="center"/>
          </w:tcPr>
          <w:p>
            <w:pPr>
              <w:pStyle w:val="TableContents"/>
              <w:bidi w:val="0"/>
              <w:spacing w:before="0" w:after="283"/>
              <w:jc w:val="left"/>
              <w:rPr/>
            </w:pPr>
            <w:r>
              <w:rPr/>
              <w:t> </w:t>
            </w:r>
          </w:p>
        </w:tc>
      </w:tr>
      <w:tr>
        <w:trPr/>
        <w:tc>
          <w:tcPr>
            <w:tcW w:w="36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Bassett Casegoods</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62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7,672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22,173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29,845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62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8,731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21,031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29,762</w:t>
            </w:r>
          </w:p>
        </w:tc>
        <w:tc>
          <w:tcPr>
            <w:tcW w:w="75" w:type="dxa"/>
            <w:tcBorders/>
            <w:shd w:fill="FFFFFF" w:val="clear"/>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Accessories, mattresses and other (2)</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21,139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21,139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21,799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21,799</w:t>
            </w:r>
          </w:p>
        </w:tc>
        <w:tc>
          <w:tcPr>
            <w:tcW w:w="75" w:type="dxa"/>
            <w:tcBorders/>
            <w:shd w:fill="CCEEFF" w:val="clear"/>
            <w:vAlign w:val="center"/>
          </w:tcPr>
          <w:p>
            <w:pPr>
              <w:pStyle w:val="TableContents"/>
              <w:bidi w:val="0"/>
              <w:spacing w:before="0" w:after="283"/>
              <w:jc w:val="left"/>
              <w:rPr/>
            </w:pPr>
            <w:r>
              <w:rPr/>
              <w:t> </w:t>
            </w:r>
          </w:p>
        </w:tc>
      </w:tr>
      <w:tr>
        <w:trPr/>
        <w:tc>
          <w:tcPr>
            <w:tcW w:w="36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Consolidated net sales of furniture and accessories</w:t>
            </w:r>
          </w:p>
        </w:tc>
        <w:tc>
          <w:tcPr>
            <w:tcW w:w="60" w:type="dxa"/>
            <w:tcBorders/>
            <w:shd w:fill="FFFF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2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84,604</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162,327</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246,931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2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87,196</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159,417</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246,613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170" w:type="dxa"/>
        <w:jc w:val="left"/>
        <w:tblInd w:w="0" w:type="dxa"/>
        <w:tblLayout w:type="fixed"/>
        <w:tblCellMar>
          <w:top w:w="0" w:type="dxa"/>
          <w:left w:w="0" w:type="dxa"/>
          <w:bottom w:w="0" w:type="dxa"/>
          <w:right w:w="0" w:type="dxa"/>
        </w:tblCellMar>
      </w:tblPr>
      <w:tblGrid>
        <w:gridCol w:w="245"/>
        <w:gridCol w:w="7925"/>
      </w:tblGrid>
      <w:tr>
        <w:trPr/>
        <w:tc>
          <w:tcPr>
            <w:tcW w:w="2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792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Certain amounts within each category have been reclassified to conform to the 2026 presentation.</w:t>
            </w:r>
          </w:p>
        </w:tc>
      </w:tr>
    </w:tbl>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997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Includes the sale of goods other than Bassett-branded products, such as accessories and bedding, and also includes the sale of furniture protection plans.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20 of 37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PART I-FINANCIAL INFORMATION-CONTINUED</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BASSETT FURNITURE INDUSTRIES, INCORPORATED AND SUBSIDIARIES</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NOTES TO CONDENSED CONSOLIDATED FINANCIAL STATEMENTS-UNAUDITED</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AUGUST 29, 2026</w:t>
      </w:r>
    </w:p>
    <w:p>
      <w:pPr>
        <w:pStyle w:val="TextBody"/>
        <w:bidi w:val="0"/>
        <w:ind w:left="0" w:right="0" w:hanging="0"/>
        <w:jc w:val="center"/>
        <w:rPr>
          <w:rFonts w:ascii="Times New Roman;Times;serif" w:hAnsi="Times New Roman;Times;serif"/>
          <w:sz w:val="20"/>
          <w:u w:val="single"/>
        </w:rPr>
      </w:pPr>
      <w:r>
        <w:rPr>
          <w:rFonts w:ascii="Times New Roman;Times;serif" w:hAnsi="Times New Roman;Times;serif"/>
          <w:sz w:val="20"/>
          <w:u w:val="single"/>
        </w:rPr>
        <w:t>(Dollars in thousands except share and per share data)</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14. Changes to Stockholders</w:t>
      </w:r>
      <w:r>
        <w:rPr>
          <w:rFonts w:ascii="Times New Roman" w:hAnsi="Times New Roman"/>
          <w:caps w:val="false"/>
          <w:smallCaps w:val="false"/>
          <w:sz w:val="20"/>
        </w:rPr>
        <w:t xml:space="preserve">’ </w:t>
      </w:r>
      <w:r>
        <w:rPr>
          <w:rFonts w:ascii="Times New Roman" w:hAnsi="Times New Roman"/>
          <w:b/>
          <w:caps w:val="false"/>
          <w:smallCaps w:val="false"/>
          <w:sz w:val="20"/>
        </w:rPr>
        <w:t>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changes in our stockholders’ equity occurred during the three and nine months ended August 29, 2026 and August 30, 2025:</w:t>
      </w:r>
    </w:p>
    <w:p>
      <w:pPr>
        <w:pStyle w:val="TextBody"/>
        <w:bidi w:val="0"/>
        <w:spacing w:before="0" w:after="0"/>
        <w:ind w:left="0" w:right="0" w:hanging="0"/>
        <w:jc w:val="left"/>
        <w:rPr>
          <w:caps w:val="false"/>
          <w:smallCaps w:val="false"/>
        </w:rPr>
      </w:pPr>
      <w:r>
        <w:rPr>
          <w:caps w:val="false"/>
          <w:smallCaps w:val="false"/>
        </w:rPr>
        <w:t> </w:t>
      </w:r>
    </w:p>
    <w:tbl>
      <w:tblPr>
        <w:tblW w:w="9806" w:type="dxa"/>
        <w:jc w:val="left"/>
        <w:tblInd w:w="0" w:type="dxa"/>
        <w:tblLayout w:type="fixed"/>
        <w:tblCellMar>
          <w:top w:w="0" w:type="dxa"/>
          <w:left w:w="0" w:type="dxa"/>
          <w:bottom w:w="0" w:type="dxa"/>
          <w:right w:w="0" w:type="dxa"/>
        </w:tblCellMar>
      </w:tblPr>
      <w:tblGrid>
        <w:gridCol w:w="3770"/>
        <w:gridCol w:w="60"/>
        <w:gridCol w:w="176"/>
        <w:gridCol w:w="1193"/>
        <w:gridCol w:w="80"/>
        <w:gridCol w:w="60"/>
        <w:gridCol w:w="176"/>
        <w:gridCol w:w="1193"/>
        <w:gridCol w:w="80"/>
        <w:gridCol w:w="60"/>
        <w:gridCol w:w="176"/>
        <w:gridCol w:w="1193"/>
        <w:gridCol w:w="80"/>
        <w:gridCol w:w="60"/>
        <w:gridCol w:w="176"/>
        <w:gridCol w:w="1193"/>
        <w:gridCol w:w="80"/>
      </w:tblGrid>
      <w:tr>
        <w:trPr/>
        <w:tc>
          <w:tcPr>
            <w:tcW w:w="3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87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Quarter Ended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87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r>
          </w:p>
        </w:tc>
        <w:tc>
          <w:tcPr>
            <w:tcW w:w="80"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193"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193"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193"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193"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August 29, 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August 30, 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August 29, 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August 30, 2025</w:t>
            </w:r>
          </w:p>
        </w:tc>
        <w:tc>
          <w:tcPr>
            <w:tcW w:w="80" w:type="dxa"/>
            <w:tcBorders/>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Common Stock:</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7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43,157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43,410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43,681</w:t>
            </w:r>
          </w:p>
        </w:tc>
        <w:tc>
          <w:tcPr>
            <w:tcW w:w="8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common stock</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11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11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11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11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w:t>
            </w:r>
          </w:p>
        </w:tc>
        <w:tc>
          <w:tcPr>
            <w:tcW w:w="8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 and retirement of common stock</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9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43,198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9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43,378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9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43,198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9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43,378</w:t>
            </w:r>
          </w:p>
        </w:tc>
        <w:tc>
          <w:tcPr>
            <w:tcW w:w="8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Common Shares Issued and Outstanding:</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 of period</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11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8,631,293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11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8,681,851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11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8,651,054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11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8,736,046</w:t>
            </w:r>
          </w:p>
        </w:tc>
        <w:tc>
          <w:tcPr>
            <w:tcW w:w="8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common stock</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11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11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11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46,265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11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50,167</w:t>
            </w:r>
          </w:p>
        </w:tc>
        <w:tc>
          <w:tcPr>
            <w:tcW w:w="8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 and retirement of common stock</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(8,499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(23,311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(57,844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(110,695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 of period</w:t>
            </w:r>
          </w:p>
        </w:tc>
        <w:tc>
          <w:tcPr>
            <w:tcW w:w="60" w:type="dxa"/>
            <w:tcBorders/>
            <w:shd w:fill="CCEEFF" w:val="clear"/>
            <w:vAlign w:val="center"/>
          </w:tcPr>
          <w:p>
            <w:pPr>
              <w:pStyle w:val="TableContents"/>
              <w:bidi w:val="0"/>
              <w:spacing w:before="0" w:after="283"/>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9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8,639,475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9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8,675,518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9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8,639,475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9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8,675,518</w:t>
            </w:r>
          </w:p>
        </w:tc>
        <w:tc>
          <w:tcPr>
            <w:tcW w:w="8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Additional Paid-in Capital:</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7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common stock</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11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11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11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11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 and retirement of common stock</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11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11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11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11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based compensation</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9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9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9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9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473</w:t>
            </w:r>
          </w:p>
        </w:tc>
        <w:tc>
          <w:tcPr>
            <w:tcW w:w="8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9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9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9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9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Retained Earnings: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120,617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122,597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121,128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122,847</w:t>
            </w:r>
          </w:p>
        </w:tc>
        <w:tc>
          <w:tcPr>
            <w:tcW w:w="8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for the period</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11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11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11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11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4,573</w:t>
            </w:r>
          </w:p>
        </w:tc>
        <w:tc>
          <w:tcPr>
            <w:tcW w:w="8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 and retirement of common stock</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11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11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11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11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dividends declared and paid</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(5,179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(5,210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9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120,982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9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121,583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9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120,982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9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121,583</w:t>
            </w:r>
          </w:p>
        </w:tc>
        <w:tc>
          <w:tcPr>
            <w:tcW w:w="8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 Other Comprehensive Income:</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7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793</w:t>
            </w:r>
          </w:p>
        </w:tc>
        <w:tc>
          <w:tcPr>
            <w:tcW w:w="8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pension costs, net of tax</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9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9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9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9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9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9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9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9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757</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21 of 37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PART I-FINANCIAL INFORMATION-CONTINUED</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BASSETT FURNITURE INDUSTRIES, INCORPORATED AND SUBSIDIARIES</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NOTES TO CONDENSED CONSOLIDATED FINANCIAL STATEMENTS-UNAUDITED</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AUGUST 29, 2026</w:t>
      </w:r>
    </w:p>
    <w:p>
      <w:pPr>
        <w:pStyle w:val="TextBody"/>
        <w:bidi w:val="0"/>
        <w:ind w:left="0" w:right="0" w:hanging="0"/>
        <w:jc w:val="center"/>
        <w:rPr>
          <w:rFonts w:ascii="Times New Roman;Times;serif" w:hAnsi="Times New Roman;Times;serif"/>
          <w:sz w:val="20"/>
          <w:u w:val="single"/>
        </w:rPr>
      </w:pPr>
      <w:r>
        <w:rPr>
          <w:rFonts w:ascii="Times New Roman;Times;serif" w:hAnsi="Times New Roman;Times;serif"/>
          <w:sz w:val="20"/>
          <w:u w:val="single"/>
        </w:rPr>
        <w:t>(Dollars in thousands except share and per share data)</w:t>
      </w:r>
    </w:p>
    <w:p>
      <w:pPr>
        <w:pStyle w:val="TextBody"/>
        <w:bidi w:val="0"/>
        <w:spacing w:before="0" w:after="0"/>
        <w:ind w:left="0" w:right="0" w:hanging="0"/>
        <w:jc w:val="left"/>
        <w:rPr/>
      </w:pPr>
      <w:r>
        <w:rPr/>
        <w:t>   </w:t>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15. Recent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Effective December 1, 2024, we adopted Accounting Standards Update 2023-07 – Segment Reporting (Topic ASC 280) Improvements to Reportable Segment Disclosures. The ASU improves reportable segment disclosure requirements, primarily through enhanced disclosures about significant segment expenses. The amendments in this update require: that a public entity disclose, on an annual and interim basis, significant segment expenses that are regularly provided to the chief operating decision maker (CODM) and included within each reported measure of segment profit or loss (collectively referred to as the “significant expense principle”); and that a public entity disclose, on an annual and interim basis, an amount for other segment items by reportable segment and a description of its composition. The other segment items category is the difference between segment revenue less the segment expenses disclosed under the significant expense principle and each reported measure of segment profit or loss. The enhanced disclosures required by ASU 2023-07 are reflected in our segment disclosures in Note 12, Segments. The adoption of this guidance related solely to disclosures and did not have an impact upon our financial position or results of operations. This guidance was initially applied for our annual financial statements for the year ended November 29, 2005 and for interim periods beginning in fiscal 2026. This guidance was applied retrospectively to all periods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December 2023, the FASB issued Accounting Standards Update 2023-09 – Income Taxes (Topic ASC 740) Income Taxes. The ASU improves the transparency of income tax disclosures by requiring (1) consistent categories and greater disaggregation of information in the rate reconciliation and (2) income taxes paid disaggregated by jurisdiction. It also includes certain other amendments to improve the effectiveness of income tax disclosures. The amendments in ASU 2023-09 become effective for us as of the end of our 2026 fiscal year. We are still assessing the impact of this guidance on our disclosures and plan to adopt ASU 2023-09 for our financial statements for the year ending November 28,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November 2024, the FASB issued Accounting Standards Update 2024-03 – Income Statement – Reporting Comprehensive Income – Expense Disaggregation Disclosures (Subtopic ASC 220-40) Disaggregation of Income Statement Expenses. The amendments in this ASU require a public business entity to disclose specific information about certain costs and expenses in the notes to its financial statements for interim and annual reporting periods. The objective of the disclosure requirements is to provide disaggregated information about a public business entity's expenses to help investors (a) better understand the entity's performance, (b) better assess the entity's prospects for future cash flows, and (c) compare an entity's performance over time and with that of other entities. The amendments in ASU 2024-03 will become effective for us for our 2028 fiscal year and for interim periods beginning with our 2029 fiscal year. Early adoption is permitted. We do not expect that this guidance will have a material impact upon our financial position and results of operations.</w:t>
      </w:r>
    </w:p>
    <w:p>
      <w:pPr>
        <w:pStyle w:val="TextBody"/>
        <w:bidi w:val="0"/>
        <w:spacing w:before="0" w:after="283"/>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22 of 37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PART I-FINANCIAL INFORMATION-CONTINUED</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BASSETT FURNITURE INDUSTRIES, INCORPORATED AND SUBSIDIARIES</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AUGUST 29, 2026</w:t>
      </w:r>
    </w:p>
    <w:p>
      <w:pPr>
        <w:pStyle w:val="TextBody"/>
        <w:bidi w:val="0"/>
        <w:ind w:left="0" w:right="0" w:hanging="0"/>
        <w:jc w:val="center"/>
        <w:rPr>
          <w:rFonts w:ascii="Times New Roman;Times;serif" w:hAnsi="Times New Roman;Times;serif"/>
          <w:sz w:val="20"/>
          <w:u w:val="single"/>
        </w:rPr>
      </w:pPr>
      <w:r>
        <w:rPr>
          <w:rFonts w:ascii="Times New Roman;Times;serif" w:hAnsi="Times New Roman;Times;serif"/>
          <w:sz w:val="20"/>
          <w:u w:val="single"/>
        </w:rPr>
        <w:t>(Dollars in thousands except share and per share data)</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Item 2. MANAGEMENT'S DISCUSSION AND ANALYSIS OF FINANCIAL CONDITION AND RESULTS OF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Safe-harbor,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report contains certain forward-looking statements within the meaning of the Private Securities Litigation Reform Act of 1995 with respect to the financial condition, results of operations and business of Bassett Furniture Industries, Incorporated and subsidiaries. Such forward-looking statements are identified by use of forward-looking words such as “</w:t>
      </w:r>
      <w:r>
        <w:rPr>
          <w:rFonts w:ascii="Times New Roman" w:hAnsi="Times New Roman"/>
          <w:i/>
          <w:caps w:val="false"/>
          <w:smallCaps w:val="false"/>
          <w:sz w:val="20"/>
        </w:rPr>
        <w:t>anticipates</w:t>
      </w:r>
      <w:r>
        <w:rPr>
          <w:rFonts w:ascii="Times New Roman" w:hAnsi="Times New Roman"/>
          <w:caps w:val="false"/>
          <w:smallCaps w:val="false"/>
          <w:sz w:val="20"/>
        </w:rPr>
        <w:t>”, “</w:t>
      </w:r>
      <w:r>
        <w:rPr>
          <w:rFonts w:ascii="Times New Roman" w:hAnsi="Times New Roman"/>
          <w:i/>
          <w:caps w:val="false"/>
          <w:smallCaps w:val="false"/>
          <w:sz w:val="20"/>
        </w:rPr>
        <w:t>believes</w:t>
      </w:r>
      <w:r>
        <w:rPr>
          <w:rFonts w:ascii="Times New Roman" w:hAnsi="Times New Roman"/>
          <w:caps w:val="false"/>
          <w:smallCaps w:val="false"/>
          <w:sz w:val="20"/>
        </w:rPr>
        <w:t>”, “</w:t>
      </w:r>
      <w:r>
        <w:rPr>
          <w:rFonts w:ascii="Times New Roman" w:hAnsi="Times New Roman"/>
          <w:i/>
          <w:caps w:val="false"/>
          <w:smallCaps w:val="false"/>
          <w:sz w:val="20"/>
        </w:rPr>
        <w:t>plans</w:t>
      </w:r>
      <w:r>
        <w:rPr>
          <w:rFonts w:ascii="Times New Roman" w:hAnsi="Times New Roman"/>
          <w:caps w:val="false"/>
          <w:smallCaps w:val="false"/>
          <w:sz w:val="20"/>
        </w:rPr>
        <w:t>”, “</w:t>
      </w:r>
      <w:r>
        <w:rPr>
          <w:rFonts w:ascii="Times New Roman" w:hAnsi="Times New Roman"/>
          <w:i/>
          <w:caps w:val="false"/>
          <w:smallCaps w:val="false"/>
          <w:sz w:val="20"/>
        </w:rPr>
        <w:t>estimates</w:t>
      </w:r>
      <w:r>
        <w:rPr>
          <w:rFonts w:ascii="Times New Roman" w:hAnsi="Times New Roman"/>
          <w:caps w:val="false"/>
          <w:smallCaps w:val="false"/>
          <w:sz w:val="20"/>
        </w:rPr>
        <w:t>”, “</w:t>
      </w:r>
      <w:r>
        <w:rPr>
          <w:rFonts w:ascii="Times New Roman" w:hAnsi="Times New Roman"/>
          <w:i/>
          <w:caps w:val="false"/>
          <w:smallCaps w:val="false"/>
          <w:sz w:val="20"/>
        </w:rPr>
        <w:t>expects</w:t>
      </w:r>
      <w:r>
        <w:rPr>
          <w:rFonts w:ascii="Times New Roman" w:hAnsi="Times New Roman"/>
          <w:caps w:val="false"/>
          <w:smallCaps w:val="false"/>
          <w:sz w:val="20"/>
        </w:rPr>
        <w:t>”, “</w:t>
      </w:r>
      <w:r>
        <w:rPr>
          <w:rFonts w:ascii="Times New Roman" w:hAnsi="Times New Roman"/>
          <w:i/>
          <w:caps w:val="false"/>
          <w:smallCaps w:val="false"/>
          <w:sz w:val="20"/>
        </w:rPr>
        <w:t>aims</w:t>
      </w:r>
      <w:r>
        <w:rPr>
          <w:rFonts w:ascii="Times New Roman" w:hAnsi="Times New Roman"/>
          <w:caps w:val="false"/>
          <w:smallCaps w:val="false"/>
          <w:sz w:val="20"/>
        </w:rPr>
        <w:t>” and “</w:t>
      </w:r>
      <w:r>
        <w:rPr>
          <w:rFonts w:ascii="Times New Roman" w:hAnsi="Times New Roman"/>
          <w:i/>
          <w:caps w:val="false"/>
          <w:smallCaps w:val="false"/>
          <w:sz w:val="20"/>
        </w:rPr>
        <w:t>intends</w:t>
      </w:r>
      <w:r>
        <w:rPr>
          <w:rFonts w:ascii="Times New Roman" w:hAnsi="Times New Roman"/>
          <w:caps w:val="false"/>
          <w:smallCaps w:val="false"/>
          <w:sz w:val="20"/>
        </w:rPr>
        <w:t>” or words or phrases of similar expression. These forward-looking statements involve certain risks and uncertainties. No assurance can be given that any such matters will be realized. Important factors that could cause actual results to differ materially from those contemplated by such forward-looking statements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ind w:left="0" w:right="0" w:hanging="0"/>
              <w:jc w:val="both"/>
              <w:rPr/>
            </w:pPr>
            <w:r>
              <w:rPr/>
              <w:t>•</w:t>
            </w:r>
          </w:p>
        </w:tc>
        <w:tc>
          <w:tcPr>
            <w:tcW w:w="1009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fluctuations in the cost and availability of raw materials, fuel, labor, delivery costs and sourced products, including those which may result from supply chain disruptions and shortages, the imposition of new or increased tariffs, retaliatory tariffs, duties and trade limitations with respect to foreign-sourced products, and the economic impact of increases in the cost of fuel and materials resulting from the ongoing conflict with Iran.</w:t>
            </w:r>
          </w:p>
        </w:tc>
      </w:tr>
    </w:tbl>
    <w:p>
      <w:pPr>
        <w:pStyle w:val="TextBody"/>
        <w:bidi w:val="0"/>
        <w:spacing w:before="0" w:after="0"/>
        <w:ind w:left="0" w:right="0" w:hanging="0"/>
        <w:jc w:val="both"/>
        <w:rPr>
          <w:caps w:val="false"/>
          <w:smallCaps w:val="false"/>
        </w:rPr>
      </w:pPr>
      <w:r>
        <w:rPr>
          <w:caps w:val="false"/>
          <w:smallCaps w:val="false"/>
        </w:rPr>
        <w:t> </w:t>
      </w:r>
    </w:p>
    <w:tbl>
      <w:tblPr>
        <w:tblW w:w="4705" w:type="dxa"/>
        <w:jc w:val="left"/>
        <w:tblInd w:w="0" w:type="dxa"/>
        <w:tblLayout w:type="fixed"/>
        <w:tblCellMar>
          <w:top w:w="0" w:type="dxa"/>
          <w:left w:w="0" w:type="dxa"/>
          <w:bottom w:w="0" w:type="dxa"/>
          <w:right w:w="0" w:type="dxa"/>
        </w:tblCellMar>
      </w:tblPr>
      <w:tblGrid>
        <w:gridCol w:w="110"/>
        <w:gridCol w:w="4595"/>
      </w:tblGrid>
      <w:tr>
        <w:trPr/>
        <w:tc>
          <w:tcPr>
            <w:tcW w:w="110" w:type="dxa"/>
            <w:tcBorders/>
            <w:vAlign w:val="center"/>
          </w:tcPr>
          <w:p>
            <w:pPr>
              <w:pStyle w:val="TableContents"/>
              <w:bidi w:val="0"/>
              <w:spacing w:before="0" w:after="0"/>
              <w:ind w:left="0" w:right="0" w:hanging="0"/>
              <w:jc w:val="both"/>
              <w:rPr/>
            </w:pPr>
            <w:r>
              <w:rPr/>
              <w:t>•</w:t>
            </w:r>
          </w:p>
        </w:tc>
        <w:tc>
          <w:tcPr>
            <w:tcW w:w="459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competitive conditions in the home furnishings industry</w:t>
            </w:r>
          </w:p>
        </w:tc>
      </w:tr>
    </w:tbl>
    <w:p>
      <w:pPr>
        <w:pStyle w:val="TextBody"/>
        <w:bidi w:val="0"/>
        <w:spacing w:before="0" w:after="0"/>
        <w:ind w:left="0" w:right="0" w:hanging="0"/>
        <w:jc w:val="both"/>
        <w:rPr>
          <w:caps w:val="false"/>
          <w:smallCaps w:val="false"/>
        </w:rPr>
      </w:pPr>
      <w:r>
        <w:rPr>
          <w:caps w:val="false"/>
          <w:smallCaps w:val="false"/>
        </w:rPr>
        <w:t> </w:t>
      </w:r>
    </w:p>
    <w:tbl>
      <w:tblPr>
        <w:tblW w:w="7795" w:type="dxa"/>
        <w:jc w:val="left"/>
        <w:tblInd w:w="0" w:type="dxa"/>
        <w:tblLayout w:type="fixed"/>
        <w:tblCellMar>
          <w:top w:w="0" w:type="dxa"/>
          <w:left w:w="0" w:type="dxa"/>
          <w:bottom w:w="0" w:type="dxa"/>
          <w:right w:w="0" w:type="dxa"/>
        </w:tblCellMar>
      </w:tblPr>
      <w:tblGrid>
        <w:gridCol w:w="110"/>
        <w:gridCol w:w="7685"/>
      </w:tblGrid>
      <w:tr>
        <w:trPr/>
        <w:tc>
          <w:tcPr>
            <w:tcW w:w="110" w:type="dxa"/>
            <w:tcBorders/>
            <w:vAlign w:val="center"/>
          </w:tcPr>
          <w:p>
            <w:pPr>
              <w:pStyle w:val="TableContents"/>
              <w:bidi w:val="0"/>
              <w:spacing w:before="0" w:after="0"/>
              <w:ind w:left="0" w:right="0" w:hanging="0"/>
              <w:jc w:val="both"/>
              <w:rPr/>
            </w:pPr>
            <w:r>
              <w:rPr/>
              <w:t>•</w:t>
            </w:r>
          </w:p>
        </w:tc>
        <w:tc>
          <w:tcPr>
            <w:tcW w:w="76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overall retail traffic levels in stores and on the web and consumer demand for home furnishings</w:t>
            </w:r>
          </w:p>
        </w:tc>
      </w:tr>
    </w:tbl>
    <w:p>
      <w:pPr>
        <w:pStyle w:val="TextBody"/>
        <w:bidi w:val="0"/>
        <w:spacing w:before="0" w:after="0"/>
        <w:ind w:left="0" w:right="0" w:hanging="0"/>
        <w:jc w:val="both"/>
        <w:rPr>
          <w:caps w:val="false"/>
          <w:smallCaps w:val="false"/>
        </w:rPr>
      </w:pPr>
      <w:r>
        <w:rPr>
          <w:caps w:val="false"/>
          <w:smallCaps w:val="false"/>
        </w:rPr>
        <w:t> </w:t>
      </w:r>
    </w:p>
    <w:tbl>
      <w:tblPr>
        <w:tblW w:w="7885" w:type="dxa"/>
        <w:jc w:val="left"/>
        <w:tblInd w:w="0" w:type="dxa"/>
        <w:tblLayout w:type="fixed"/>
        <w:tblCellMar>
          <w:top w:w="0" w:type="dxa"/>
          <w:left w:w="0" w:type="dxa"/>
          <w:bottom w:w="0" w:type="dxa"/>
          <w:right w:w="0" w:type="dxa"/>
        </w:tblCellMar>
      </w:tblPr>
      <w:tblGrid>
        <w:gridCol w:w="110"/>
        <w:gridCol w:w="7775"/>
      </w:tblGrid>
      <w:tr>
        <w:trPr/>
        <w:tc>
          <w:tcPr>
            <w:tcW w:w="110" w:type="dxa"/>
            <w:tcBorders/>
            <w:vAlign w:val="center"/>
          </w:tcPr>
          <w:p>
            <w:pPr>
              <w:pStyle w:val="TableContents"/>
              <w:bidi w:val="0"/>
              <w:spacing w:before="0" w:after="0"/>
              <w:ind w:left="0" w:right="0" w:hanging="0"/>
              <w:jc w:val="both"/>
              <w:rPr/>
            </w:pPr>
            <w:r>
              <w:rPr/>
              <w:t>•</w:t>
            </w:r>
          </w:p>
        </w:tc>
        <w:tc>
          <w:tcPr>
            <w:tcW w:w="77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ability of our customers and consumers to obtain affordable credit due to increased interest rates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ind w:left="0" w:right="0" w:hanging="0"/>
              <w:jc w:val="both"/>
              <w:rPr/>
            </w:pPr>
            <w:r>
              <w:rPr/>
              <w:t>•</w:t>
            </w:r>
          </w:p>
        </w:tc>
        <w:tc>
          <w:tcPr>
            <w:tcW w:w="1009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profitability of the stores (independent licensees and Company-owned retail stores) which may result in future store closings</w:t>
            </w:r>
          </w:p>
        </w:tc>
      </w:tr>
    </w:tbl>
    <w:p>
      <w:pPr>
        <w:pStyle w:val="TextBody"/>
        <w:bidi w:val="0"/>
        <w:spacing w:before="0" w:after="0"/>
        <w:ind w:left="0" w:right="0" w:hanging="0"/>
        <w:jc w:val="both"/>
        <w:rPr>
          <w:caps w:val="false"/>
          <w:smallCaps w:val="false"/>
        </w:rPr>
      </w:pPr>
      <w:r>
        <w:rPr>
          <w:caps w:val="false"/>
          <w:smallCaps w:val="false"/>
        </w:rPr>
        <w:t> </w:t>
      </w:r>
    </w:p>
    <w:tbl>
      <w:tblPr>
        <w:tblW w:w="9460" w:type="dxa"/>
        <w:jc w:val="left"/>
        <w:tblInd w:w="0" w:type="dxa"/>
        <w:tblLayout w:type="fixed"/>
        <w:tblCellMar>
          <w:top w:w="0" w:type="dxa"/>
          <w:left w:w="0" w:type="dxa"/>
          <w:bottom w:w="0" w:type="dxa"/>
          <w:right w:w="0" w:type="dxa"/>
        </w:tblCellMar>
      </w:tblPr>
      <w:tblGrid>
        <w:gridCol w:w="110"/>
        <w:gridCol w:w="9350"/>
      </w:tblGrid>
      <w:tr>
        <w:trPr/>
        <w:tc>
          <w:tcPr>
            <w:tcW w:w="110" w:type="dxa"/>
            <w:tcBorders/>
            <w:vAlign w:val="center"/>
          </w:tcPr>
          <w:p>
            <w:pPr>
              <w:pStyle w:val="TableContents"/>
              <w:bidi w:val="0"/>
              <w:spacing w:before="0" w:after="0"/>
              <w:ind w:left="0" w:right="0" w:hanging="0"/>
              <w:jc w:val="both"/>
              <w:rPr/>
            </w:pPr>
            <w:r>
              <w:rPr/>
              <w:t>•</w:t>
            </w:r>
          </w:p>
        </w:tc>
        <w:tc>
          <w:tcPr>
            <w:tcW w:w="935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risk of additional asset impairment charges arising from the ongoing efforts to consolidate our retail warehouses</w:t>
            </w:r>
          </w:p>
        </w:tc>
      </w:tr>
    </w:tbl>
    <w:p>
      <w:pPr>
        <w:pStyle w:val="TextBody"/>
        <w:bidi w:val="0"/>
        <w:spacing w:before="0" w:after="0"/>
        <w:ind w:left="0" w:right="0" w:hanging="0"/>
        <w:jc w:val="both"/>
        <w:rPr>
          <w:caps w:val="false"/>
          <w:smallCaps w:val="false"/>
        </w:rPr>
      </w:pPr>
      <w:r>
        <w:rPr>
          <w:caps w:val="false"/>
          <w:smallCaps w:val="false"/>
        </w:rPr>
        <w:t> </w:t>
      </w:r>
    </w:p>
    <w:tbl>
      <w:tblPr>
        <w:tblW w:w="8395" w:type="dxa"/>
        <w:jc w:val="left"/>
        <w:tblInd w:w="0" w:type="dxa"/>
        <w:tblLayout w:type="fixed"/>
        <w:tblCellMar>
          <w:top w:w="0" w:type="dxa"/>
          <w:left w:w="0" w:type="dxa"/>
          <w:bottom w:w="0" w:type="dxa"/>
          <w:right w:w="0" w:type="dxa"/>
        </w:tblCellMar>
      </w:tblPr>
      <w:tblGrid>
        <w:gridCol w:w="110"/>
        <w:gridCol w:w="8285"/>
      </w:tblGrid>
      <w:tr>
        <w:trPr/>
        <w:tc>
          <w:tcPr>
            <w:tcW w:w="110" w:type="dxa"/>
            <w:tcBorders/>
            <w:vAlign w:val="center"/>
          </w:tcPr>
          <w:p>
            <w:pPr>
              <w:pStyle w:val="TableContents"/>
              <w:bidi w:val="0"/>
              <w:spacing w:before="0" w:after="0"/>
              <w:ind w:left="0" w:right="0" w:hanging="0"/>
              <w:jc w:val="both"/>
              <w:rPr/>
            </w:pPr>
            <w:r>
              <w:rPr/>
              <w:t>•</w:t>
            </w:r>
          </w:p>
        </w:tc>
        <w:tc>
          <w:tcPr>
            <w:tcW w:w="82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ability to implement our Company-owned retail strategies and realize the benefits from such strategies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ind w:left="0" w:right="0" w:hanging="0"/>
              <w:jc w:val="both"/>
              <w:rPr/>
            </w:pPr>
            <w:r>
              <w:rPr/>
              <w:t>•</w:t>
            </w:r>
          </w:p>
        </w:tc>
        <w:tc>
          <w:tcPr>
            <w:tcW w:w="1009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effectiveness and security of our information technology systems and possible disruptions due to cybersecurity threats, including any impacts from a network security incident; and the sufficiency of our insurance coverage, including cybersecurity insurance</w:t>
            </w:r>
          </w:p>
        </w:tc>
      </w:tr>
    </w:tbl>
    <w:p>
      <w:pPr>
        <w:pStyle w:val="TextBody"/>
        <w:bidi w:val="0"/>
        <w:spacing w:before="0" w:after="0"/>
        <w:ind w:left="0" w:right="0" w:hanging="0"/>
        <w:jc w:val="both"/>
        <w:rPr>
          <w:caps w:val="false"/>
          <w:smallCaps w:val="false"/>
        </w:rPr>
      </w:pPr>
      <w:r>
        <w:rPr>
          <w:caps w:val="false"/>
          <w:smallCaps w:val="false"/>
        </w:rPr>
        <w:t> </w:t>
      </w:r>
    </w:p>
    <w:tbl>
      <w:tblPr>
        <w:tblW w:w="4645" w:type="dxa"/>
        <w:jc w:val="left"/>
        <w:tblInd w:w="0" w:type="dxa"/>
        <w:tblLayout w:type="fixed"/>
        <w:tblCellMar>
          <w:top w:w="0" w:type="dxa"/>
          <w:left w:w="0" w:type="dxa"/>
          <w:bottom w:w="0" w:type="dxa"/>
          <w:right w:w="0" w:type="dxa"/>
        </w:tblCellMar>
      </w:tblPr>
      <w:tblGrid>
        <w:gridCol w:w="110"/>
        <w:gridCol w:w="4535"/>
      </w:tblGrid>
      <w:tr>
        <w:trPr/>
        <w:tc>
          <w:tcPr>
            <w:tcW w:w="110" w:type="dxa"/>
            <w:tcBorders/>
            <w:vAlign w:val="center"/>
          </w:tcPr>
          <w:p>
            <w:pPr>
              <w:pStyle w:val="TableContents"/>
              <w:bidi w:val="0"/>
              <w:spacing w:before="0" w:after="0"/>
              <w:ind w:left="0" w:right="0" w:hanging="0"/>
              <w:jc w:val="both"/>
              <w:rPr/>
            </w:pPr>
            <w:r>
              <w:rPr/>
              <w:t>•</w:t>
            </w:r>
          </w:p>
        </w:tc>
        <w:tc>
          <w:tcPr>
            <w:tcW w:w="45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future tax legislation, or regulatory or judicial positions</w:t>
            </w:r>
          </w:p>
        </w:tc>
      </w:tr>
    </w:tbl>
    <w:p>
      <w:pPr>
        <w:pStyle w:val="TextBody"/>
        <w:bidi w:val="0"/>
        <w:spacing w:before="0" w:after="0"/>
        <w:ind w:left="0" w:right="0" w:hanging="0"/>
        <w:jc w:val="both"/>
        <w:rPr>
          <w:caps w:val="false"/>
          <w:smallCaps w:val="false"/>
        </w:rPr>
      </w:pPr>
      <w:r>
        <w:rPr>
          <w:caps w:val="false"/>
          <w:smallCaps w:val="false"/>
        </w:rPr>
        <w:t> </w:t>
      </w:r>
    </w:p>
    <w:tbl>
      <w:tblPr>
        <w:tblW w:w="7195" w:type="dxa"/>
        <w:jc w:val="left"/>
        <w:tblInd w:w="0" w:type="dxa"/>
        <w:tblLayout w:type="fixed"/>
        <w:tblCellMar>
          <w:top w:w="0" w:type="dxa"/>
          <w:left w:w="0" w:type="dxa"/>
          <w:bottom w:w="0" w:type="dxa"/>
          <w:right w:w="0" w:type="dxa"/>
        </w:tblCellMar>
      </w:tblPr>
      <w:tblGrid>
        <w:gridCol w:w="110"/>
        <w:gridCol w:w="7085"/>
      </w:tblGrid>
      <w:tr>
        <w:trPr/>
        <w:tc>
          <w:tcPr>
            <w:tcW w:w="110" w:type="dxa"/>
            <w:tcBorders/>
            <w:vAlign w:val="center"/>
          </w:tcPr>
          <w:p>
            <w:pPr>
              <w:pStyle w:val="TableContents"/>
              <w:bidi w:val="0"/>
              <w:spacing w:before="0" w:after="0"/>
              <w:ind w:left="0" w:right="0" w:hanging="0"/>
              <w:jc w:val="both"/>
              <w:rPr/>
            </w:pPr>
            <w:r>
              <w:rPr/>
              <w:t>•</w:t>
            </w:r>
          </w:p>
        </w:tc>
        <w:tc>
          <w:tcPr>
            <w:tcW w:w="70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ability to efficiently manage the import supply chain to minimize business interruption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ind w:left="0" w:right="0" w:hanging="0"/>
              <w:jc w:val="both"/>
              <w:rPr/>
            </w:pPr>
            <w:r>
              <w:rPr/>
              <w:t>•</w:t>
            </w:r>
          </w:p>
        </w:tc>
        <w:tc>
          <w:tcPr>
            <w:tcW w:w="1009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concentration of domestic manufacturing, particularly of upholstery products, and the resulting exposure to business interruption from accidents, weather and other events and circumstances beyond our control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Additionally, other risks that could cause actual results to differ materially from those contemplated by such forward-looking statements are set forth in Part I, Item 1A. Risk Factors in the Company’s Annual Report on Form 10-K for the fiscal year ended November 29,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You should keep in mind that any forward-looking statement made by us in this report or elsewhere speaks only as of the date on which such forward-looking statement is made. New risks and uncertainties arise from time to time, and it is impossible for us to predict these events or how they may affect us. We have no duty to, and do not intend to, update or revise the forward-looking statements in this discussion after the date hereof, except as may be required by law. In light of these risks and uncertainties, you should keep in mind that the events described in any forward-looking statement made in this report or elsewhere might not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23 of 37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PART I-FINANCIAL INFORMATION-CONTINUED</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BASSETT FURNITURE INDUSTRIES, INCORPORATED AND SUBSIDIARIES</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AUGUST 29, 2026</w:t>
      </w:r>
    </w:p>
    <w:p>
      <w:pPr>
        <w:pStyle w:val="TextBody"/>
        <w:bidi w:val="0"/>
        <w:ind w:left="0" w:right="0" w:hanging="0"/>
        <w:jc w:val="center"/>
        <w:rPr>
          <w:rFonts w:ascii="Times New Roman;Times;serif" w:hAnsi="Times New Roman;Times;serif"/>
          <w:sz w:val="20"/>
          <w:u w:val="single"/>
        </w:rPr>
      </w:pPr>
      <w:r>
        <w:rPr>
          <w:rFonts w:ascii="Times New Roman;Times;serif" w:hAnsi="Times New Roman;Times;serif"/>
          <w:sz w:val="20"/>
          <w:u w:val="single"/>
        </w:rPr>
        <w:t>(Dollars in thousands except share and per share data)</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Overview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Bassett is a leading retailer, manufacturer and marketer of branded home furnishings. We were founded in 1902 and incorporated under the laws of Virginia in 1930. Our rich 124-year history has instilled the principles of quality, value, and integrity in everything we do, while simultaneously providing us with the expertise to respond to ever-changing consumer tastes and meet the demands of a global economy.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Approximately 60% of our wholesale sales arise from our network of 87 Company-owned and licensee-owned Bassett Home Furnishings (“BHF”) stores. Our store program is designed to provide a single source home furnishings retail store with a unique combination of stylish, quality furniture and accessories with a high level of customer service. The stores highlight our custom furniture design and manufacturing capabilities, free in-home or virtual design visits (“home makeovers”) and coordinated decorating accessories. Our philosophy is based on building strong long-term relationships with each customer. Salespeople are referred to as “Design Consultants” and are trained to evaluate customer needs and provide comprehensive solutions for their home decor. Until a rigorous training and design certification program is completed, Design Consultants are not authorized to perform in-home or virtual design services for our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Bassett also has a significant traditional wholesale business with more than 1,000 open market accounts. Most of the open market sales are through Bassett Design Centers and Bassett Custom Studios which function as a store within a multi-line store featuring the Company’s custom furniture capabilities. The wholesale business, including the Lane Venture outdoor brand, also services general furniture stores and a growing number of interior design firms through a network of over 30 independent sales representatives who have stated geographical territories. These sales representatives are compensated based on a standard commission rate. The Lane Venture outdoor brand was recently introduced in the Bassett Home Furnishings stores representing a new outlet for that brand.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consider our website to be the front door to our brand experience where customers can research our furniture and accessory offerings and subsequently buy online or engage with an in-store design consultant. We know that we are driving a significant percentage of the retail foot traffic to our store network and our open market customers through engagement with www.bassettfurniture.com. Digital outreach is the primary channel for brand advertising and customer acquisition, supplemented by balanced spending between direct mail, including catalogs, and advertising through streaming television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introduced a new web platform late in 2023 that leverages world class features including enhanced customer research capabilities and streamlined navigation. Since the debut of the new site, we have seen increased engagement with the brand through a greater number of page views per customer along with more time spent on the site. We have also seen an increase in average order value that has resulted in increased e-commerce revenue. Building on the 25% increase in web sales for fiscal 2025, written sales orders for the web increased 39% for the nine months ended August 29, 2026 while delivered sales increased 34%. Although e-commerce sales continue to be small relative to in-store sales, we will continue to invest in ongoing improvements to the aesthetics and user experience on our website while not compromising on our in-store experience or the quality of our in-home makeover capabilities.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factories in Newton, North Carolina that manufacture both stationary and motion upholstered furniture for inside the home along with our outdoor furniture offerings. We have a factory in Martinsville, Virginia that assembles and finishes our custom bedroom and dining offerings. We also have a facility in Haleyville, Alabama where we manufacture aluminum frames for our outdoor furniture.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to the furniture that we manufacture domestically, we source most of our formal bedroom and dining room furniture (casegoods) and certain leather upholstery offerings from several foreign plants, primarily in Vietnam. Over 75% of our wholesale revenues are derived from products that are manufactured in the United States using a mix of domestic and globally sourced components and raw materials.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second fiscal quarter of 2026 we acquired one retail store from a former licensee in Cherry Hill, New Jersey and opened a new Company-owned store in the Cincinnati, Ohio market. A second new Company-owned store in the Orlando, Florida market is expected to open in early October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24 of 37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PART I-FINANCIAL INFORMATION-CONTINUED</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BASSETT FURNITURE INDUSTRIES, INCORPORATED AND SUBSIDIARIES</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AUGUST 29, 2026</w:t>
      </w:r>
    </w:p>
    <w:p>
      <w:pPr>
        <w:pStyle w:val="TextBody"/>
        <w:bidi w:val="0"/>
        <w:ind w:left="0" w:right="0" w:hanging="0"/>
        <w:jc w:val="center"/>
        <w:rPr>
          <w:rFonts w:ascii="Times New Roman;Times;serif" w:hAnsi="Times New Roman;Times;serif"/>
          <w:sz w:val="20"/>
          <w:u w:val="single"/>
        </w:rPr>
      </w:pPr>
      <w:r>
        <w:rPr>
          <w:rFonts w:ascii="Times New Roman;Times;serif" w:hAnsi="Times New Roman;Times;serif"/>
          <w:sz w:val="20"/>
          <w:u w:val="single"/>
        </w:rPr>
        <w:t>(Dollars in thousands except share and per share data)</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Results of Operations </w:t>
      </w:r>
      <w:r>
        <w:rPr>
          <w:rFonts w:ascii="Times New Roman" w:hAnsi="Times New Roman"/>
          <w:caps w:val="false"/>
          <w:smallCaps w:val="false"/>
          <w:sz w:val="20"/>
        </w:rPr>
        <w:t xml:space="preserve">– </w:t>
      </w:r>
      <w:r>
        <w:rPr>
          <w:rFonts w:ascii="Times New Roman" w:hAnsi="Times New Roman"/>
          <w:b/>
          <w:caps w:val="false"/>
          <w:smallCaps w:val="false"/>
          <w:sz w:val="20"/>
        </w:rPr>
        <w:t>Period ended August 29, 2026 compared with the period ended August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Historically, housing activity, both new home sales and sales of existing homes, is a primary driver of furniture and home furnishings sales.  Since the COVID boom, housing prices have increased significantly along with the mortgage rates charged for home loans. Many homeowners are reluctant to sell their homes with the low</w:t>
        <w:noBreakHyphen/>
        <w:t>rate mortgages, and buyers are hesitant to commit amid high prices and economic uncertainty.  As a result, housing activity is significantly slower than historical trends resulting in reduced demand for furniture and home furnishings.  This has put pressure on furniture and home furnishings retailers and we have seen an increase in those retailers exiting the industry.  While our sales levels have decreased from the COVID period, we believe our sales have somewhat stabilized over the last couple of years.  In addition, we have gained efficiencies in our operations and reduced our overall expense structure to improve our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Tariff Refund: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second fiscal quarter of 2026, we received $2,832 in tariff refunds from U.S. Customs and Border Protection as a result of the U.S. Supreme Court’s February 2026 decision invalidating the tariffs imposed by the President of the United States in 2025 under the International Emergency Economic Powers Act of 1977 ("IEEPA"). Of this amount, $956 was recorded as an increase in gross profit for the third quarter with additional amounts to be recorded primarily in the fourth quarter of 2026 as the related inventory is sold. Tariff costs are capitalized into inventory at the time they are incurred and subsequently recognized in the income statement when those goods are sold to a third party. The high tariff costs which had been capitalized into inventory that was sold through the end of the third quarter of 2026 were substantially offset by the tariff refund income recognized as a reduction in the income statement during the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Consolidated results of operations for the three and nine months ended August 29, 2026 and August 30, 2025 are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50"/>
        <w:gridCol w:w="60"/>
        <w:gridCol w:w="110"/>
        <w:gridCol w:w="515"/>
        <w:gridCol w:w="60"/>
        <w:gridCol w:w="60"/>
        <w:gridCol w:w="60"/>
        <w:gridCol w:w="425"/>
        <w:gridCol w:w="155"/>
        <w:gridCol w:w="60"/>
        <w:gridCol w:w="110"/>
        <w:gridCol w:w="515"/>
        <w:gridCol w:w="60"/>
        <w:gridCol w:w="60"/>
        <w:gridCol w:w="60"/>
        <w:gridCol w:w="425"/>
        <w:gridCol w:w="155"/>
        <w:gridCol w:w="60"/>
        <w:gridCol w:w="110"/>
        <w:gridCol w:w="425"/>
        <w:gridCol w:w="60"/>
        <w:gridCol w:w="60"/>
        <w:gridCol w:w="65"/>
        <w:gridCol w:w="465"/>
        <w:gridCol w:w="155"/>
        <w:gridCol w:w="60"/>
        <w:gridCol w:w="110"/>
        <w:gridCol w:w="605"/>
        <w:gridCol w:w="60"/>
        <w:gridCol w:w="60"/>
        <w:gridCol w:w="60"/>
        <w:gridCol w:w="425"/>
        <w:gridCol w:w="155"/>
        <w:gridCol w:w="60"/>
        <w:gridCol w:w="110"/>
        <w:gridCol w:w="605"/>
        <w:gridCol w:w="60"/>
        <w:gridCol w:w="60"/>
        <w:gridCol w:w="60"/>
        <w:gridCol w:w="425"/>
        <w:gridCol w:w="155"/>
        <w:gridCol w:w="60"/>
        <w:gridCol w:w="110"/>
        <w:gridCol w:w="485"/>
        <w:gridCol w:w="80"/>
        <w:gridCol w:w="60"/>
        <w:gridCol w:w="65"/>
        <w:gridCol w:w="465"/>
        <w:gridCol w:w="170"/>
      </w:tblGrid>
      <w:tr>
        <w:trPr/>
        <w:tc>
          <w:tcPr>
            <w:tcW w:w="1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675"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Quarter Ended</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Change</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855"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Nine Months Ended</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6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Change</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3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August 29, 2026</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3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August 30, 2025</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Dollars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5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Percent</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2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August 29, 2026</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2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August 30, 2025</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Dollars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5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Percent</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46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46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1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82,838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100.0</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80,103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100.0</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4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246,931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100.0</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246,613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100.0</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4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0.1</w:t>
            </w:r>
          </w:p>
        </w:tc>
        <w:tc>
          <w:tcPr>
            <w:tcW w:w="17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Cost of goods sold</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35,222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42.5</w:t>
            </w:r>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35,109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43.8</w:t>
            </w:r>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0.3</w:t>
            </w:r>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106,803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43.3</w:t>
            </w:r>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107,880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43.7</w:t>
            </w:r>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(1,077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w:t>
            </w:r>
          </w:p>
        </w:tc>
        <w:tc>
          <w:tcPr>
            <w:tcW w:w="17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3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Gross profit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47,616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57.5</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44,994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56.2</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4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5.8</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140,128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56.7</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138,733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56.3</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4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w:t>
            </w:r>
          </w:p>
        </w:tc>
        <w:tc>
          <w:tcPr>
            <w:tcW w:w="17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SG&amp;A expenses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44,690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53.9</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44,401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55.4</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4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0.7</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133,234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54.0</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133,188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54.0</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4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0.0</w:t>
            </w:r>
          </w:p>
        </w:tc>
        <w:tc>
          <w:tcPr>
            <w:tcW w:w="17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New store pre-opening costs</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0.2</w:t>
            </w:r>
          </w:p>
        </w:tc>
        <w:tc>
          <w:tcPr>
            <w:tcW w:w="15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0.0</w:t>
            </w:r>
          </w:p>
        </w:tc>
        <w:tc>
          <w:tcPr>
            <w:tcW w:w="15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100.0</w:t>
            </w:r>
          </w:p>
        </w:tc>
        <w:tc>
          <w:tcPr>
            <w:tcW w:w="15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712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0.3</w:t>
            </w:r>
          </w:p>
        </w:tc>
        <w:tc>
          <w:tcPr>
            <w:tcW w:w="15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0.0</w:t>
            </w:r>
          </w:p>
        </w:tc>
        <w:tc>
          <w:tcPr>
            <w:tcW w:w="15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712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100.0</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46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46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1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Income from operations</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2,782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2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593</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2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0.7</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2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2,189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369.1</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6,182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2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5,545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2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637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11.5</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Analysis of Quarterly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Total sales revenue for the three months ended August 29, 2026 increased $2,735 or 3.4% over the prior year period. This consisted of a $391 or 1.4% increase in sales to external wholesale customers and a $2,344 or 4.5% increase in retail sales from our Company-owned stores.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Gross margins for the three months ended August 29, 2026 increased 130-basis points over the prior year due primarily to higher margins in the wholesale business resulting from the previously discussed IEEPA tariff refund partially offset by lower margins in the retail business. The increase in consolidated margins was also due to an increase in the portion of total sales from our retail business which carry a higher gross margin as compared to third-party wholesale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Selling, general and administrative (“SG&amp;A”) expenses (excluding new store pre-opening costs) as a percentage of sales for the three months ended August 29, 2026 decreased 150 basis points from 2025 primarily due to increased leverage of fixed costs in our retail segment due to higher sales levels coupled with reduced corporate overhead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Refer to the following discussions of quarterly results by segment for additional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25 of 37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PART I-FINANCIAL INFORMATION-CONTINUED</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BASSETT FURNITURE INDUSTRIES, INCORPORATED AND SUBSIDIARIES</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AUGUST 29, 2026</w:t>
      </w:r>
    </w:p>
    <w:p>
      <w:pPr>
        <w:pStyle w:val="TextBody"/>
        <w:bidi w:val="0"/>
        <w:ind w:left="0" w:right="0" w:hanging="0"/>
        <w:jc w:val="center"/>
        <w:rPr>
          <w:rFonts w:ascii="Times New Roman;Times;serif" w:hAnsi="Times New Roman;Times;serif"/>
          <w:sz w:val="20"/>
          <w:u w:val="single"/>
        </w:rPr>
      </w:pPr>
      <w:r>
        <w:rPr>
          <w:rFonts w:ascii="Times New Roman;Times;serif" w:hAnsi="Times New Roman;Times;serif"/>
          <w:sz w:val="20"/>
          <w:u w:val="single"/>
        </w:rPr>
        <w:t>(Dollars in thousands except share and per share data)</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Analysis of Year-to-Date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Total sales revenue for the nine months ended August 29, 2026 increased $318 or 0.1% over the prior year period. This consisted of a $2,910 or 1.8% increase in retail sales from our Company-owned stores largely offset by a $2,592 or 3.0% decrease in sales to external wholesale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Gross margins for the nine months ended August 29, 2026 increased 40 basis points over the prior year due primarily to higher margins in the wholesale business resulting from the previously discussed IEEPA tariff refund partially offset by lower margins in the retail business. The increase in consolidated margins was also due to an increase in the portion of total sales from our retail business which carry a higher gross margin as compared to third-party wholesale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SG&amp;A expenses (excluding new store pre-opening costs) as a percentage of sales for the nine months ended August 29, 2026 were flat compared to the prior year period. Excluding $698 of proceeds from business interruption insurance recorded as a reduction to SG&amp;A expense in the second quarter of 2025 as a result of a cyber incident in fiscal 2024, SG&amp;A expenses as a percentage of sales decreased 30 basis points as compared to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Refer to the following discussions of quarterly results by segment for additional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Segment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We have strategically aligned our business into two reportable segments as defined in ASC Topic 280, </w:t>
      </w:r>
      <w:r>
        <w:rPr>
          <w:rFonts w:ascii="Times New Roman" w:hAnsi="Times New Roman"/>
          <w:i/>
          <w:caps w:val="false"/>
          <w:smallCaps w:val="false"/>
          <w:sz w:val="20"/>
        </w:rPr>
        <w:t>Segment Reporting</w:t>
      </w:r>
      <w:r>
        <w:rPr>
          <w:rFonts w:ascii="Times New Roman" w:hAnsi="Times New Roman"/>
          <w:caps w:val="false"/>
          <w:smallCaps w:val="false"/>
          <w:sz w:val="20"/>
        </w:rPr>
        <w:t>, and as described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 xml:space="preserve">Wholesale. </w:t>
            </w:r>
            <w:r>
              <w:rPr>
                <w:rFonts w:ascii="Times New Roman;Times;serif" w:hAnsi="Times New Roman;Times;serif"/>
                <w:caps w:val="false"/>
                <w:smallCaps w:val="false"/>
                <w:sz w:val="20"/>
              </w:rPr>
              <w:t>The wholesale home furnishings segment is involved principally in the design, manufacture, sourcing, sale and distribution of furniture products to a network of Bassett stores (Company-owned and licensee-owned retail stores) and independent furniture retailers. Our wholesale segment includes our wood and upholstery operations, which includes Lane Venture.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 xml:space="preserve">Retail </w:t>
            </w:r>
            <w:r>
              <w:rPr>
                <w:rFonts w:ascii="Times New Roman;Times;serif" w:hAnsi="Times New Roman;Times;serif"/>
                <w:caps w:val="false"/>
                <w:smallCaps w:val="false"/>
                <w:sz w:val="20"/>
              </w:rPr>
              <w:t>– </w:t>
            </w:r>
            <w:r>
              <w:rPr>
                <w:rFonts w:ascii="Times New Roman;Times;serif" w:hAnsi="Times New Roman;Times;serif"/>
                <w:b/>
                <w:caps w:val="false"/>
                <w:smallCaps w:val="false"/>
                <w:sz w:val="20"/>
              </w:rPr>
              <w:t xml:space="preserve">Company-owned stores. </w:t>
            </w:r>
            <w:r>
              <w:rPr>
                <w:rFonts w:ascii="Times New Roman;Times;serif" w:hAnsi="Times New Roman;Times;serif"/>
                <w:caps w:val="false"/>
                <w:smallCaps w:val="false"/>
                <w:sz w:val="20"/>
              </w:rPr>
              <w:t>Our retail segment consists of Company-owned stores and includes the revenues, expenses, assets and liabilities and capital expenditures directly related to these stores and the Company-owned distribution network utilized to deliver products to our retail customers.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to the two reportable segments described above, we include our remaining business activities and assets in a reconciling category known as Corporate and other. This category includes the shared costs of corporate functions such as treasury and finance, information technology, accounting, human resources, legal and others, including certain product development and marketing functions benefiting both wholesale and retail operations. In addition to property and equipment and various other assets associated with the shared corporate functions, the identifiable assets of Corporate and other include substantially all of our cash and our investments in CDs. We consider our corporate functions to be other business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Intercompany net sales elimination represents the elimination of wholesale sales to our Company-owned stores. Intercompany income elimination includes the embedded wholesale profit in the Company-owned store inventory that has not been realized. These profits will be recorded when merchandise is delivered to the retail consumer. The intercompany income elimination also includes rent paid by our retail stores occupying Company-owned real estate.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26 of 37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PART I-FINANCIAL INFORMATION-CONTINUED</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BASSETT FURNITURE INDUSTRIES, INCORPORATED AND SUBSIDIARIES</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AUGUST 29, 2026</w:t>
      </w:r>
    </w:p>
    <w:p>
      <w:pPr>
        <w:pStyle w:val="TextBody"/>
        <w:bidi w:val="0"/>
        <w:ind w:left="0" w:right="0" w:hanging="0"/>
        <w:jc w:val="center"/>
        <w:rPr>
          <w:rFonts w:ascii="Times New Roman;Times;serif" w:hAnsi="Times New Roman;Times;serif"/>
          <w:sz w:val="20"/>
          <w:u w:val="single"/>
        </w:rPr>
      </w:pPr>
      <w:r>
        <w:rPr>
          <w:rFonts w:ascii="Times New Roman;Times;serif" w:hAnsi="Times New Roman;Times;serif"/>
          <w:sz w:val="20"/>
          <w:u w:val="single"/>
        </w:rPr>
        <w:t>(Dollars in thousands except share and per share data)</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u w:val="single"/>
        </w:rPr>
      </w:pPr>
      <w:r>
        <w:rPr>
          <w:rFonts w:ascii="Times New Roman" w:hAnsi="Times New Roman"/>
          <w:b/>
          <w:i/>
          <w:caps w:val="false"/>
          <w:smallCaps w:val="false"/>
          <w:sz w:val="20"/>
          <w:u w:val="single"/>
        </w:rPr>
        <w:t>Reconciliation of Segment Results to Consolidated Income (Loss) Before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supplement the financial measures prepared in accordance with GAAP, we present gross profit by segment inclusive of the effects of intercompany sales by our wholesale segment to our retail segment. Because these intercompany transactions are not eliminated from our segment presentations and because we do not present gross profit by segment as a measure of segment profitability in the accompanying condensed consolidated financial statements, the presentation of gross profit by segment is considered to be a non-GAAP financial measure. In addition, certain special gains or charges as well as non-operating income and expenses which are included in consolidated income (loss) before income taxes are not included in the measures of segment profitability. The reconciliation of this non-GAAP financial measure to the most directly comparable financial measure calculated and presented in accordance with GAAP is presented below along with the effects of various other intercompany eliminations on our consolidated results of operations.</w:t>
      </w:r>
    </w:p>
    <w:p>
      <w:pPr>
        <w:pStyle w:val="TextBody"/>
        <w:bidi w:val="0"/>
        <w:spacing w:before="0" w:after="0"/>
        <w:ind w:left="0" w:right="0" w:hanging="0"/>
        <w:jc w:val="both"/>
        <w:rPr>
          <w:caps w:val="false"/>
          <w:smallCaps w:val="false"/>
        </w:rPr>
      </w:pPr>
      <w:r>
        <w:rPr>
          <w:caps w:val="false"/>
          <w:smallCaps w:val="false"/>
        </w:rPr>
        <w:t> </w:t>
      </w:r>
    </w:p>
    <w:tbl>
      <w:tblPr>
        <w:tblW w:w="9958" w:type="dxa"/>
        <w:jc w:val="left"/>
        <w:tblInd w:w="0" w:type="dxa"/>
        <w:tblLayout w:type="fixed"/>
        <w:tblCellMar>
          <w:top w:w="0" w:type="dxa"/>
          <w:left w:w="0" w:type="dxa"/>
          <w:bottom w:w="0" w:type="dxa"/>
          <w:right w:w="0" w:type="dxa"/>
        </w:tblCellMar>
      </w:tblPr>
      <w:tblGrid>
        <w:gridCol w:w="2465"/>
        <w:gridCol w:w="60"/>
        <w:gridCol w:w="132"/>
        <w:gridCol w:w="623"/>
        <w:gridCol w:w="60"/>
        <w:gridCol w:w="60"/>
        <w:gridCol w:w="110"/>
        <w:gridCol w:w="515"/>
        <w:gridCol w:w="80"/>
        <w:gridCol w:w="60"/>
        <w:gridCol w:w="167"/>
        <w:gridCol w:w="737"/>
        <w:gridCol w:w="80"/>
        <w:gridCol w:w="60"/>
        <w:gridCol w:w="145"/>
        <w:gridCol w:w="760"/>
        <w:gridCol w:w="80"/>
        <w:gridCol w:w="275"/>
        <w:gridCol w:w="60"/>
        <w:gridCol w:w="306"/>
        <w:gridCol w:w="224"/>
        <w:gridCol w:w="60"/>
        <w:gridCol w:w="60"/>
        <w:gridCol w:w="263"/>
        <w:gridCol w:w="837"/>
        <w:gridCol w:w="80"/>
        <w:gridCol w:w="60"/>
        <w:gridCol w:w="253"/>
        <w:gridCol w:w="1191"/>
        <w:gridCol w:w="95"/>
      </w:tblGrid>
      <w:tr>
        <w:trPr/>
        <w:tc>
          <w:tcPr>
            <w:tcW w:w="2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338" w:type="dxa"/>
            <w:gridSpan w:val="2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Quarter Ended August 29, 2026</w:t>
            </w:r>
          </w:p>
        </w:tc>
        <w:tc>
          <w:tcPr>
            <w:tcW w:w="95" w:type="dxa"/>
            <w:tcBorders/>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44"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Non-GAAP Presentation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6"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 </w:t>
            </w:r>
          </w:p>
        </w:tc>
        <w:tc>
          <w:tcPr>
            <w:tcW w:w="837"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GAAP Presentation</w:t>
            </w:r>
          </w:p>
        </w:tc>
        <w:tc>
          <w:tcPr>
            <w:tcW w:w="95" w:type="dxa"/>
            <w:tcBorders/>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Wholesale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Retail</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Corporate &amp;</w:t>
            </w:r>
          </w:p>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Other</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Eliminations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27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5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Special</w:t>
            </w:r>
          </w:p>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Items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Non-Operating</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4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Consolidated</w:t>
            </w:r>
          </w:p>
        </w:tc>
        <w:tc>
          <w:tcPr>
            <w:tcW w:w="95" w:type="dxa"/>
            <w:tcBorders/>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6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6"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 </w:t>
            </w:r>
          </w:p>
        </w:tc>
        <w:tc>
          <w:tcPr>
            <w:tcW w:w="837"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1191"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2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53,692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54,235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3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6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(25,089</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2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(1) </w:t>
            </w:r>
          </w:p>
        </w:tc>
        <w:tc>
          <w:tcPr>
            <w:tcW w:w="60" w:type="dxa"/>
            <w:tcBorders/>
            <w:shd w:fill="CCEEFF" w:val="clear"/>
            <w:vAlign w:val="center"/>
          </w:tcPr>
          <w:p>
            <w:pPr>
              <w:pStyle w:val="TableContents"/>
              <w:bidi w:val="0"/>
              <w:spacing w:before="0" w:after="283"/>
              <w:ind w:left="0" w:right="0" w:hanging="0"/>
              <w:jc w:val="left"/>
              <w:rPr/>
            </w:pPr>
            <w:r>
              <w:rPr/>
              <w:t> </w:t>
            </w:r>
          </w:p>
        </w:tc>
        <w:tc>
          <w:tcPr>
            <w:tcW w:w="306"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22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3"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3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3"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19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82,838</w:t>
            </w:r>
          </w:p>
        </w:tc>
        <w:tc>
          <w:tcPr>
            <w:tcW w:w="95" w:type="dxa"/>
            <w:tcBorders/>
            <w:shd w:fill="CCEE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Cost of goods sold</w:t>
            </w:r>
          </w:p>
        </w:tc>
        <w:tc>
          <w:tcPr>
            <w:tcW w:w="60" w:type="dxa"/>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34,024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26,317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(25,119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27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(2)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30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35,222</w:t>
            </w:r>
          </w:p>
        </w:tc>
        <w:tc>
          <w:tcPr>
            <w:tcW w:w="95" w:type="dxa"/>
            <w:tcBorders/>
            <w:shd w:fill="FFFFFF" w:val="clear"/>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Gross profit</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62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19,668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27,918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73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w:t>
            </w:r>
          </w:p>
        </w:tc>
        <w:tc>
          <w:tcPr>
            <w:tcW w:w="8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ind w:left="0" w:right="0" w:hanging="0"/>
              <w:jc w:val="left"/>
              <w:rPr/>
            </w:pPr>
            <w:r>
              <w:rPr/>
              <w:t> </w:t>
            </w:r>
          </w:p>
        </w:tc>
        <w:tc>
          <w:tcPr>
            <w:tcW w:w="22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ind w:left="0" w:right="0" w:hanging="0"/>
              <w:jc w:val="left"/>
              <w:rPr/>
            </w:pPr>
            <w:r>
              <w:rPr/>
              <w:t> </w:t>
            </w:r>
          </w:p>
        </w:tc>
        <w:tc>
          <w:tcPr>
            <w:tcW w:w="83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ind w:left="0" w:right="0" w:hanging="0"/>
              <w:jc w:val="left"/>
              <w:rPr/>
            </w:pPr>
            <w:r>
              <w:rPr/>
              <w:t> </w:t>
            </w:r>
          </w:p>
        </w:tc>
        <w:tc>
          <w:tcPr>
            <w:tcW w:w="119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47,616</w:t>
            </w:r>
          </w:p>
        </w:tc>
        <w:tc>
          <w:tcPr>
            <w:tcW w:w="95" w:type="dxa"/>
            <w:tcBorders/>
            <w:shd w:fill="CCEE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SG&amp;A expense</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62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10,351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28,027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737"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6,620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76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(308</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2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(3) </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ind w:left="0" w:right="0" w:hanging="0"/>
              <w:jc w:val="left"/>
              <w:rPr/>
            </w:pPr>
            <w:r>
              <w:rPr/>
              <w:t> </w:t>
            </w:r>
          </w:p>
        </w:tc>
        <w:tc>
          <w:tcPr>
            <w:tcW w:w="224"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ind w:left="0" w:right="0" w:hanging="0"/>
              <w:jc w:val="left"/>
              <w:rPr/>
            </w:pPr>
            <w:r>
              <w:rPr/>
              <w:t> </w:t>
            </w:r>
          </w:p>
        </w:tc>
        <w:tc>
          <w:tcPr>
            <w:tcW w:w="837"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ind w:left="0" w:right="0" w:hanging="0"/>
              <w:jc w:val="left"/>
              <w:rPr/>
            </w:pPr>
            <w:r>
              <w:rPr/>
              <w:t> </w:t>
            </w:r>
          </w:p>
        </w:tc>
        <w:tc>
          <w:tcPr>
            <w:tcW w:w="1191"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44,690</w:t>
            </w:r>
          </w:p>
        </w:tc>
        <w:tc>
          <w:tcPr>
            <w:tcW w:w="95" w:type="dxa"/>
            <w:tcBorders/>
            <w:shd w:fill="FFFFFF" w:val="clear"/>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New store pre-opening costs</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7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30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2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6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3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144</w:t>
            </w:r>
          </w:p>
        </w:tc>
        <w:tc>
          <w:tcPr>
            <w:tcW w:w="95" w:type="dxa"/>
            <w:tcBorders/>
            <w:shd w:fill="CCEE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Income (loss) from operations</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62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9,317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(253</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737"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(6,620</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76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338</w:t>
            </w:r>
          </w:p>
        </w:tc>
        <w:tc>
          <w:tcPr>
            <w:tcW w:w="80" w:type="dxa"/>
            <w:tcBorders/>
            <w:shd w:fill="FFFFFF" w:val="clear"/>
            <w:vAlign w:val="center"/>
          </w:tcPr>
          <w:p>
            <w:pPr>
              <w:pStyle w:val="TableContents"/>
              <w:bidi w:val="0"/>
              <w:spacing w:before="0" w:after="283"/>
              <w:ind w:left="0" w:right="0" w:hanging="0"/>
              <w:jc w:val="left"/>
              <w:rPr/>
            </w:pPr>
            <w:r>
              <w:rPr/>
              <w:t> </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ind w:left="0" w:right="0" w:hanging="0"/>
              <w:jc w:val="left"/>
              <w:rPr/>
            </w:pPr>
            <w:r>
              <w:rPr/>
              <w:t> </w:t>
            </w:r>
          </w:p>
        </w:tc>
        <w:tc>
          <w:tcPr>
            <w:tcW w:w="224"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ind w:left="0" w:right="0" w:hanging="0"/>
              <w:jc w:val="left"/>
              <w:rPr/>
            </w:pPr>
            <w:r>
              <w:rPr/>
              <w:t> </w:t>
            </w:r>
          </w:p>
        </w:tc>
        <w:tc>
          <w:tcPr>
            <w:tcW w:w="837"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ind w:left="0" w:right="0" w:hanging="0"/>
              <w:jc w:val="left"/>
              <w:rPr/>
            </w:pPr>
            <w:r>
              <w:rPr/>
              <w:t> </w:t>
            </w:r>
          </w:p>
        </w:tc>
        <w:tc>
          <w:tcPr>
            <w:tcW w:w="1191"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2,782</w:t>
            </w:r>
          </w:p>
        </w:tc>
        <w:tc>
          <w:tcPr>
            <w:tcW w:w="95" w:type="dxa"/>
            <w:tcBorders/>
            <w:shd w:fill="FFFFFF" w:val="clear"/>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Interest income</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62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73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ind w:left="0" w:right="0" w:hanging="0"/>
              <w:jc w:val="lef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ind w:left="0" w:right="0" w:hanging="0"/>
              <w:jc w:val="left"/>
              <w:rPr/>
            </w:pPr>
            <w:r>
              <w:rPr/>
              <w:t> </w:t>
            </w:r>
          </w:p>
        </w:tc>
        <w:tc>
          <w:tcPr>
            <w:tcW w:w="22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ind w:left="0" w:right="0" w:hanging="0"/>
              <w:jc w:val="left"/>
              <w:rPr/>
            </w:pPr>
            <w:r>
              <w:rPr/>
              <w:t> </w:t>
            </w:r>
          </w:p>
        </w:tc>
        <w:tc>
          <w:tcPr>
            <w:tcW w:w="83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ind w:left="0" w:right="0" w:hanging="0"/>
              <w:jc w:val="left"/>
              <w:rPr/>
            </w:pPr>
            <w:r>
              <w:rPr/>
              <w:t> </w:t>
            </w:r>
          </w:p>
        </w:tc>
        <w:tc>
          <w:tcPr>
            <w:tcW w:w="119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480</w:t>
            </w:r>
          </w:p>
        </w:tc>
        <w:tc>
          <w:tcPr>
            <w:tcW w:w="95" w:type="dxa"/>
            <w:tcBorders/>
            <w:shd w:fill="CCEE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Other income, net</w:t>
            </w:r>
          </w:p>
        </w:tc>
        <w:tc>
          <w:tcPr>
            <w:tcW w:w="60" w:type="dxa"/>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30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(375</w:t>
            </w:r>
          </w:p>
        </w:tc>
        <w:tc>
          <w:tcPr>
            <w:tcW w:w="9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4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Income (loss) before income taxes</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9,317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(253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(6,620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338</w:t>
            </w:r>
          </w:p>
        </w:tc>
        <w:tc>
          <w:tcPr>
            <w:tcW w:w="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0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22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6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5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19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2,887</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9918" w:type="dxa"/>
        <w:jc w:val="left"/>
        <w:tblInd w:w="0" w:type="dxa"/>
        <w:tblLayout w:type="fixed"/>
        <w:tblCellMar>
          <w:top w:w="0" w:type="dxa"/>
          <w:left w:w="0" w:type="dxa"/>
          <w:bottom w:w="0" w:type="dxa"/>
          <w:right w:w="0" w:type="dxa"/>
        </w:tblCellMar>
      </w:tblPr>
      <w:tblGrid>
        <w:gridCol w:w="2465"/>
        <w:gridCol w:w="60"/>
        <w:gridCol w:w="132"/>
        <w:gridCol w:w="623"/>
        <w:gridCol w:w="60"/>
        <w:gridCol w:w="60"/>
        <w:gridCol w:w="110"/>
        <w:gridCol w:w="515"/>
        <w:gridCol w:w="80"/>
        <w:gridCol w:w="60"/>
        <w:gridCol w:w="167"/>
        <w:gridCol w:w="737"/>
        <w:gridCol w:w="80"/>
        <w:gridCol w:w="60"/>
        <w:gridCol w:w="145"/>
        <w:gridCol w:w="760"/>
        <w:gridCol w:w="80"/>
        <w:gridCol w:w="275"/>
        <w:gridCol w:w="60"/>
        <w:gridCol w:w="306"/>
        <w:gridCol w:w="224"/>
        <w:gridCol w:w="60"/>
        <w:gridCol w:w="60"/>
        <w:gridCol w:w="302"/>
        <w:gridCol w:w="798"/>
        <w:gridCol w:w="60"/>
        <w:gridCol w:w="60"/>
        <w:gridCol w:w="253"/>
        <w:gridCol w:w="1191"/>
        <w:gridCol w:w="75"/>
      </w:tblGrid>
      <w:tr>
        <w:trPr/>
        <w:tc>
          <w:tcPr>
            <w:tcW w:w="2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318" w:type="dxa"/>
            <w:gridSpan w:val="2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Quarter Ended August 30, 2025</w:t>
            </w:r>
          </w:p>
        </w:tc>
        <w:tc>
          <w:tcPr>
            <w:tcW w:w="75" w:type="dxa"/>
            <w:tcBorders/>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44"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Non-GAAP Presentation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6"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GAAP Presentation</w:t>
            </w:r>
          </w:p>
        </w:tc>
        <w:tc>
          <w:tcPr>
            <w:tcW w:w="75" w:type="dxa"/>
            <w:tcBorders/>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Wholesale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Retail</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Corporate &amp;</w:t>
            </w:r>
          </w:p>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Other</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Eliminations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27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5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Special</w:t>
            </w:r>
          </w:p>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Items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Non-Operating</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4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Consolidated</w:t>
            </w:r>
          </w:p>
        </w:tc>
        <w:tc>
          <w:tcPr>
            <w:tcW w:w="75" w:type="dxa"/>
            <w:tcBorders/>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6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6"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119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2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50,787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51,891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3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6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(22,575</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2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(1) </w:t>
            </w:r>
          </w:p>
        </w:tc>
        <w:tc>
          <w:tcPr>
            <w:tcW w:w="60" w:type="dxa"/>
            <w:tcBorders/>
            <w:shd w:fill="CCEEFF" w:val="clear"/>
            <w:vAlign w:val="center"/>
          </w:tcPr>
          <w:p>
            <w:pPr>
              <w:pStyle w:val="TableContents"/>
              <w:bidi w:val="0"/>
              <w:spacing w:before="0" w:after="283"/>
              <w:ind w:left="0" w:right="0" w:hanging="0"/>
              <w:jc w:val="left"/>
              <w:rPr/>
            </w:pPr>
            <w:r>
              <w:rPr/>
              <w:t> </w:t>
            </w:r>
          </w:p>
        </w:tc>
        <w:tc>
          <w:tcPr>
            <w:tcW w:w="306"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22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02"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9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3"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19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80,103</w:t>
            </w:r>
          </w:p>
        </w:tc>
        <w:tc>
          <w:tcPr>
            <w:tcW w:w="75" w:type="dxa"/>
            <w:tcBorders/>
            <w:shd w:fill="CCEE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Cost of goods sold</w:t>
            </w:r>
          </w:p>
        </w:tc>
        <w:tc>
          <w:tcPr>
            <w:tcW w:w="60" w:type="dxa"/>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32,950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24,710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(22,551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27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(2)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30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3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35,109</w:t>
            </w:r>
          </w:p>
        </w:tc>
        <w:tc>
          <w:tcPr>
            <w:tcW w:w="75" w:type="dxa"/>
            <w:tcBorders/>
            <w:shd w:fill="FFFFFF" w:val="clear"/>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Gross profit</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62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17,837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27,181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73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ind w:left="0" w:right="0" w:hanging="0"/>
              <w:jc w:val="left"/>
              <w:rPr/>
            </w:pPr>
            <w:r>
              <w:rPr/>
              <w:t> </w:t>
            </w:r>
          </w:p>
        </w:tc>
        <w:tc>
          <w:tcPr>
            <w:tcW w:w="22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ind w:left="0" w:right="0" w:hanging="0"/>
              <w:jc w:val="left"/>
              <w:rPr/>
            </w:pPr>
            <w:r>
              <w:rPr/>
              <w:t> </w:t>
            </w:r>
          </w:p>
        </w:tc>
        <w:tc>
          <w:tcPr>
            <w:tcW w:w="79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ind w:left="0" w:right="0" w:hanging="0"/>
              <w:jc w:val="left"/>
              <w:rPr/>
            </w:pPr>
            <w:r>
              <w:rPr/>
              <w:t> </w:t>
            </w:r>
          </w:p>
        </w:tc>
        <w:tc>
          <w:tcPr>
            <w:tcW w:w="119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44,994</w:t>
            </w:r>
          </w:p>
        </w:tc>
        <w:tc>
          <w:tcPr>
            <w:tcW w:w="75" w:type="dxa"/>
            <w:tcBorders/>
            <w:shd w:fill="CCEE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SG&amp;A expense</w:t>
            </w:r>
          </w:p>
        </w:tc>
        <w:tc>
          <w:tcPr>
            <w:tcW w:w="60" w:type="dxa"/>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9,782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27,514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7,419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(314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27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(3)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30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3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44,401</w:t>
            </w:r>
          </w:p>
        </w:tc>
        <w:tc>
          <w:tcPr>
            <w:tcW w:w="75" w:type="dxa"/>
            <w:tcBorders/>
            <w:shd w:fill="FFFFFF" w:val="clear"/>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Income (loss) from operations</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62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8,055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(333</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73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(7,419</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290</w:t>
            </w:r>
          </w:p>
        </w:tc>
        <w:tc>
          <w:tcPr>
            <w:tcW w:w="80" w:type="dxa"/>
            <w:tcBorders/>
            <w:shd w:fill="CCEEFF" w:val="clear"/>
            <w:vAlign w:val="center"/>
          </w:tcPr>
          <w:p>
            <w:pPr>
              <w:pStyle w:val="TableContents"/>
              <w:bidi w:val="0"/>
              <w:spacing w:before="0" w:after="283"/>
              <w:ind w:left="0" w:right="0" w:hanging="0"/>
              <w:jc w:val="lef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ind w:left="0" w:right="0" w:hanging="0"/>
              <w:jc w:val="left"/>
              <w:rPr/>
            </w:pPr>
            <w:r>
              <w:rPr/>
              <w:t> </w:t>
            </w:r>
          </w:p>
        </w:tc>
        <w:tc>
          <w:tcPr>
            <w:tcW w:w="22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ind w:left="0" w:right="0" w:hanging="0"/>
              <w:jc w:val="left"/>
              <w:rPr/>
            </w:pPr>
            <w:r>
              <w:rPr/>
              <w:t> </w:t>
            </w:r>
          </w:p>
        </w:tc>
        <w:tc>
          <w:tcPr>
            <w:tcW w:w="79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ind w:left="0" w:right="0" w:hanging="0"/>
              <w:jc w:val="left"/>
              <w:rPr/>
            </w:pPr>
            <w:r>
              <w:rPr/>
              <w:t> </w:t>
            </w:r>
          </w:p>
        </w:tc>
        <w:tc>
          <w:tcPr>
            <w:tcW w:w="119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593</w:t>
            </w:r>
          </w:p>
        </w:tc>
        <w:tc>
          <w:tcPr>
            <w:tcW w:w="75" w:type="dxa"/>
            <w:tcBorders/>
            <w:shd w:fill="CCEE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Interest income</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62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737"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76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ind w:left="0" w:right="0" w:hanging="0"/>
              <w:jc w:val="left"/>
              <w:rPr/>
            </w:pPr>
            <w:r>
              <w:rPr/>
              <w:t> </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ind w:left="0" w:right="0" w:hanging="0"/>
              <w:jc w:val="left"/>
              <w:rPr/>
            </w:pPr>
            <w:r>
              <w:rPr/>
              <w:t> </w:t>
            </w:r>
          </w:p>
        </w:tc>
        <w:tc>
          <w:tcPr>
            <w:tcW w:w="224"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ind w:left="0" w:right="0" w:hanging="0"/>
              <w:jc w:val="left"/>
              <w:rPr/>
            </w:pPr>
            <w:r>
              <w:rPr/>
              <w:t> </w:t>
            </w:r>
          </w:p>
        </w:tc>
        <w:tc>
          <w:tcPr>
            <w:tcW w:w="798"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ind w:left="0" w:right="0" w:hanging="0"/>
              <w:jc w:val="left"/>
              <w:rPr/>
            </w:pPr>
            <w:r>
              <w:rPr/>
              <w:t> </w:t>
            </w:r>
          </w:p>
        </w:tc>
        <w:tc>
          <w:tcPr>
            <w:tcW w:w="1191"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472</w:t>
            </w:r>
          </w:p>
        </w:tc>
        <w:tc>
          <w:tcPr>
            <w:tcW w:w="75" w:type="dxa"/>
            <w:tcBorders/>
            <w:shd w:fill="FFFFFF" w:val="clear"/>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Other loss, net</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7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30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2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3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w:t>
            </w:r>
          </w:p>
        </w:tc>
        <w:tc>
          <w:tcPr>
            <w:tcW w:w="75" w:type="dxa"/>
            <w:tcBorders/>
            <w:shd w:fill="CCEE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Income (loss) before income taxes</w:t>
            </w:r>
          </w:p>
        </w:tc>
        <w:tc>
          <w:tcPr>
            <w:tcW w:w="60" w:type="dxa"/>
            <w:tcBorders/>
            <w:shd w:fill="FFFF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2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8,055</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3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(7,419</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290</w:t>
            </w:r>
          </w:p>
        </w:tc>
        <w:tc>
          <w:tcPr>
            <w:tcW w:w="8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0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22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502</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5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19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1,095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27 of 37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PART I-FINANCIAL INFORMATION-CONTINUED</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BASSETT FURNITURE INDUSTRIES, INCORPORATED AND SUBSIDIARIES</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AUGUST 29, 2026</w:t>
      </w:r>
    </w:p>
    <w:p>
      <w:pPr>
        <w:pStyle w:val="TextBody"/>
        <w:bidi w:val="0"/>
        <w:ind w:left="0" w:right="0" w:hanging="0"/>
        <w:jc w:val="center"/>
        <w:rPr>
          <w:rFonts w:ascii="Times New Roman;Times;serif" w:hAnsi="Times New Roman;Times;serif"/>
          <w:sz w:val="20"/>
          <w:u w:val="single"/>
        </w:rPr>
      </w:pPr>
      <w:r>
        <w:rPr>
          <w:rFonts w:ascii="Times New Roman;Times;serif" w:hAnsi="Times New Roman;Times;serif"/>
          <w:sz w:val="20"/>
          <w:u w:val="single"/>
        </w:rPr>
        <w:t>(Dollars in thousands except share and per share data)</w:t>
      </w:r>
    </w:p>
    <w:p>
      <w:pPr>
        <w:pStyle w:val="TextBody"/>
        <w:bidi w:val="0"/>
        <w:spacing w:before="0" w:after="0"/>
        <w:ind w:left="0" w:right="0" w:hanging="0"/>
        <w:jc w:val="left"/>
        <w:rPr/>
      </w:pPr>
      <w:r>
        <w:rPr/>
        <w:t> </w:t>
      </w:r>
    </w:p>
    <w:tbl>
      <w:tblPr>
        <w:tblW w:w="10048" w:type="dxa"/>
        <w:jc w:val="left"/>
        <w:tblInd w:w="0" w:type="dxa"/>
        <w:tblLayout w:type="fixed"/>
        <w:tblCellMar>
          <w:top w:w="0" w:type="dxa"/>
          <w:left w:w="0" w:type="dxa"/>
          <w:bottom w:w="0" w:type="dxa"/>
          <w:right w:w="0" w:type="dxa"/>
        </w:tblCellMar>
      </w:tblPr>
      <w:tblGrid>
        <w:gridCol w:w="2465"/>
        <w:gridCol w:w="60"/>
        <w:gridCol w:w="116"/>
        <w:gridCol w:w="639"/>
        <w:gridCol w:w="60"/>
        <w:gridCol w:w="60"/>
        <w:gridCol w:w="110"/>
        <w:gridCol w:w="605"/>
        <w:gridCol w:w="80"/>
        <w:gridCol w:w="60"/>
        <w:gridCol w:w="144"/>
        <w:gridCol w:w="760"/>
        <w:gridCol w:w="80"/>
        <w:gridCol w:w="60"/>
        <w:gridCol w:w="145"/>
        <w:gridCol w:w="760"/>
        <w:gridCol w:w="80"/>
        <w:gridCol w:w="275"/>
        <w:gridCol w:w="60"/>
        <w:gridCol w:w="306"/>
        <w:gridCol w:w="224"/>
        <w:gridCol w:w="60"/>
        <w:gridCol w:w="60"/>
        <w:gridCol w:w="226"/>
        <w:gridCol w:w="874"/>
        <w:gridCol w:w="80"/>
        <w:gridCol w:w="60"/>
        <w:gridCol w:w="220"/>
        <w:gridCol w:w="1224"/>
        <w:gridCol w:w="95"/>
      </w:tblGrid>
      <w:tr>
        <w:trPr/>
        <w:tc>
          <w:tcPr>
            <w:tcW w:w="2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428" w:type="dxa"/>
            <w:gridSpan w:val="2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Nine Months Ended August 29, 2026</w:t>
            </w:r>
          </w:p>
        </w:tc>
        <w:tc>
          <w:tcPr>
            <w:tcW w:w="95" w:type="dxa"/>
            <w:tcBorders/>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634" w:type="dxa"/>
            <w:gridSpan w:val="10"/>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Non-GAAP Presentation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6"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74"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44"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GAAP Presentation</w:t>
            </w:r>
          </w:p>
        </w:tc>
        <w:tc>
          <w:tcPr>
            <w:tcW w:w="95" w:type="dxa"/>
            <w:tcBorders/>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Wholesale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Retail</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Corporate &amp;</w:t>
            </w:r>
          </w:p>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Other</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Eliminations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27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5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Special</w:t>
            </w:r>
          </w:p>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Items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Non-Operating</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4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Consolidated</w:t>
            </w:r>
          </w:p>
        </w:tc>
        <w:tc>
          <w:tcPr>
            <w:tcW w:w="95" w:type="dxa"/>
            <w:tcBorders/>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6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6"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74"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224"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16"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159,800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162,327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4"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6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6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(75,196</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2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(1) </w:t>
            </w:r>
          </w:p>
        </w:tc>
        <w:tc>
          <w:tcPr>
            <w:tcW w:w="60" w:type="dxa"/>
            <w:tcBorders/>
            <w:shd w:fill="CCEEFF" w:val="clear"/>
            <w:vAlign w:val="center"/>
          </w:tcPr>
          <w:p>
            <w:pPr>
              <w:pStyle w:val="TableContents"/>
              <w:bidi w:val="0"/>
              <w:spacing w:before="0" w:after="283"/>
              <w:ind w:left="0" w:right="0" w:hanging="0"/>
              <w:jc w:val="left"/>
              <w:rPr/>
            </w:pPr>
            <w:r>
              <w:rPr/>
              <w:t> </w:t>
            </w:r>
          </w:p>
        </w:tc>
        <w:tc>
          <w:tcPr>
            <w:tcW w:w="306"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22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6"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7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22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246,931</w:t>
            </w:r>
          </w:p>
        </w:tc>
        <w:tc>
          <w:tcPr>
            <w:tcW w:w="95" w:type="dxa"/>
            <w:tcBorders/>
            <w:shd w:fill="CCEE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Cost of goods sold</w:t>
            </w:r>
          </w:p>
        </w:tc>
        <w:tc>
          <w:tcPr>
            <w:tcW w:w="60" w:type="dxa"/>
            <w:tcBorders/>
            <w:shd w:fill="FFFFFF" w:val="clear"/>
            <w:vAlign w:val="center"/>
          </w:tcPr>
          <w:p>
            <w:pPr>
              <w:pStyle w:val="TableContents"/>
              <w:bidi w:val="0"/>
              <w:spacing w:before="0" w:after="283"/>
              <w:jc w:val="left"/>
              <w:rPr/>
            </w:pPr>
            <w:r>
              <w:rPr/>
              <w:t> </w:t>
            </w:r>
          </w:p>
        </w:tc>
        <w:tc>
          <w:tcPr>
            <w:tcW w:w="11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102,847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78,879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(74,923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27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(2)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30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106,803</w:t>
            </w:r>
          </w:p>
        </w:tc>
        <w:tc>
          <w:tcPr>
            <w:tcW w:w="95" w:type="dxa"/>
            <w:tcBorders/>
            <w:shd w:fill="FFFFFF" w:val="clear"/>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Gross profit</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56,953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83,448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(273</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ind w:left="0" w:right="0" w:hanging="0"/>
              <w:jc w:val="left"/>
              <w:rPr/>
            </w:pPr>
            <w:r>
              <w:rPr/>
              <w:t> </w:t>
            </w:r>
          </w:p>
        </w:tc>
        <w:tc>
          <w:tcPr>
            <w:tcW w:w="22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ind w:left="0" w:right="0" w:hanging="0"/>
              <w:jc w:val="left"/>
              <w:rPr/>
            </w:pPr>
            <w:r>
              <w:rPr/>
              <w:t> </w:t>
            </w:r>
          </w:p>
        </w:tc>
        <w:tc>
          <w:tcPr>
            <w:tcW w:w="87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122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140,128</w:t>
            </w:r>
          </w:p>
        </w:tc>
        <w:tc>
          <w:tcPr>
            <w:tcW w:w="95" w:type="dxa"/>
            <w:tcBorders/>
            <w:shd w:fill="CCEE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SG&amp;A expense</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31,013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84,354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76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18,797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76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(930</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2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(3) </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ind w:left="0" w:right="0" w:hanging="0"/>
              <w:jc w:val="left"/>
              <w:rPr/>
            </w:pPr>
            <w:r>
              <w:rPr/>
              <w:t> </w:t>
            </w:r>
          </w:p>
        </w:tc>
        <w:tc>
          <w:tcPr>
            <w:tcW w:w="224"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ind w:left="0" w:right="0" w:hanging="0"/>
              <w:jc w:val="left"/>
              <w:rPr/>
            </w:pPr>
            <w:r>
              <w:rPr/>
              <w:t> </w:t>
            </w:r>
          </w:p>
        </w:tc>
        <w:tc>
          <w:tcPr>
            <w:tcW w:w="874"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1224"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133,234</w:t>
            </w:r>
          </w:p>
        </w:tc>
        <w:tc>
          <w:tcPr>
            <w:tcW w:w="95" w:type="dxa"/>
            <w:tcBorders/>
            <w:shd w:fill="FFFFFF" w:val="clear"/>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New store pre-opening costs</w:t>
            </w:r>
          </w:p>
        </w:tc>
        <w:tc>
          <w:tcPr>
            <w:tcW w:w="60" w:type="dxa"/>
            <w:tcBorders/>
            <w:shd w:fill="CCEEFF" w:val="clear"/>
            <w:vAlign w:val="center"/>
          </w:tcPr>
          <w:p>
            <w:pPr>
              <w:pStyle w:val="TableContents"/>
              <w:bidi w:val="0"/>
              <w:spacing w:before="0" w:after="283"/>
              <w:jc w:val="left"/>
              <w:rPr/>
            </w:pPr>
            <w:r>
              <w:rPr/>
              <w:t> </w:t>
            </w:r>
          </w:p>
        </w:tc>
        <w:tc>
          <w:tcPr>
            <w:tcW w:w="11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712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7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30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2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2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712</w:t>
            </w:r>
          </w:p>
        </w:tc>
        <w:tc>
          <w:tcPr>
            <w:tcW w:w="95" w:type="dxa"/>
            <w:tcBorders/>
            <w:shd w:fill="CCEE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Income (loss) from operations</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25,940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(1,618</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76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(18,797</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76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657</w:t>
            </w:r>
          </w:p>
        </w:tc>
        <w:tc>
          <w:tcPr>
            <w:tcW w:w="80" w:type="dxa"/>
            <w:tcBorders/>
            <w:shd w:fill="FFFFFF" w:val="clear"/>
            <w:vAlign w:val="center"/>
          </w:tcPr>
          <w:p>
            <w:pPr>
              <w:pStyle w:val="TableContents"/>
              <w:bidi w:val="0"/>
              <w:spacing w:before="0" w:after="283"/>
              <w:ind w:left="0" w:right="0" w:hanging="0"/>
              <w:jc w:val="left"/>
              <w:rPr/>
            </w:pPr>
            <w:r>
              <w:rPr/>
              <w:t> </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ind w:left="0" w:right="0" w:hanging="0"/>
              <w:jc w:val="left"/>
              <w:rPr/>
            </w:pPr>
            <w:r>
              <w:rPr/>
              <w:t> </w:t>
            </w:r>
          </w:p>
        </w:tc>
        <w:tc>
          <w:tcPr>
            <w:tcW w:w="224"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ind w:left="0" w:right="0" w:hanging="0"/>
              <w:jc w:val="left"/>
              <w:rPr/>
            </w:pPr>
            <w:r>
              <w:rPr/>
              <w:t> </w:t>
            </w:r>
          </w:p>
        </w:tc>
        <w:tc>
          <w:tcPr>
            <w:tcW w:w="874"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1224"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6,182</w:t>
            </w:r>
          </w:p>
        </w:tc>
        <w:tc>
          <w:tcPr>
            <w:tcW w:w="95" w:type="dxa"/>
            <w:tcBorders/>
            <w:shd w:fill="FFFFFF" w:val="clear"/>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Interest income</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ind w:left="0" w:right="0" w:hanging="0"/>
              <w:jc w:val="lef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ind w:left="0" w:right="0" w:hanging="0"/>
              <w:jc w:val="left"/>
              <w:rPr/>
            </w:pPr>
            <w:r>
              <w:rPr/>
              <w:t> </w:t>
            </w:r>
          </w:p>
        </w:tc>
        <w:tc>
          <w:tcPr>
            <w:tcW w:w="22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ind w:left="0" w:right="0" w:hanging="0"/>
              <w:jc w:val="left"/>
              <w:rPr/>
            </w:pPr>
            <w:r>
              <w:rPr/>
              <w:t> </w:t>
            </w:r>
          </w:p>
        </w:tc>
        <w:tc>
          <w:tcPr>
            <w:tcW w:w="87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122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1,479</w:t>
            </w:r>
          </w:p>
        </w:tc>
        <w:tc>
          <w:tcPr>
            <w:tcW w:w="95" w:type="dxa"/>
            <w:tcBorders/>
            <w:shd w:fill="CCEE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Other loss, net</w:t>
            </w:r>
          </w:p>
        </w:tc>
        <w:tc>
          <w:tcPr>
            <w:tcW w:w="60" w:type="dxa"/>
            <w:tcBorders/>
            <w:shd w:fill="FFFFFF" w:val="clear"/>
            <w:vAlign w:val="center"/>
          </w:tcPr>
          <w:p>
            <w:pPr>
              <w:pStyle w:val="TableContents"/>
              <w:bidi w:val="0"/>
              <w:spacing w:before="0" w:after="283"/>
              <w:jc w:val="left"/>
              <w:rPr/>
            </w:pPr>
            <w:r>
              <w:rPr/>
              <w:t> </w:t>
            </w:r>
          </w:p>
        </w:tc>
        <w:tc>
          <w:tcPr>
            <w:tcW w:w="11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30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(480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(480</w:t>
            </w:r>
          </w:p>
        </w:tc>
        <w:tc>
          <w:tcPr>
            <w:tcW w:w="9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4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Income (loss) before income taxes</w:t>
            </w:r>
          </w:p>
        </w:tc>
        <w:tc>
          <w:tcPr>
            <w:tcW w:w="60" w:type="dxa"/>
            <w:tcBorders/>
            <w:shd w:fill="CCEEFF" w:val="clear"/>
            <w:vAlign w:val="center"/>
          </w:tcPr>
          <w:p>
            <w:pPr>
              <w:pStyle w:val="TableContents"/>
              <w:bidi w:val="0"/>
              <w:spacing w:before="0" w:after="283"/>
              <w:ind w:left="0" w:right="0" w:hanging="0"/>
              <w:jc w:val="left"/>
              <w:rPr/>
            </w:pPr>
            <w:r>
              <w:rPr/>
              <w:t> </w:t>
            </w:r>
          </w:p>
        </w:tc>
        <w:tc>
          <w:tcPr>
            <w:tcW w:w="11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3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25,940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(1,618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(18,797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657</w:t>
            </w:r>
          </w:p>
        </w:tc>
        <w:tc>
          <w:tcPr>
            <w:tcW w:w="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0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22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7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999</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22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7,181</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10028" w:type="dxa"/>
        <w:jc w:val="left"/>
        <w:tblInd w:w="0" w:type="dxa"/>
        <w:tblLayout w:type="fixed"/>
        <w:tblCellMar>
          <w:top w:w="0" w:type="dxa"/>
          <w:left w:w="0" w:type="dxa"/>
          <w:bottom w:w="0" w:type="dxa"/>
          <w:right w:w="0" w:type="dxa"/>
        </w:tblCellMar>
      </w:tblPr>
      <w:tblGrid>
        <w:gridCol w:w="2465"/>
        <w:gridCol w:w="60"/>
        <w:gridCol w:w="116"/>
        <w:gridCol w:w="639"/>
        <w:gridCol w:w="60"/>
        <w:gridCol w:w="60"/>
        <w:gridCol w:w="110"/>
        <w:gridCol w:w="605"/>
        <w:gridCol w:w="60"/>
        <w:gridCol w:w="60"/>
        <w:gridCol w:w="144"/>
        <w:gridCol w:w="760"/>
        <w:gridCol w:w="80"/>
        <w:gridCol w:w="60"/>
        <w:gridCol w:w="145"/>
        <w:gridCol w:w="760"/>
        <w:gridCol w:w="80"/>
        <w:gridCol w:w="275"/>
        <w:gridCol w:w="60"/>
        <w:gridCol w:w="306"/>
        <w:gridCol w:w="224"/>
        <w:gridCol w:w="60"/>
        <w:gridCol w:w="60"/>
        <w:gridCol w:w="226"/>
        <w:gridCol w:w="874"/>
        <w:gridCol w:w="80"/>
        <w:gridCol w:w="60"/>
        <w:gridCol w:w="220"/>
        <w:gridCol w:w="1224"/>
        <w:gridCol w:w="95"/>
      </w:tblGrid>
      <w:tr>
        <w:trPr/>
        <w:tc>
          <w:tcPr>
            <w:tcW w:w="2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408" w:type="dxa"/>
            <w:gridSpan w:val="2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Nine Months Ended August 30, 2025</w:t>
            </w:r>
          </w:p>
        </w:tc>
        <w:tc>
          <w:tcPr>
            <w:tcW w:w="95" w:type="dxa"/>
            <w:tcBorders/>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614"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Non-GAAP Presentation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6"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74"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GAAP Presentation</w:t>
            </w:r>
          </w:p>
        </w:tc>
        <w:tc>
          <w:tcPr>
            <w:tcW w:w="95" w:type="dxa"/>
            <w:tcBorders/>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Wholesale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Retail</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Corporate &amp;</w:t>
            </w:r>
          </w:p>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Other</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Eliminations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27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5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Special</w:t>
            </w:r>
          </w:p>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Items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Non-Operating</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4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Consolidated</w:t>
            </w:r>
          </w:p>
        </w:tc>
        <w:tc>
          <w:tcPr>
            <w:tcW w:w="95" w:type="dxa"/>
            <w:tcBorders/>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6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6"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74"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224"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16"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157,943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159,417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4"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6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6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(70,747</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2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(1) </w:t>
            </w:r>
          </w:p>
        </w:tc>
        <w:tc>
          <w:tcPr>
            <w:tcW w:w="60" w:type="dxa"/>
            <w:tcBorders/>
            <w:shd w:fill="CCEEFF" w:val="clear"/>
            <w:vAlign w:val="center"/>
          </w:tcPr>
          <w:p>
            <w:pPr>
              <w:pStyle w:val="TableContents"/>
              <w:bidi w:val="0"/>
              <w:spacing w:before="0" w:after="283"/>
              <w:ind w:left="0" w:right="0" w:hanging="0"/>
              <w:jc w:val="left"/>
              <w:rPr/>
            </w:pPr>
            <w:r>
              <w:rPr/>
              <w:t> </w:t>
            </w:r>
          </w:p>
        </w:tc>
        <w:tc>
          <w:tcPr>
            <w:tcW w:w="306"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22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6"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7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22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246,613</w:t>
            </w:r>
          </w:p>
        </w:tc>
        <w:tc>
          <w:tcPr>
            <w:tcW w:w="95" w:type="dxa"/>
            <w:tcBorders/>
            <w:shd w:fill="CCEE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Cost of goods sold</w:t>
            </w:r>
          </w:p>
        </w:tc>
        <w:tc>
          <w:tcPr>
            <w:tcW w:w="60" w:type="dxa"/>
            <w:tcBorders/>
            <w:shd w:fill="FFFFFF" w:val="clear"/>
            <w:vAlign w:val="center"/>
          </w:tcPr>
          <w:p>
            <w:pPr>
              <w:pStyle w:val="TableContents"/>
              <w:bidi w:val="0"/>
              <w:spacing w:before="0" w:after="283"/>
              <w:jc w:val="left"/>
              <w:rPr/>
            </w:pPr>
            <w:r>
              <w:rPr/>
              <w:t> </w:t>
            </w:r>
          </w:p>
        </w:tc>
        <w:tc>
          <w:tcPr>
            <w:tcW w:w="11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102,789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75,485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(70,394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27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(2)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30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107,880</w:t>
            </w:r>
          </w:p>
        </w:tc>
        <w:tc>
          <w:tcPr>
            <w:tcW w:w="95" w:type="dxa"/>
            <w:tcBorders/>
            <w:shd w:fill="FFFFFF" w:val="clear"/>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Gross profit</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55,154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83,932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(353</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ind w:left="0" w:right="0" w:hanging="0"/>
              <w:jc w:val="left"/>
              <w:rPr/>
            </w:pPr>
            <w:r>
              <w:rPr/>
              <w:t> </w:t>
            </w:r>
          </w:p>
        </w:tc>
        <w:tc>
          <w:tcPr>
            <w:tcW w:w="22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ind w:left="0" w:right="0" w:hanging="0"/>
              <w:jc w:val="left"/>
              <w:rPr/>
            </w:pPr>
            <w:r>
              <w:rPr/>
              <w:t> </w:t>
            </w:r>
          </w:p>
        </w:tc>
        <w:tc>
          <w:tcPr>
            <w:tcW w:w="87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122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138,733</w:t>
            </w:r>
          </w:p>
        </w:tc>
        <w:tc>
          <w:tcPr>
            <w:tcW w:w="95" w:type="dxa"/>
            <w:tcBorders/>
            <w:shd w:fill="CCEE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SG&amp;A expense</w:t>
            </w:r>
          </w:p>
        </w:tc>
        <w:tc>
          <w:tcPr>
            <w:tcW w:w="60" w:type="dxa"/>
            <w:tcBorders/>
            <w:shd w:fill="FFFFFF" w:val="clear"/>
            <w:vAlign w:val="center"/>
          </w:tcPr>
          <w:p>
            <w:pPr>
              <w:pStyle w:val="TableContents"/>
              <w:bidi w:val="0"/>
              <w:spacing w:before="0" w:after="283"/>
              <w:jc w:val="left"/>
              <w:rPr/>
            </w:pPr>
            <w:r>
              <w:rPr/>
              <w:t> </w:t>
            </w:r>
          </w:p>
        </w:tc>
        <w:tc>
          <w:tcPr>
            <w:tcW w:w="11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30,124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83,831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20,166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(933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27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(3)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30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133,188</w:t>
            </w:r>
          </w:p>
        </w:tc>
        <w:tc>
          <w:tcPr>
            <w:tcW w:w="95" w:type="dxa"/>
            <w:tcBorders/>
            <w:shd w:fill="FFFFFF" w:val="clear"/>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Income (loss) from operations</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25,030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(20,166</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580</w:t>
            </w:r>
          </w:p>
        </w:tc>
        <w:tc>
          <w:tcPr>
            <w:tcW w:w="80" w:type="dxa"/>
            <w:tcBorders/>
            <w:shd w:fill="CCEEFF" w:val="clear"/>
            <w:vAlign w:val="center"/>
          </w:tcPr>
          <w:p>
            <w:pPr>
              <w:pStyle w:val="TableContents"/>
              <w:bidi w:val="0"/>
              <w:spacing w:before="0" w:after="283"/>
              <w:ind w:left="0" w:right="0" w:hanging="0"/>
              <w:jc w:val="lef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ind w:left="0" w:right="0" w:hanging="0"/>
              <w:jc w:val="left"/>
              <w:rPr/>
            </w:pPr>
            <w:r>
              <w:rPr/>
              <w:t> </w:t>
            </w:r>
          </w:p>
        </w:tc>
        <w:tc>
          <w:tcPr>
            <w:tcW w:w="22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ind w:left="0" w:right="0" w:hanging="0"/>
              <w:jc w:val="left"/>
              <w:rPr/>
            </w:pPr>
            <w:r>
              <w:rPr/>
              <w:t> </w:t>
            </w:r>
          </w:p>
        </w:tc>
        <w:tc>
          <w:tcPr>
            <w:tcW w:w="87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122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5,545</w:t>
            </w:r>
          </w:p>
        </w:tc>
        <w:tc>
          <w:tcPr>
            <w:tcW w:w="95" w:type="dxa"/>
            <w:tcBorders/>
            <w:shd w:fill="CCEE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Interest income</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76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76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ind w:left="0" w:right="0" w:hanging="0"/>
              <w:jc w:val="left"/>
              <w:rPr/>
            </w:pPr>
            <w:r>
              <w:rPr/>
              <w:t> </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ind w:left="0" w:right="0" w:hanging="0"/>
              <w:jc w:val="left"/>
              <w:rPr/>
            </w:pPr>
            <w:r>
              <w:rPr/>
              <w:t> </w:t>
            </w:r>
          </w:p>
        </w:tc>
        <w:tc>
          <w:tcPr>
            <w:tcW w:w="224"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ind w:left="0" w:right="0" w:hanging="0"/>
              <w:jc w:val="left"/>
              <w:rPr/>
            </w:pPr>
            <w:r>
              <w:rPr/>
              <w:t> </w:t>
            </w:r>
          </w:p>
        </w:tc>
        <w:tc>
          <w:tcPr>
            <w:tcW w:w="874"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1224"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1,552</w:t>
            </w:r>
          </w:p>
        </w:tc>
        <w:tc>
          <w:tcPr>
            <w:tcW w:w="95" w:type="dxa"/>
            <w:tcBorders/>
            <w:shd w:fill="FFFFFF" w:val="clear"/>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Other loss, net</w:t>
            </w:r>
          </w:p>
        </w:tc>
        <w:tc>
          <w:tcPr>
            <w:tcW w:w="60" w:type="dxa"/>
            <w:tcBorders/>
            <w:shd w:fill="CCEEFF" w:val="clear"/>
            <w:vAlign w:val="center"/>
          </w:tcPr>
          <w:p>
            <w:pPr>
              <w:pStyle w:val="TableContents"/>
              <w:bidi w:val="0"/>
              <w:spacing w:before="0" w:after="283"/>
              <w:jc w:val="left"/>
              <w:rPr/>
            </w:pPr>
            <w:r>
              <w:rPr/>
              <w:t> </w:t>
            </w:r>
          </w:p>
        </w:tc>
        <w:tc>
          <w:tcPr>
            <w:tcW w:w="11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7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30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2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(851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2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(851</w:t>
            </w:r>
          </w:p>
        </w:tc>
        <w:tc>
          <w:tcPr>
            <w:tcW w:w="9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4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Income (loss) before income taxes</w:t>
            </w:r>
          </w:p>
        </w:tc>
        <w:tc>
          <w:tcPr>
            <w:tcW w:w="60" w:type="dxa"/>
            <w:tcBorders/>
            <w:shd w:fill="FFFFFF" w:val="clear"/>
            <w:vAlign w:val="center"/>
          </w:tcPr>
          <w:p>
            <w:pPr>
              <w:pStyle w:val="TableContents"/>
              <w:bidi w:val="0"/>
              <w:spacing w:before="0" w:after="283"/>
              <w:ind w:left="0" w:right="0" w:hanging="0"/>
              <w:jc w:val="left"/>
              <w:rPr/>
            </w:pPr>
            <w:r>
              <w:rPr/>
              <w:t> </w:t>
            </w:r>
          </w:p>
        </w:tc>
        <w:tc>
          <w:tcPr>
            <w:tcW w:w="11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3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25,030</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101</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(20,166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580</w:t>
            </w:r>
          </w:p>
        </w:tc>
        <w:tc>
          <w:tcPr>
            <w:tcW w:w="8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0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22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7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701</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22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6,246</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Notes to segment consolidation table:</w:t>
      </w:r>
    </w:p>
    <w:p>
      <w:pPr>
        <w:pStyle w:val="TextBody"/>
        <w:bidi w:val="0"/>
        <w:spacing w:before="0" w:after="0"/>
        <w:ind w:left="0" w:right="0" w:hanging="0"/>
        <w:jc w:val="left"/>
        <w:rPr>
          <w:caps w:val="false"/>
          <w:smallCaps w:val="false"/>
        </w:rPr>
      </w:pPr>
      <w:r>
        <w:rPr>
          <w:caps w:val="false"/>
          <w:smallCaps w:val="false"/>
        </w:rPr>
        <w:t> </w:t>
      </w:r>
    </w:p>
    <w:tbl>
      <w:tblPr>
        <w:tblW w:w="9955" w:type="dxa"/>
        <w:jc w:val="left"/>
        <w:tblInd w:w="0" w:type="dxa"/>
        <w:tblLayout w:type="fixed"/>
        <w:tblCellMar>
          <w:top w:w="0" w:type="dxa"/>
          <w:left w:w="0" w:type="dxa"/>
          <w:bottom w:w="0" w:type="dxa"/>
          <w:right w:w="0" w:type="dxa"/>
        </w:tblCellMar>
      </w:tblPr>
      <w:tblGrid>
        <w:gridCol w:w="245"/>
        <w:gridCol w:w="9710"/>
      </w:tblGrid>
      <w:tr>
        <w:trPr/>
        <w:tc>
          <w:tcPr>
            <w:tcW w:w="2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9710" w:type="dxa"/>
            <w:tcBorders/>
            <w:vAlign w:val="center"/>
          </w:tcPr>
          <w:p>
            <w:pPr>
              <w:pStyle w:val="TableContents"/>
              <w:bidi w:val="0"/>
              <w:spacing w:before="0" w:after="0"/>
              <w:ind w:left="0" w:right="1620" w:hanging="0"/>
              <w:jc w:val="both"/>
              <w:rPr>
                <w:rFonts w:ascii="Times New Roman;Times;serif" w:hAnsi="Times New Roman;Times;serif"/>
                <w:sz w:val="20"/>
              </w:rPr>
            </w:pPr>
            <w:r>
              <w:rPr>
                <w:rFonts w:ascii="Times New Roman;Times;serif" w:hAnsi="Times New Roman;Times;serif"/>
                <w:sz w:val="20"/>
              </w:rPr>
              <w:t>Represents the elimination of sales from our wholesale segment to our Company-owned BHF stores.</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9994" w:type="dxa"/>
            <w:tcBorders/>
            <w:vAlign w:val="center"/>
          </w:tcPr>
          <w:p>
            <w:pPr>
              <w:pStyle w:val="TableContents"/>
              <w:bidi w:val="0"/>
              <w:spacing w:before="0" w:after="0"/>
              <w:ind w:left="0" w:right="1620" w:hanging="0"/>
              <w:jc w:val="both"/>
              <w:rPr>
                <w:rFonts w:ascii="Times New Roman;Times;serif" w:hAnsi="Times New Roman;Times;serif"/>
                <w:sz w:val="20"/>
              </w:rPr>
            </w:pPr>
            <w:r>
              <w:rPr>
                <w:rFonts w:ascii="Times New Roman;Times;serif" w:hAnsi="Times New Roman;Times;serif"/>
                <w:sz w:val="20"/>
              </w:rPr>
              <w:t>Represents the elimination of purchases by our Company-owned BHF stores from our wholesale segment, as well as the change for the period in the elimination of intercompany profit in ending retail inventory.</w:t>
            </w:r>
          </w:p>
        </w:tc>
      </w:tr>
    </w:tbl>
    <w:tbl>
      <w:tblPr>
        <w:tblW w:w="9835" w:type="dxa"/>
        <w:jc w:val="left"/>
        <w:tblInd w:w="0" w:type="dxa"/>
        <w:tblLayout w:type="fixed"/>
        <w:tblCellMar>
          <w:top w:w="0" w:type="dxa"/>
          <w:left w:w="0" w:type="dxa"/>
          <w:bottom w:w="0" w:type="dxa"/>
          <w:right w:w="0" w:type="dxa"/>
        </w:tblCellMar>
      </w:tblPr>
      <w:tblGrid>
        <w:gridCol w:w="245"/>
        <w:gridCol w:w="9590"/>
      </w:tblGrid>
      <w:tr>
        <w:trPr/>
        <w:tc>
          <w:tcPr>
            <w:tcW w:w="2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w:t>
            </w:r>
          </w:p>
        </w:tc>
        <w:tc>
          <w:tcPr>
            <w:tcW w:w="9590" w:type="dxa"/>
            <w:tcBorders/>
            <w:vAlign w:val="center"/>
          </w:tcPr>
          <w:p>
            <w:pPr>
              <w:pStyle w:val="TableContents"/>
              <w:bidi w:val="0"/>
              <w:spacing w:before="0" w:after="0"/>
              <w:ind w:left="0" w:right="1620" w:hanging="0"/>
              <w:jc w:val="both"/>
              <w:rPr>
                <w:rFonts w:ascii="Times New Roman;Times;serif" w:hAnsi="Times New Roman;Times;serif"/>
                <w:sz w:val="20"/>
              </w:rPr>
            </w:pPr>
            <w:r>
              <w:rPr>
                <w:rFonts w:ascii="Times New Roman;Times;serif" w:hAnsi="Times New Roman;Times;serif"/>
                <w:sz w:val="20"/>
              </w:rPr>
              <w:t>Represents the elimination of rent paid by our retail stores occupying Company-owned real estate.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28 of 37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PART I-FINANCIAL INFORMATION-CONTINUED</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BASSETT FURNITURE INDUSTRIES, INCORPORATED AND SUBSIDIARIES</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AUGUST 29, 2026</w:t>
      </w:r>
    </w:p>
    <w:p>
      <w:pPr>
        <w:pStyle w:val="TextBody"/>
        <w:bidi w:val="0"/>
        <w:ind w:left="0" w:right="0" w:hanging="0"/>
        <w:jc w:val="center"/>
        <w:rPr>
          <w:rFonts w:ascii="Times New Roman;Times;serif" w:hAnsi="Times New Roman;Times;serif"/>
          <w:sz w:val="20"/>
          <w:u w:val="single"/>
        </w:rPr>
      </w:pPr>
      <w:r>
        <w:rPr>
          <w:rFonts w:ascii="Times New Roman;Times;serif" w:hAnsi="Times New Roman;Times;serif"/>
          <w:sz w:val="20"/>
          <w:u w:val="single"/>
        </w:rPr>
        <w:t>(Dollars in thousands except share and per share data)</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Wholesale 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Results for the wholesale segment for the three and nine months ended August 29, 2026 and August 30, 2025 are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5"/>
        <w:gridCol w:w="60"/>
        <w:gridCol w:w="110"/>
        <w:gridCol w:w="515"/>
        <w:gridCol w:w="60"/>
        <w:gridCol w:w="60"/>
        <w:gridCol w:w="60"/>
        <w:gridCol w:w="425"/>
        <w:gridCol w:w="155"/>
        <w:gridCol w:w="60"/>
        <w:gridCol w:w="110"/>
        <w:gridCol w:w="515"/>
        <w:gridCol w:w="60"/>
        <w:gridCol w:w="60"/>
        <w:gridCol w:w="60"/>
        <w:gridCol w:w="425"/>
        <w:gridCol w:w="155"/>
        <w:gridCol w:w="60"/>
        <w:gridCol w:w="110"/>
        <w:gridCol w:w="425"/>
        <w:gridCol w:w="60"/>
        <w:gridCol w:w="60"/>
        <w:gridCol w:w="80"/>
        <w:gridCol w:w="450"/>
        <w:gridCol w:w="155"/>
        <w:gridCol w:w="60"/>
        <w:gridCol w:w="110"/>
        <w:gridCol w:w="605"/>
        <w:gridCol w:w="60"/>
        <w:gridCol w:w="60"/>
        <w:gridCol w:w="60"/>
        <w:gridCol w:w="425"/>
        <w:gridCol w:w="155"/>
        <w:gridCol w:w="60"/>
        <w:gridCol w:w="110"/>
        <w:gridCol w:w="605"/>
        <w:gridCol w:w="60"/>
        <w:gridCol w:w="60"/>
        <w:gridCol w:w="60"/>
        <w:gridCol w:w="425"/>
        <w:gridCol w:w="155"/>
        <w:gridCol w:w="60"/>
        <w:gridCol w:w="110"/>
        <w:gridCol w:w="425"/>
        <w:gridCol w:w="60"/>
        <w:gridCol w:w="60"/>
        <w:gridCol w:w="104"/>
        <w:gridCol w:w="426"/>
        <w:gridCol w:w="155"/>
      </w:tblGrid>
      <w:tr>
        <w:trPr/>
        <w:tc>
          <w:tcPr>
            <w:tcW w:w="1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675"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Quarter Ended</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Change</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855"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Nine Months Ended</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Change</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3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August 29, 2026</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3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August 30, 2025</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Dollars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5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Percent</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2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August 29, 2026</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2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August 30, 2025</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Dollars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5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Percent</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45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426"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53,692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100.0</w:t>
            </w:r>
          </w:p>
        </w:tc>
        <w:tc>
          <w:tcPr>
            <w:tcW w:w="15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50,787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100.0</w:t>
            </w:r>
          </w:p>
        </w:tc>
        <w:tc>
          <w:tcPr>
            <w:tcW w:w="15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2,905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5.7</w:t>
            </w:r>
          </w:p>
        </w:tc>
        <w:tc>
          <w:tcPr>
            <w:tcW w:w="15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159,800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100.0</w:t>
            </w:r>
          </w:p>
        </w:tc>
        <w:tc>
          <w:tcPr>
            <w:tcW w:w="15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157,943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100.0</w:t>
            </w:r>
          </w:p>
        </w:tc>
        <w:tc>
          <w:tcPr>
            <w:tcW w:w="15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1,857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w:t>
            </w:r>
          </w:p>
        </w:tc>
        <w:tc>
          <w:tcPr>
            <w:tcW w:w="15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4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Gross profit (1)</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19,668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36.6</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17,837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35.1</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c>
          <w:tcPr>
            <w:tcW w:w="45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10.3</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56,953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35.6</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55,154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34.9</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ind w:left="0" w:right="0" w:hanging="0"/>
              <w:jc w:val="left"/>
              <w:rPr/>
            </w:pPr>
            <w:r>
              <w:rPr/>
              <w:t> </w:t>
            </w:r>
          </w:p>
        </w:tc>
        <w:tc>
          <w:tcPr>
            <w:tcW w:w="42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4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SG&amp;A expenses</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10,351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19.3</w:t>
            </w:r>
          </w:p>
        </w:tc>
        <w:tc>
          <w:tcPr>
            <w:tcW w:w="15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9,782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19.3</w:t>
            </w:r>
          </w:p>
        </w:tc>
        <w:tc>
          <w:tcPr>
            <w:tcW w:w="15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569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5.8</w:t>
            </w:r>
          </w:p>
        </w:tc>
        <w:tc>
          <w:tcPr>
            <w:tcW w:w="15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31,013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19.4</w:t>
            </w:r>
          </w:p>
        </w:tc>
        <w:tc>
          <w:tcPr>
            <w:tcW w:w="15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30,124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19.1</w:t>
            </w:r>
          </w:p>
        </w:tc>
        <w:tc>
          <w:tcPr>
            <w:tcW w:w="15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889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w:t>
            </w:r>
          </w:p>
        </w:tc>
        <w:tc>
          <w:tcPr>
            <w:tcW w:w="15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4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Income from operations</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9,317</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2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17.4</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8,055</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2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15.9</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2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1,262</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15.7</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25,940</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2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16.2</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25,030</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2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15.8</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2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910</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2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3.6</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1"/>
        <w:gridCol w:w="9944"/>
      </w:tblGrid>
      <w:tr>
        <w:trPr/>
        <w:tc>
          <w:tcPr>
            <w:tcW w:w="6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44" w:type="dxa"/>
            <w:tcBorders/>
            <w:vAlign w:val="center"/>
          </w:tcPr>
          <w:p>
            <w:pPr>
              <w:pStyle w:val="TableContents"/>
              <w:bidi w:val="0"/>
              <w:spacing w:before="0" w:after="0"/>
              <w:ind w:left="0" w:right="162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 at the segment level is considered a Non-GAAP financial measure due to the included effects of intercompany transactions. Refer to the reconciliation of gross profit by segment to consolidated gross profit presented under the Reconciliation of Segment Results to Consolidated Income (Loss) Before Income Taxes above.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Wholesale sales by major product category are as follows:</w:t>
      </w:r>
    </w:p>
    <w:p>
      <w:pPr>
        <w:pStyle w:val="TextBody"/>
        <w:bidi w:val="0"/>
        <w:spacing w:before="0" w:after="0"/>
        <w:ind w:left="0" w:right="0" w:hanging="0"/>
        <w:jc w:val="left"/>
        <w:rPr>
          <w:caps w:val="false"/>
          <w:smallCaps w:val="false"/>
        </w:rPr>
      </w:pPr>
      <w:r>
        <w:rPr>
          <w:caps w:val="false"/>
          <w:smallCaps w:val="false"/>
        </w:rPr>
        <w:t> </w:t>
      </w:r>
    </w:p>
    <w:tbl>
      <w:tblPr>
        <w:tblW w:w="9925" w:type="dxa"/>
        <w:jc w:val="left"/>
        <w:tblInd w:w="0" w:type="dxa"/>
        <w:tblLayout w:type="fixed"/>
        <w:tblCellMar>
          <w:top w:w="0" w:type="dxa"/>
          <w:left w:w="0" w:type="dxa"/>
          <w:bottom w:w="0" w:type="dxa"/>
          <w:right w:w="0" w:type="dxa"/>
        </w:tblCellMar>
      </w:tblPr>
      <w:tblGrid>
        <w:gridCol w:w="1880"/>
        <w:gridCol w:w="60"/>
        <w:gridCol w:w="110"/>
        <w:gridCol w:w="515"/>
        <w:gridCol w:w="60"/>
        <w:gridCol w:w="60"/>
        <w:gridCol w:w="175"/>
        <w:gridCol w:w="820"/>
        <w:gridCol w:w="60"/>
        <w:gridCol w:w="60"/>
        <w:gridCol w:w="110"/>
        <w:gridCol w:w="515"/>
        <w:gridCol w:w="60"/>
        <w:gridCol w:w="60"/>
        <w:gridCol w:w="60"/>
        <w:gridCol w:w="425"/>
        <w:gridCol w:w="155"/>
        <w:gridCol w:w="60"/>
        <w:gridCol w:w="110"/>
        <w:gridCol w:w="515"/>
        <w:gridCol w:w="60"/>
        <w:gridCol w:w="60"/>
        <w:gridCol w:w="175"/>
        <w:gridCol w:w="820"/>
        <w:gridCol w:w="60"/>
        <w:gridCol w:w="60"/>
        <w:gridCol w:w="110"/>
        <w:gridCol w:w="515"/>
        <w:gridCol w:w="60"/>
        <w:gridCol w:w="60"/>
        <w:gridCol w:w="60"/>
        <w:gridCol w:w="425"/>
        <w:gridCol w:w="155"/>
        <w:gridCol w:w="60"/>
        <w:gridCol w:w="110"/>
        <w:gridCol w:w="425"/>
        <w:gridCol w:w="80"/>
        <w:gridCol w:w="60"/>
        <w:gridCol w:w="87"/>
        <w:gridCol w:w="443"/>
        <w:gridCol w:w="170"/>
      </w:tblGrid>
      <w:tr>
        <w:trPr/>
        <w:tc>
          <w:tcPr>
            <w:tcW w:w="1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395" w:type="dxa"/>
            <w:gridSpan w:val="3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Quarter Ended</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443"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pPr>
            <w:r>
              <w:rPr/>
              <w:t> </w:t>
            </w:r>
          </w:p>
        </w:tc>
      </w:tr>
      <w:tr>
        <w:trPr/>
        <w:tc>
          <w:tcPr>
            <w:tcW w:w="1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090"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August 29, 2026</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090"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August 30, 2025</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0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Total Change</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External</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Intercompany</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23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Total</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External</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Intercompany</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23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Total</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Dollars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5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Percent</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8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Bassett Custom Upholstery</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19,759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5"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2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15,479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35,238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65.6</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18,704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5"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2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14,208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32,912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64.8</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44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7.1</w:t>
            </w:r>
          </w:p>
        </w:tc>
        <w:tc>
          <w:tcPr>
            <w:tcW w:w="17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8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Bassett Leather Imports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82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4,950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9.2</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82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4,608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9.1</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44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7.4</w:t>
            </w:r>
          </w:p>
        </w:tc>
        <w:tc>
          <w:tcPr>
            <w:tcW w:w="17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8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Bassett Custom Wood</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82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6,517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12.1</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82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3,604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6,273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12.4</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44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3.9</w:t>
            </w:r>
          </w:p>
        </w:tc>
        <w:tc>
          <w:tcPr>
            <w:tcW w:w="17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8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Bassett Casegoods</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2,402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4,585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6,987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13.0</w:t>
            </w:r>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2,974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4,020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6,994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13.8</w:t>
            </w:r>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-0.1</w:t>
            </w:r>
          </w:p>
        </w:tc>
        <w:tc>
          <w:tcPr>
            <w:tcW w:w="17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8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28,603</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25,089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53,692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2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100.0</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28,212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22,575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50,787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2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100.0</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2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2,905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4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5.7</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bl>
    <w:p>
      <w:pPr>
        <w:pStyle w:val="TextBody"/>
        <w:bidi w:val="0"/>
        <w:spacing w:before="0" w:after="0"/>
        <w:ind w:left="0" w:right="0" w:hanging="0"/>
        <w:jc w:val="left"/>
        <w:rPr/>
      </w:pPr>
      <w:r>
        <w:rPr/>
        <w:t> </w:t>
      </w:r>
    </w:p>
    <w:tbl>
      <w:tblPr>
        <w:tblW w:w="10105" w:type="dxa"/>
        <w:jc w:val="left"/>
        <w:tblInd w:w="0" w:type="dxa"/>
        <w:tblLayout w:type="fixed"/>
        <w:tblCellMar>
          <w:top w:w="0" w:type="dxa"/>
          <w:left w:w="0" w:type="dxa"/>
          <w:bottom w:w="0" w:type="dxa"/>
          <w:right w:w="0" w:type="dxa"/>
        </w:tblCellMar>
      </w:tblPr>
      <w:tblGrid>
        <w:gridCol w:w="1880"/>
        <w:gridCol w:w="60"/>
        <w:gridCol w:w="110"/>
        <w:gridCol w:w="515"/>
        <w:gridCol w:w="60"/>
        <w:gridCol w:w="60"/>
        <w:gridCol w:w="175"/>
        <w:gridCol w:w="820"/>
        <w:gridCol w:w="60"/>
        <w:gridCol w:w="60"/>
        <w:gridCol w:w="110"/>
        <w:gridCol w:w="605"/>
        <w:gridCol w:w="60"/>
        <w:gridCol w:w="60"/>
        <w:gridCol w:w="60"/>
        <w:gridCol w:w="425"/>
        <w:gridCol w:w="155"/>
        <w:gridCol w:w="60"/>
        <w:gridCol w:w="110"/>
        <w:gridCol w:w="515"/>
        <w:gridCol w:w="60"/>
        <w:gridCol w:w="60"/>
        <w:gridCol w:w="175"/>
        <w:gridCol w:w="820"/>
        <w:gridCol w:w="60"/>
        <w:gridCol w:w="60"/>
        <w:gridCol w:w="110"/>
        <w:gridCol w:w="605"/>
        <w:gridCol w:w="60"/>
        <w:gridCol w:w="60"/>
        <w:gridCol w:w="60"/>
        <w:gridCol w:w="425"/>
        <w:gridCol w:w="155"/>
        <w:gridCol w:w="60"/>
        <w:gridCol w:w="110"/>
        <w:gridCol w:w="425"/>
        <w:gridCol w:w="80"/>
        <w:gridCol w:w="60"/>
        <w:gridCol w:w="87"/>
        <w:gridCol w:w="443"/>
        <w:gridCol w:w="170"/>
      </w:tblGrid>
      <w:tr>
        <w:trPr/>
        <w:tc>
          <w:tcPr>
            <w:tcW w:w="1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575" w:type="dxa"/>
            <w:gridSpan w:val="3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Nine Months Ended</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443"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pPr>
            <w:r>
              <w:rPr/>
              <w:t> </w:t>
            </w:r>
          </w:p>
        </w:tc>
      </w:tr>
      <w:tr>
        <w:trPr/>
        <w:tc>
          <w:tcPr>
            <w:tcW w:w="1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180"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August 29, 2026</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180"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August 30, 2025</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0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Total Change</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External</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Intercompany</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32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Total</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External</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Intercompany</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32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Total</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Dollars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5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Percent</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8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Bassett Custom Upholstery</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56,879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5"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2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46,108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102,987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64.4</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57,555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5"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2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44,285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101,840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64.5</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44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w:t>
            </w:r>
          </w:p>
        </w:tc>
        <w:tc>
          <w:tcPr>
            <w:tcW w:w="17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8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Bassett Leather Imports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11,916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82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15,406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9.6</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11,894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82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14,058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8.9</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44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9.6</w:t>
            </w:r>
          </w:p>
        </w:tc>
        <w:tc>
          <w:tcPr>
            <w:tcW w:w="17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8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Bassett Custom Wood</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8,137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82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12,029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20,166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12.6</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9,016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82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12,015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13.3</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(865</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44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-4.1</w:t>
            </w:r>
          </w:p>
        </w:tc>
        <w:tc>
          <w:tcPr>
            <w:tcW w:w="17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8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Bassett Casegoods</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7,672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13,569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21,241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13.3</w:t>
            </w:r>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8,731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12,283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21,014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13.3</w:t>
            </w:r>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w:t>
            </w:r>
          </w:p>
        </w:tc>
        <w:tc>
          <w:tcPr>
            <w:tcW w:w="17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8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84,604</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75,196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159,800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2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100.0</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87,196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70,747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157,943</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2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100.0</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2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1,857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4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Analysis of Quarterly Results </w:t>
      </w:r>
      <w:r>
        <w:rPr>
          <w:rFonts w:ascii="Times New Roman" w:hAnsi="Times New Roman"/>
          <w:caps w:val="false"/>
          <w:smallCaps w:val="false"/>
          <w:sz w:val="20"/>
        </w:rPr>
        <w:t xml:space="preserve">– </w:t>
      </w:r>
      <w:r>
        <w:rPr>
          <w:rFonts w:ascii="Times New Roman" w:hAnsi="Times New Roman"/>
          <w:i/>
          <w:caps w:val="false"/>
          <w:smallCaps w:val="false"/>
          <w:sz w:val="20"/>
        </w:rPr>
        <w:t>Wholesale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sales for the three months ended August 29, 2026 increased $2,905 or 5.7% from the prior year, consisting of a 7.5% increase in shipments to the retail store network, a 28% increase in Lane Venture shipments to wholesale customers and a 3.7% increase in shipments to the open market. Shipments to our retail store network also include shipments of the Lane Venture brand, which we introduced in the BHF stores during the first quarter of 2026. Total shipments of the Lane Venture brand, including the shipments to both the retail store network and to wholesale customers, increased 44% from the prior year. Gross margins for the three months ended August 29, 2026 increased 150 basis points from the prior year period primarily due to the previously discussed IEEPA tariff refund along with improved margins in both the domestic wood and the Lane Venture operations, partially offset by lower margins in the imported wood and imported upholstery operations due to the realization of higher tariff costs. SG&amp;A expenses as a percentage of sales were flat at 19.3% as the effects of greater leverage of fixed costs from higher sales were offset by increased outbound freight expenses from higher fuel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29 of 37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PART I-FINANCIAL INFORMATION-CONTINUED</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BASSETT FURNITURE INDUSTRIES, INCORPORATED AND SUBSIDIARIES</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AUGUST 29, 2026</w:t>
      </w:r>
    </w:p>
    <w:p>
      <w:pPr>
        <w:pStyle w:val="TextBody"/>
        <w:bidi w:val="0"/>
        <w:ind w:left="0" w:right="0" w:hanging="0"/>
        <w:jc w:val="center"/>
        <w:rPr>
          <w:rFonts w:ascii="Times New Roman;Times;serif" w:hAnsi="Times New Roman;Times;serif"/>
          <w:sz w:val="20"/>
          <w:u w:val="single"/>
        </w:rPr>
      </w:pPr>
      <w:r>
        <w:rPr>
          <w:rFonts w:ascii="Times New Roman;Times;serif" w:hAnsi="Times New Roman;Times;serif"/>
          <w:sz w:val="20"/>
          <w:u w:val="single"/>
        </w:rPr>
        <w:t>(Dollars in thousands except share and per share data)</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Analysis of Year-to-Date Results </w:t>
      </w:r>
      <w:r>
        <w:rPr>
          <w:rFonts w:ascii="Times New Roman" w:hAnsi="Times New Roman"/>
          <w:caps w:val="false"/>
          <w:smallCaps w:val="false"/>
          <w:sz w:val="20"/>
        </w:rPr>
        <w:t xml:space="preserve">– </w:t>
      </w:r>
      <w:r>
        <w:rPr>
          <w:rFonts w:ascii="Times New Roman" w:hAnsi="Times New Roman"/>
          <w:i/>
          <w:caps w:val="false"/>
          <w:smallCaps w:val="false"/>
          <w:sz w:val="20"/>
        </w:rPr>
        <w:t>Wholesale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sales for the nine months ended August 29, 2026 increased $1,857 or 1.2% over the prior year, consisting of a 2.9% increase in shipments to our retail store network along with a 12.3% increase in Lane Venture shipments to wholesale customers, partially offset by a 2.5% decrease in shipments to the open market. Shipments to our retail store network also include shipments of the Lane Venture brand, which we introduced in the BHF stores during the first quarter of 2026. Total shipments of the Lane Venture brand, including the shipments to both the retail store network and to wholesale customers, increased 31% from the prior year. Gross margins for the nine months ended August 29, 2026 increased 70 basis points from the prior year period primarily due to the previously discussed IEEPA tariff refund along with improved margins in both the domestic wood and the Lane Venture operations, partially offset by lower margins in the imported upholstery operations due to the realization of higher tariff costs. SG&amp;A expenses as a percentage of sales increased 30 basis points compared with the prior year period primarily due to increased outbound freight expenses from higher fuel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Wholesale Backlog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Wholesale backlog at August 29, 2026 was $16,917 as compared to $19,519 at November 29, 2025 and $16,596 at August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u w:val="single"/>
        </w:rPr>
        <w:t xml:space="preserve">Retail </w:t>
      </w:r>
      <w:r>
        <w:rPr>
          <w:rFonts w:ascii="Times New Roman" w:hAnsi="Times New Roman"/>
          <w:caps w:val="false"/>
          <w:smallCaps w:val="false"/>
          <w:sz w:val="20"/>
          <w:u w:val="single"/>
        </w:rPr>
        <w:t xml:space="preserve">– </w:t>
      </w:r>
      <w:r>
        <w:rPr>
          <w:rFonts w:ascii="Times New Roman" w:hAnsi="Times New Roman"/>
          <w:b/>
          <w:caps w:val="false"/>
          <w:smallCaps w:val="false"/>
          <w:sz w:val="20"/>
          <w:u w:val="single"/>
        </w:rPr>
        <w:t xml:space="preserve">Company-owned Stores Segment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Results for the retail segment for the periods ended August 29, 2026 and August 30, 2025 are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05"/>
        <w:gridCol w:w="60"/>
        <w:gridCol w:w="110"/>
        <w:gridCol w:w="515"/>
        <w:gridCol w:w="80"/>
        <w:gridCol w:w="60"/>
        <w:gridCol w:w="60"/>
        <w:gridCol w:w="425"/>
        <w:gridCol w:w="155"/>
        <w:gridCol w:w="60"/>
        <w:gridCol w:w="110"/>
        <w:gridCol w:w="515"/>
        <w:gridCol w:w="80"/>
        <w:gridCol w:w="60"/>
        <w:gridCol w:w="60"/>
        <w:gridCol w:w="425"/>
        <w:gridCol w:w="155"/>
        <w:gridCol w:w="60"/>
        <w:gridCol w:w="110"/>
        <w:gridCol w:w="425"/>
        <w:gridCol w:w="60"/>
        <w:gridCol w:w="60"/>
        <w:gridCol w:w="65"/>
        <w:gridCol w:w="465"/>
        <w:gridCol w:w="155"/>
        <w:gridCol w:w="60"/>
        <w:gridCol w:w="110"/>
        <w:gridCol w:w="605"/>
        <w:gridCol w:w="80"/>
        <w:gridCol w:w="60"/>
        <w:gridCol w:w="60"/>
        <w:gridCol w:w="425"/>
        <w:gridCol w:w="155"/>
        <w:gridCol w:w="60"/>
        <w:gridCol w:w="110"/>
        <w:gridCol w:w="605"/>
        <w:gridCol w:w="60"/>
        <w:gridCol w:w="60"/>
        <w:gridCol w:w="60"/>
        <w:gridCol w:w="425"/>
        <w:gridCol w:w="155"/>
        <w:gridCol w:w="60"/>
        <w:gridCol w:w="110"/>
        <w:gridCol w:w="485"/>
        <w:gridCol w:w="80"/>
        <w:gridCol w:w="60"/>
        <w:gridCol w:w="65"/>
        <w:gridCol w:w="465"/>
        <w:gridCol w:w="155"/>
      </w:tblGrid>
      <w:tr>
        <w:trPr/>
        <w:tc>
          <w:tcPr>
            <w:tcW w:w="1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715"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Quarter Ended</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Change</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875"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Nine Months Ended</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6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Change</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5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August 29, 2026</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5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August 30, 2025</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Dollars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5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Percent</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August 29, 2026</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2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August 30, 2025</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Dollars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5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Percent</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46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46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r>
      <w:tr>
        <w:trPr/>
        <w:tc>
          <w:tcPr>
            <w:tcW w:w="13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54,235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100.0</w:t>
            </w:r>
          </w:p>
        </w:tc>
        <w:tc>
          <w:tcPr>
            <w:tcW w:w="15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51,891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100.0</w:t>
            </w:r>
          </w:p>
        </w:tc>
        <w:tc>
          <w:tcPr>
            <w:tcW w:w="15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2,344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4.5</w:t>
            </w:r>
          </w:p>
        </w:tc>
        <w:tc>
          <w:tcPr>
            <w:tcW w:w="15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162,327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100.0</w:t>
            </w:r>
          </w:p>
        </w:tc>
        <w:tc>
          <w:tcPr>
            <w:tcW w:w="15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159,417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100.0</w:t>
            </w:r>
          </w:p>
        </w:tc>
        <w:tc>
          <w:tcPr>
            <w:tcW w:w="15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2,910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w:t>
            </w:r>
          </w:p>
        </w:tc>
        <w:tc>
          <w:tcPr>
            <w:tcW w:w="15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3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Gross profit (1)</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27,918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51.5</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27,181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52.4</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4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83,448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51.4</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83,932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52.6</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(484</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4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-0.6</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3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SG&amp;A expenses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28,027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51.7</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27,514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53.0</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4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84,354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52.0</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83,831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52.6</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4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0.6</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3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New store pre-opening costs</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0.3</w:t>
            </w:r>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0.0</w:t>
            </w:r>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100.0</w:t>
            </w:r>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712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0.4</w:t>
            </w:r>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0.0</w:t>
            </w:r>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712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100.0</w:t>
            </w:r>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3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Loss from operations</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2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-0.5</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2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-0.6</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2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30" w:type="dxa"/>
            <w:gridSpan w:val="2"/>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N/M</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(1,618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2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101</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2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0.1</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(1,719</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30" w:type="dxa"/>
            <w:gridSpan w:val="2"/>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N/M</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1"/>
        <w:gridCol w:w="9944"/>
      </w:tblGrid>
      <w:tr>
        <w:trPr/>
        <w:tc>
          <w:tcPr>
            <w:tcW w:w="6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44" w:type="dxa"/>
            <w:tcBorders/>
            <w:vAlign w:val="center"/>
          </w:tcPr>
          <w:p>
            <w:pPr>
              <w:pStyle w:val="TableContents"/>
              <w:bidi w:val="0"/>
              <w:spacing w:before="0" w:after="0"/>
              <w:ind w:left="0" w:right="162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 at the segment level is considered a Non-GAAP financial measure due to the included effects of intercompany transactions. Refer to the reconciliation of gross profit by segment to consolidated gross profit presented under the Reconciliation of Segment Results to Consolidated Income (Loss) Before Income Taxes above.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Retail sales by major product category are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31"/>
        <w:gridCol w:w="60"/>
        <w:gridCol w:w="110"/>
        <w:gridCol w:w="515"/>
        <w:gridCol w:w="60"/>
        <w:gridCol w:w="60"/>
        <w:gridCol w:w="60"/>
        <w:gridCol w:w="425"/>
        <w:gridCol w:w="155"/>
        <w:gridCol w:w="60"/>
        <w:gridCol w:w="115"/>
        <w:gridCol w:w="540"/>
        <w:gridCol w:w="62"/>
        <w:gridCol w:w="62"/>
        <w:gridCol w:w="62"/>
        <w:gridCol w:w="445"/>
        <w:gridCol w:w="155"/>
        <w:gridCol w:w="60"/>
        <w:gridCol w:w="110"/>
        <w:gridCol w:w="425"/>
        <w:gridCol w:w="60"/>
        <w:gridCol w:w="60"/>
        <w:gridCol w:w="80"/>
        <w:gridCol w:w="450"/>
        <w:gridCol w:w="155"/>
        <w:gridCol w:w="60"/>
        <w:gridCol w:w="110"/>
        <w:gridCol w:w="605"/>
        <w:gridCol w:w="60"/>
        <w:gridCol w:w="60"/>
        <w:gridCol w:w="60"/>
        <w:gridCol w:w="425"/>
        <w:gridCol w:w="155"/>
        <w:gridCol w:w="60"/>
        <w:gridCol w:w="112"/>
        <w:gridCol w:w="620"/>
        <w:gridCol w:w="61"/>
        <w:gridCol w:w="61"/>
        <w:gridCol w:w="61"/>
        <w:gridCol w:w="436"/>
        <w:gridCol w:w="155"/>
        <w:gridCol w:w="60"/>
        <w:gridCol w:w="110"/>
        <w:gridCol w:w="425"/>
        <w:gridCol w:w="80"/>
        <w:gridCol w:w="60"/>
        <w:gridCol w:w="80"/>
        <w:gridCol w:w="450"/>
        <w:gridCol w:w="162"/>
      </w:tblGrid>
      <w:tr>
        <w:trPr/>
        <w:tc>
          <w:tcPr>
            <w:tcW w:w="13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731"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Quarter Ended</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Change</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886"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Nine Months Ended</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0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Change</w:t>
            </w:r>
          </w:p>
        </w:tc>
        <w:tc>
          <w:tcPr>
            <w:tcW w:w="162"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3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3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August 29, 2026</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8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August 30, 2025 (1)</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Dollars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5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Percent</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2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August 29, 2026</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51"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August 30, 2025 (1)</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Dollars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5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Percent</w:t>
            </w:r>
          </w:p>
        </w:tc>
        <w:tc>
          <w:tcPr>
            <w:tcW w:w="162"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3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54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45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45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r>
      <w:tr>
        <w:trPr/>
        <w:tc>
          <w:tcPr>
            <w:tcW w:w="133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Bassett Custom Upholstery</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31,064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57.3</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5"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30,387</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44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58.6</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45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92,688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57.1</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2"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2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92,572</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58.1</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45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0.1</w:t>
            </w:r>
          </w:p>
        </w:tc>
        <w:tc>
          <w:tcPr>
            <w:tcW w:w="162"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33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Bassett Leather Imports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5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490</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44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0.9</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c>
          <w:tcPr>
            <w:tcW w:w="45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49.2</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62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1,058</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0.7</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c>
          <w:tcPr>
            <w:tcW w:w="45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93.8</w:t>
            </w:r>
          </w:p>
        </w:tc>
        <w:tc>
          <w:tcPr>
            <w:tcW w:w="162"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33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Bassett Custom Wood</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8,017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14.8</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5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6,783</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44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13.1</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45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18.2</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24,277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15.0</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62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22,957</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14.4</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45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5.7</w:t>
            </w:r>
          </w:p>
        </w:tc>
        <w:tc>
          <w:tcPr>
            <w:tcW w:w="162"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33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Bassett Casegoods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7,366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13.6</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5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7,308</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44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14.1</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c>
          <w:tcPr>
            <w:tcW w:w="45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0.8</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22,173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13.7</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62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21,031</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13.2</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c>
          <w:tcPr>
            <w:tcW w:w="45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5.4</w:t>
            </w:r>
          </w:p>
        </w:tc>
        <w:tc>
          <w:tcPr>
            <w:tcW w:w="162"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33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Accessories, mattresses and other (2)</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7,057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13.0</w:t>
            </w:r>
          </w:p>
        </w:tc>
        <w:tc>
          <w:tcPr>
            <w:tcW w:w="15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6,923</w:t>
            </w:r>
          </w:p>
        </w:tc>
        <w:tc>
          <w:tcPr>
            <w:tcW w:w="6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13.3</w:t>
            </w:r>
          </w:p>
        </w:tc>
        <w:tc>
          <w:tcPr>
            <w:tcW w:w="15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w:t>
            </w:r>
          </w:p>
        </w:tc>
        <w:tc>
          <w:tcPr>
            <w:tcW w:w="15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21,139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13.0</w:t>
            </w:r>
          </w:p>
        </w:tc>
        <w:tc>
          <w:tcPr>
            <w:tcW w:w="15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21,799</w:t>
            </w:r>
          </w:p>
        </w:tc>
        <w:tc>
          <w:tcPr>
            <w:tcW w:w="6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13.7</w:t>
            </w:r>
          </w:p>
        </w:tc>
        <w:tc>
          <w:tcPr>
            <w:tcW w:w="15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(660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w:t>
            </w:r>
          </w:p>
        </w:tc>
        <w:tc>
          <w:tcPr>
            <w:tcW w:w="162"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33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54,235</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2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100.0</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51,891</w:t>
            </w:r>
          </w:p>
        </w:tc>
        <w:tc>
          <w:tcPr>
            <w:tcW w:w="6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100.0</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2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2,344</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4.5</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162,327</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2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100.0</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2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159,417</w:t>
            </w:r>
          </w:p>
        </w:tc>
        <w:tc>
          <w:tcPr>
            <w:tcW w:w="6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3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100.0</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2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2,910</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w:t>
            </w:r>
          </w:p>
        </w:tc>
        <w:tc>
          <w:tcPr>
            <w:tcW w:w="16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7"/>
        <w:gridCol w:w="9918"/>
      </w:tblGrid>
      <w:tr>
        <w:trPr/>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18" w:type="dxa"/>
            <w:tcBorders/>
            <w:vAlign w:val="center"/>
          </w:tcPr>
          <w:p>
            <w:pPr>
              <w:pStyle w:val="TableContents"/>
              <w:bidi w:val="0"/>
              <w:spacing w:before="0" w:after="0"/>
              <w:ind w:left="0" w:right="162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Certain amounts within Bassett Custom Upholstery and Bassett Leather Imports have been reclassified to conform to the 2026 presentation.</w:t>
            </w:r>
          </w:p>
        </w:tc>
      </w:tr>
    </w:tbl>
    <w:tbl>
      <w:tblPr>
        <w:tblW w:w="10205" w:type="dxa"/>
        <w:jc w:val="left"/>
        <w:tblInd w:w="0" w:type="dxa"/>
        <w:tblLayout w:type="fixed"/>
        <w:tblCellMar>
          <w:top w:w="0" w:type="dxa"/>
          <w:left w:w="0" w:type="dxa"/>
          <w:bottom w:w="0" w:type="dxa"/>
          <w:right w:w="0" w:type="dxa"/>
        </w:tblCellMar>
      </w:tblPr>
      <w:tblGrid>
        <w:gridCol w:w="60"/>
        <w:gridCol w:w="223"/>
        <w:gridCol w:w="9922"/>
      </w:tblGrid>
      <w:tr>
        <w:trPr/>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22" w:type="dxa"/>
            <w:tcBorders/>
            <w:vAlign w:val="center"/>
          </w:tcPr>
          <w:p>
            <w:pPr>
              <w:pStyle w:val="TableContents"/>
              <w:bidi w:val="0"/>
              <w:spacing w:before="0" w:after="0"/>
              <w:ind w:left="0" w:right="162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Includes the sale of goods other than Bassett-branded products, such as accessories and bedding, and also includes the sale of furniture protection plans.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Analysis of Quarterly Results - Retail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sales for the three months ended August 29, 2026 increased $2,344 or 4.5% over the prior year period. Written sales (the value of sales orders taken but not delivered) increased 4.4% over the third quarter of 2025. Gross margin for the three months ended August 29, 2026 declined 90 basis points from the prior period primarily due to lower margins on in-line goods from increased promotional activities. SG&amp;A expenses (which do not include new store pre-opening costs) as a percentage of sales for the three months ended August 29, 2026 decreased 130 basis points from the prior year period due to greater leverage of fixed costs from higher sales levels and lower advertising and marketing costs, partially offset by higher employee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30 of 37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PART I-FINANCIAL INFORMATION-CONTINUED</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BASSETT FURNITURE INDUSTRIES, INCORPORATED AND SUBSIDIARIES</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AUGUST 29, 2026</w:t>
      </w:r>
    </w:p>
    <w:p>
      <w:pPr>
        <w:pStyle w:val="TextBody"/>
        <w:bidi w:val="0"/>
        <w:ind w:left="0" w:right="0" w:hanging="0"/>
        <w:jc w:val="center"/>
        <w:rPr>
          <w:rFonts w:ascii="Times New Roman;Times;serif" w:hAnsi="Times New Roman;Times;serif"/>
          <w:sz w:val="20"/>
          <w:u w:val="single"/>
        </w:rPr>
      </w:pPr>
      <w:r>
        <w:rPr>
          <w:rFonts w:ascii="Times New Roman;Times;serif" w:hAnsi="Times New Roman;Times;serif"/>
          <w:sz w:val="20"/>
          <w:u w:val="single"/>
        </w:rPr>
        <w:t>(Dollars in thousands except share and per share data)</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three months ended August 29, 2026, we incurred $144 of new store pre-opening costs associated with a new store in the Orlando, Florida market, expected to open in early October of 2026. Prior to opening a new store we incur such expenses as rent, training costs and other payroll-related costs. These costs generally range between $200 to $400 per store depending on the overall rent costs for the location and the period between the time when we take physical possession of the store space and the time of the store opening. Generally, rent payments during a buildout period between delivery of possession and opening of a new store are deferred and therefore straight-line rent expense recognized during that time does not require cash. Inherent in our retail business model, we also incur losses in the two to three months of operation following a new store opening. Like other furniture retailers, we do not recognize a sale until the furniture is delivered to our customer. Because our retail business model does not involve maintaining a stock of retail inventory that would result in quick delivery and because of the custom nature of many of our furniture offerings, delivery to our customers usually occurs about 30 to 45 days after an order is placed. We generally require a deposit at the time of order and collect the remaining balance when the furniture is delivered, at which time the sale is recognized. Coupled with the previously discussed store pre-opening costs, total start-up losses can range from $400 to $600 per store. We generally expect that new stores will operate at or above a retail break-even level within a reasonable period of time following store opening. Factors affecting the length of time required to achieve this goal on a store-by-store basis may include the level of brand recognition, the degree of local competition and the depth of penetration in a particular market. Even as new stores ramp up to break even, we do realize additional wholesale sales volume sold through each new store that leverages the fixed costs in our wholesale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Analysis of Year-to-Date Results - Retail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sales for the nine months ended August 29, 2026 increased $2,910 or 1.8% over the prior year. Written sales (the value of sales orders taken but not delivered) increased 4.6% over the first nine months of 2025. Gross margin for the nine months ended August 29, 2026 declined 120 basis points from the prior period primarily due to lower margins on in-line goods from increased promotional activities coupled with lower margins on clearance goods as we continue to be more aggressive in cycling through returned goods and floor samples. SG&amp;A expenses (which do not include new store pre-opening costs) as a percentage of sales for the nine months ended August 29, 2026 decreased 60 basis points from the prior year period. Excluding $569 of proceeds from business interruption insurance recorded as a reduction to SG&amp;A expense in the second quarter of 2025 as a result of a cyber incident in fiscal 2024, SG&amp;A expenses as a percentage of sales decreased 90 basis points as compared to 2025. This decrease was primarily due to greater leverage of fixed costs from higher sales levels coupled with the realization of other cost savings implemented during the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nine months ended August 29, 2026, we incurred $712 of new store pre-opening costs associated with new stores in the Cincinnati, Ohio market, which opened late in the second quarter, and the Orlando, Florida market, expected to open in early October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Retail Backlog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Retail backlog at August 29, 2026 was $33,512 compared to $34,402 at November 29, 2025 and $32,206 at August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Corporate and Other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to the two reportable segments discussed above, we include our remaining business activities and assets in a reconciling category known as Corporate and other, which includes the shared costs of various corporate functions. SG&amp;A expenses of Corporate and other for the periods ended August 29, 2026 and August 30, 2025 are as follows:</w:t>
      </w:r>
    </w:p>
    <w:p>
      <w:pPr>
        <w:pStyle w:val="TextBody"/>
        <w:bidi w:val="0"/>
        <w:spacing w:before="0" w:after="0"/>
        <w:ind w:left="0" w:right="0" w:hanging="0"/>
        <w:jc w:val="left"/>
        <w:rPr>
          <w:caps w:val="false"/>
          <w:smallCaps w:val="false"/>
        </w:rPr>
      </w:pPr>
      <w:r>
        <w:rPr>
          <w:caps w:val="false"/>
          <w:smallCaps w:val="false"/>
        </w:rPr>
        <w:t> </w:t>
      </w:r>
    </w:p>
    <w:tbl>
      <w:tblPr>
        <w:tblW w:w="9291" w:type="dxa"/>
        <w:jc w:val="left"/>
        <w:tblInd w:w="0" w:type="dxa"/>
        <w:tblLayout w:type="fixed"/>
        <w:tblCellMar>
          <w:top w:w="0" w:type="dxa"/>
          <w:left w:w="0" w:type="dxa"/>
          <w:bottom w:w="0" w:type="dxa"/>
          <w:right w:w="0" w:type="dxa"/>
        </w:tblCellMar>
      </w:tblPr>
      <w:tblGrid>
        <w:gridCol w:w="1160"/>
        <w:gridCol w:w="60"/>
        <w:gridCol w:w="244"/>
        <w:gridCol w:w="945"/>
        <w:gridCol w:w="60"/>
        <w:gridCol w:w="60"/>
        <w:gridCol w:w="244"/>
        <w:gridCol w:w="945"/>
        <w:gridCol w:w="60"/>
        <w:gridCol w:w="60"/>
        <w:gridCol w:w="123"/>
        <w:gridCol w:w="392"/>
        <w:gridCol w:w="80"/>
        <w:gridCol w:w="60"/>
        <w:gridCol w:w="69"/>
        <w:gridCol w:w="461"/>
        <w:gridCol w:w="155"/>
        <w:gridCol w:w="60"/>
        <w:gridCol w:w="209"/>
        <w:gridCol w:w="980"/>
        <w:gridCol w:w="60"/>
        <w:gridCol w:w="60"/>
        <w:gridCol w:w="209"/>
        <w:gridCol w:w="980"/>
        <w:gridCol w:w="60"/>
        <w:gridCol w:w="60"/>
        <w:gridCol w:w="110"/>
        <w:gridCol w:w="485"/>
        <w:gridCol w:w="80"/>
        <w:gridCol w:w="60"/>
        <w:gridCol w:w="87"/>
        <w:gridCol w:w="443"/>
        <w:gridCol w:w="170"/>
      </w:tblGrid>
      <w:tr>
        <w:trPr/>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9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Quarter Ended</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Change</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9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Six Months Ended</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6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Change</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August 29, 2026</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August 30, 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Dollars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5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Percent</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August 29, 2026</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August 30, 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Dollars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5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Percent</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392"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443"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11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SG&amp;A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2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6,620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7,419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39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(799</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-10.8</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18,797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20,166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(1,369</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4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-6.8</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Analysis of Results </w:t>
      </w:r>
      <w:r>
        <w:rPr>
          <w:rFonts w:ascii="Times New Roman" w:hAnsi="Times New Roman"/>
          <w:caps w:val="false"/>
          <w:smallCaps w:val="false"/>
          <w:sz w:val="20"/>
        </w:rPr>
        <w:t xml:space="preserve">– </w:t>
      </w:r>
      <w:r>
        <w:rPr>
          <w:rFonts w:ascii="Times New Roman" w:hAnsi="Times New Roman"/>
          <w:i/>
          <w:caps w:val="false"/>
          <w:smallCaps w:val="false"/>
          <w:sz w:val="20"/>
        </w:rPr>
        <w:t>Corporate and Other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SG&amp;A expenses included in Corporate and other for the three and nine months ended August 29, 2026 decreased $799 or 10.8%, and $1,369 or 6.8%, respectively, from the prior year periods due primarily to lower incentive compensation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31 of 37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PART I-FINANCIAL INFORMATION-CONTINUED</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BASSETT FURNITURE INDUSTRIES, INCORPORATED AND SUBSIDIARIES</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AUGUST 29, 2026</w:t>
      </w:r>
    </w:p>
    <w:p>
      <w:pPr>
        <w:pStyle w:val="TextBody"/>
        <w:bidi w:val="0"/>
        <w:ind w:left="0" w:right="0" w:hanging="0"/>
        <w:jc w:val="center"/>
        <w:rPr>
          <w:rFonts w:ascii="Times New Roman;Times;serif" w:hAnsi="Times New Roman;Times;serif"/>
          <w:sz w:val="20"/>
          <w:u w:val="single"/>
        </w:rPr>
      </w:pPr>
      <w:r>
        <w:rPr>
          <w:rFonts w:ascii="Times New Roman;Times;serif" w:hAnsi="Times New Roman;Times;serif"/>
          <w:sz w:val="20"/>
          <w:u w:val="single"/>
        </w:rPr>
        <w:t>(Dollars in thousands except share and per share data)</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 xml:space="preserve">Other Items Affecting Net Income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Interest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Interest income for the three months ended August 29, 2026 increased $8 or 1.7% over the prior year due to $94 of interest received in connection with the IEEPA tariff refund partially offset by lower interest income from CDs and interest-bearing cash. Interest income for the nine months ended August 29, 2026 declined $73 or 4.7% from the prior year as lower interest income on CDs and interest-bearing cash equivalents was partially offset by $94 of interest received in connection with the IEEPA tariff refund and $99 of interest received as a Federal income tax refund during the first quarter of fiscal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Other Income (Loss),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Other loss, net, for the three months ended August 29, 2026 was $375 compared to other income, net of $30 for the prior year period, primarily due to increases in the cash surrender value of Company-owned life insurance in the prior year quarter. Other loss, net, for the nine months ended August 29, 2026 improved $371 or 43.6% from the prior year period due to increases in the cash surrender value of Company-owned life insurance during the current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 xml:space="preserve">Income Taxes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calculate an anticipated effective tax rate for the year based on our annual estimates of pretax income or loss and use that effective tax rate to record our year-to-date income tax provision.  Any change in annual projections of pretax income or loss could have a significant impact on our effective tax rate for the respective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effective tax rates were 27.2% and 26.8% for the three and nine months ended August 29, 2026, respectively. The effective rate differs from the federal statutory rate of 21% primarily due to the effects of state income taxes and various permanent differences.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effective tax rate was 26.8% for both the three and nine months ended August 30, 2025. The effective rate differs from the federal statutory rate of 21% primarily due to the effects of state income taxes and various permanent differences.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u w:val="single"/>
        </w:rPr>
      </w:pPr>
      <w:r>
        <w:rPr>
          <w:rFonts w:ascii="Times New Roman" w:hAnsi="Times New Roman"/>
          <w:i/>
          <w:caps w:val="false"/>
          <w:smallCaps w:val="false"/>
          <w:sz w:val="20"/>
          <w:u w:val="single"/>
        </w:rPr>
        <w:t xml:space="preserve">Cash Flows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Cash provided by operating activities for the first nine months of fiscal 2026 was $8,013 compared to cash provided by operations of $5,726 for the first nine months of fiscal 2025, representing an increase of $2,287 in cash flows from operations. This increase was primarily the result of improved income levels, the receipt of the IEEPA tariff refunds and better working capital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overall cash position declined $5,905 during the first nine months of 2026. During the first nine months of fiscal 2026, we spent $6,875 on purchases of property and equipment, including tenant improvements to our new locations in Cincinnati, Ohio and Orlando, Florida as well as our new wholesale showroom space in High Point, North Carolina. We paid $470 to a former licensee to acquire the BHF store located in Cherry Hill, New Jersey. We also paid $5,179 in dividends during the first nine months of 2026. We repurchased $779 worth of shares under our stock repurchase program during the first nine months of 2026 compared to repurchases of $1,522 in the prior year period. We expect capital expenditures for the full year to range from $9 million to $11 million. As of August 29, 2026, $17,475 remains available for future purchases under our stock repurchase plan. With cash and cash equivalents and short-term investments totaling $53,395 on hand at August 29, 2026, expected future operating cash flows and the availability under our credit line noted below, we believe we have sufficient liquidity to fund operations for the foreseeable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u w:val="single"/>
        </w:rPr>
      </w:pPr>
      <w:r>
        <w:rPr>
          <w:rFonts w:ascii="Times New Roman" w:hAnsi="Times New Roman"/>
          <w:i/>
          <w:caps w:val="false"/>
          <w:smallCaps w:val="false"/>
          <w:sz w:val="20"/>
          <w:u w:val="single"/>
        </w:rPr>
        <w:t>Debt and Other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May 15, 2024, we entered into the Credit Facility with our bank. This Credit Facility provides for a line of credit of up to $25,000. At August 29, 2026, we had $5,866 outstanding under standby letters of credit against our line. The line bears interest at the One-Month Term Secured Overnight Financing Rate (“One-Month Term SOFR”) plus 1.75% and is secured by our accounts receivable and inventory. Our bank charges a fee of 0.25% on the daily unused balance of the line, payable quarterly. Under the terms of the Credit Facility, Consolidated Minimum Tangible Net Worth shall at no time be less than $120,000. In addition, we must maintain the following financial covenants, measured quarterly on a rolling twelve-month basis and commencing as of the end of the first fiscal quarter after the first date that the used commitment (the sum of any outstanding advances plus standby letters of credit) equals or exceeds $8,250:</w:t>
      </w:r>
    </w:p>
    <w:p>
      <w:pPr>
        <w:pStyle w:val="TextBody"/>
        <w:bidi w:val="0"/>
        <w:spacing w:before="0" w:after="0"/>
        <w:ind w:left="0" w:right="0" w:hanging="0"/>
        <w:jc w:val="left"/>
        <w:rPr>
          <w:caps w:val="false"/>
          <w:smallCaps w:val="false"/>
        </w:rPr>
      </w:pPr>
      <w:r>
        <w:rPr>
          <w:caps w:val="false"/>
          <w:smallCaps w:val="false"/>
        </w:rPr>
        <w:t> </w:t>
      </w:r>
    </w:p>
    <w:tbl>
      <w:tblPr>
        <w:tblW w:w="6205" w:type="dxa"/>
        <w:jc w:val="left"/>
        <w:tblInd w:w="0" w:type="dxa"/>
        <w:tblLayout w:type="fixed"/>
        <w:tblCellMar>
          <w:top w:w="0" w:type="dxa"/>
          <w:left w:w="0" w:type="dxa"/>
          <w:bottom w:w="0" w:type="dxa"/>
          <w:right w:w="0" w:type="dxa"/>
        </w:tblCellMar>
      </w:tblPr>
      <w:tblGrid>
        <w:gridCol w:w="60"/>
        <w:gridCol w:w="170"/>
        <w:gridCol w:w="5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 Fixed Charge Coverage Ratio of not less than 1.2 times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32 of 37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PART I-FINANCIAL INFORMATION-CONTINUED</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BASSETT FURNITURE INDUSTRIES, INCORPORATED AND SUBSIDIARIES</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AUGUST 29, 2026</w:t>
      </w:r>
    </w:p>
    <w:p>
      <w:pPr>
        <w:pStyle w:val="TextBody"/>
        <w:bidi w:val="0"/>
        <w:ind w:left="0" w:right="0" w:hanging="0"/>
        <w:jc w:val="center"/>
        <w:rPr>
          <w:rFonts w:ascii="Times New Roman;Times;serif" w:hAnsi="Times New Roman;Times;serif"/>
          <w:sz w:val="20"/>
          <w:u w:val="single"/>
        </w:rPr>
      </w:pPr>
      <w:r>
        <w:rPr>
          <w:rFonts w:ascii="Times New Roman;Times;serif" w:hAnsi="Times New Roman;Times;serif"/>
          <w:sz w:val="20"/>
          <w:u w:val="single"/>
        </w:rPr>
        <w:t>(Dollars in thousands except share and per share data)</w:t>
      </w:r>
    </w:p>
    <w:p>
      <w:pPr>
        <w:pStyle w:val="TextBody"/>
        <w:bidi w:val="0"/>
        <w:spacing w:before="0" w:after="0"/>
        <w:ind w:left="0" w:right="0" w:hanging="0"/>
        <w:jc w:val="left"/>
        <w:rPr/>
      </w:pPr>
      <w:r>
        <w:rPr/>
        <w:t> </w:t>
      </w:r>
    </w:p>
    <w:tbl>
      <w:tblPr>
        <w:tblW w:w="7090" w:type="dxa"/>
        <w:jc w:val="left"/>
        <w:tblInd w:w="0" w:type="dxa"/>
        <w:tblLayout w:type="fixed"/>
        <w:tblCellMar>
          <w:top w:w="0" w:type="dxa"/>
          <w:left w:w="0" w:type="dxa"/>
          <w:bottom w:w="0" w:type="dxa"/>
          <w:right w:w="0" w:type="dxa"/>
        </w:tblCellMar>
      </w:tblPr>
      <w:tblGrid>
        <w:gridCol w:w="60"/>
        <w:gridCol w:w="170"/>
        <w:gridCol w:w="68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8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 Lease Adjusted Leverage to EBITDAR Ratio not to exceed 3.35 times.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 August 29, 2026, we were in compliance with the Consolidated Minimum Tangible Net Worth requirement. Since our used commitment was less than $8,250 at August 29, 2026, we were not required to test the Consolidated Fixed Charge Coverage Ratio or the Consolidated Lease Adjusted Leverage to EBITDAR Ratio. However, had we been required to test those ratios, we would have been in full compliance. Our availability under the Credit Facility is currently $19,134. On January 9, 2026, the Credit Facility was amended to extend the expiration date to January 31, 2029.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lease land and buildings that are used in the operation of our Company-owned retail stores as well as in the operation of one of our licensee-owned stores, and we lease land and buildings used in our wholesale manufacturing operations. We also lease certain personal property such as lift trucks, office equipment and local delivery trucks. The present value of our obligations for leases with terms in excess of one year at August 29, 2026 is $83,345 and is included in our accompanying condensed consolidated balance sheet at August 29, 2026. We were contingently liable under licensee lease obligation guarantees in the amount of $3,410 at August 29, 2026. The remaining terms under these lease guarantees extend for approximately four years. See Note 10, Commitments, to our condensed consolidated financial statements for additional details regarding our lease guarantees.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provide post-employment benefits to certain current and former executives and management level employees of the Company. Included among these benefits are two defined-benefit plans with a combined projected benefit obligation of $6,970 at August 29, 2026, the current portion of which is $815. We also have deferred compensation plans with a total liability of $6,410 at August 29, 2026, the current portion of which is $327. See Note 9, Post Employment Benefit Obligations, to our condensed consolidated financial statements for additional information regarding these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Critical Accounting Policies and Estimates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have been no material changes to our critical accounting policies and estimates from the information provided in Item 7, “Management’s Discussion and Analysis of Financial Condition and Results of Operations”, included in our Annual Report on Form 10-K for the fiscal year ended November 29,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Off-Balance Sheet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utilize stand-by letters of credit in the procurement of certain goods in the normal course of business. In addition, we have guaranteed certain lease obligations of licensee operators for some of their store locations. See Note 10 to our condensed consolidated financial statements for further discussion of lease guarantees, including descriptions of the terms of such commitments and methods used to mitigate risks associated with these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40" w:right="0" w:hanging="240"/>
        <w:jc w:val="both"/>
        <w:rPr>
          <w:rFonts w:ascii="Times New Roman" w:hAnsi="Times New Roman"/>
          <w:b/>
          <w:caps w:val="false"/>
          <w:smallCaps w:val="false"/>
          <w:sz w:val="20"/>
        </w:rPr>
      </w:pPr>
      <w:r>
        <w:rPr>
          <w:rFonts w:ascii="Times New Roman" w:hAnsi="Times New Roman"/>
          <w:b/>
          <w:caps w:val="false"/>
          <w:smallCaps w:val="false"/>
          <w:sz w:val="20"/>
        </w:rPr>
        <w:t>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involved in various legal and environmental matters which arise in the normal course of business. Although the final outcome of these matters cannot be determined, based on the facts presently known, it is our opinion that the final resolution of these matters will not have a material adverse effect on our financial position or future results of operations. See Note 10, Commitments and Contingencies, to our condensed consolidated financial statements for further information regarding certain contingencies as of August 29,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33 of 37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PART I-FINANCIAL INFORMATION-CONTINUED</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BASSETT FURNITURE INDUSTRIES, INCORPORATED AND SUBSIDIARIES</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AUGUST 29, 2026</w:t>
      </w:r>
    </w:p>
    <w:p>
      <w:pPr>
        <w:pStyle w:val="TextBody"/>
        <w:bidi w:val="0"/>
        <w:ind w:left="0" w:right="0" w:hanging="0"/>
        <w:jc w:val="center"/>
        <w:rPr>
          <w:rFonts w:ascii="Times New Roman;Times;serif" w:hAnsi="Times New Roman;Times;serif"/>
          <w:sz w:val="20"/>
          <w:u w:val="single"/>
        </w:rPr>
      </w:pPr>
      <w:r>
        <w:rPr>
          <w:rFonts w:ascii="Times New Roman;Times;serif" w:hAnsi="Times New Roman;Times;serif"/>
          <w:sz w:val="20"/>
          <w:u w:val="single"/>
        </w:rPr>
        <w:t>(Dollars in thousands except share and per share data)</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Item 3. 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exposed to market risk from changes in the value of foreign currencies. Substantially all of our imports purchased outside of North America are denominated in U.S. dollars. Therefore, we believe that gains or losses resulting from changes in the value of foreign currencies relating to foreign purchases not denominated in U.S. dollars would not be material to our results from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exposed to market risk from changes in the cost and availability of raw materials used in our manufacturing processes, principally wood, woven fabric, and foam products.  The cost of foam products, which are petroleum-based, is sensitive to changes in the price of oil.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also exposed to commodity price risk related to diesel fuel prices for fuel used in our retail segment for home delivery as well as through amounts we are charged for logistical services by our service providers. We manage our exposure to that risk primarily through the application of fuel surcharges to our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potential exposure to market risk related to conditions in the commercial real estate market. Our retail real estate holdings of $23,010 at August 29, 2026 for Company-owned stores could suffer significant impairment in value if we are forced to close additional stores and sell or lease the related properties during periods of weakness in certain markets. Additionally, if we are required to assume responsibility for payment under the lease obligations of $3,410 which we have guaranteed on behalf of certain licensees as of August 29, 2026 we may not be able to secure sufficient sub-lease income in the current market to offset the payments required under the guarantees. We are also exposed to risk related to conditions in the commercial real estate rental market with respect to the right-of-use assets we carry on our balance sheet for leased retail store locations, manufacturing and warehouse facilities. At August 29, 2026, the unamortized balance of such right-of-use assets used in continuing operations totaled $73,165. Should we have to close or otherwise abandon one of these leased locations, we could incur additional impairment charges if rental market conditions do not support a fair value for the right of use asset in excess of its carrying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Item 4.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principal executive officer and principal financial officer have evaluated the Company’s disclosure controls and procedures (as defined in Exchange Act Rule 13a-15(e)) as of the end of the period covered by this Quarterly Report on Form 10-Q. Based upon their evaluation, the principal executive officer and principal financial officer concluded that the Company’s disclosure controls and procedures are effective. There has been no change in the Company’s internal control over financial reporting during the Company’s most recent fiscal quarter that has materially affected, or is reasonably likely to materially affect, the Company’s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34 of 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PART II - OTHER INFORMATION</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BASSETT FURNITURE INDUSTRIES INCORPORATED AND SUBSIDIARIES</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AUGUST 29, 2026</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(Dollars in thousands except share and per share data)</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Item 1.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Item 1A.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have been no changes to the risk factors as disclosed in the Company’s Annual Report on Form 10-K for the fiscal year ended November 29,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Item 2. Unregistered Sales of Equity Securities and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summarizes the stock repurchase activity by or on behalf of the Company or any “affiliated purchaser,” as defined by Rule 10b-18(a)(3) of the Exchange Act, during the three months ended August 29, 2026 and the approximate dollar value of shares that may yet be purchased pursuant to our stock repurchase program:</w:t>
      </w:r>
    </w:p>
    <w:p>
      <w:pPr>
        <w:pStyle w:val="TextBody"/>
        <w:bidi w:val="0"/>
        <w:spacing w:before="0" w:after="0"/>
        <w:ind w:left="0" w:right="0" w:hanging="0"/>
        <w:jc w:val="left"/>
        <w:rPr>
          <w:caps w:val="false"/>
          <w:smallCaps w:val="false"/>
        </w:rPr>
      </w:pPr>
      <w:r>
        <w:rPr>
          <w:caps w:val="false"/>
          <w:smallCaps w:val="false"/>
        </w:rPr>
        <w:t> </w:t>
      </w:r>
    </w:p>
    <w:tbl>
      <w:tblPr>
        <w:tblW w:w="9864" w:type="dxa"/>
        <w:jc w:val="left"/>
        <w:tblInd w:w="0" w:type="dxa"/>
        <w:tblLayout w:type="fixed"/>
        <w:tblCellMar>
          <w:top w:w="0" w:type="dxa"/>
          <w:left w:w="0" w:type="dxa"/>
          <w:bottom w:w="0" w:type="dxa"/>
          <w:right w:w="0" w:type="dxa"/>
        </w:tblCellMar>
      </w:tblPr>
      <w:tblGrid>
        <w:gridCol w:w="2765"/>
        <w:gridCol w:w="60"/>
        <w:gridCol w:w="99"/>
        <w:gridCol w:w="806"/>
        <w:gridCol w:w="60"/>
        <w:gridCol w:w="60"/>
        <w:gridCol w:w="184"/>
        <w:gridCol w:w="720"/>
        <w:gridCol w:w="60"/>
        <w:gridCol w:w="60"/>
        <w:gridCol w:w="2270"/>
        <w:gridCol w:w="60"/>
        <w:gridCol w:w="60"/>
        <w:gridCol w:w="2540"/>
        <w:gridCol w:w="60"/>
      </w:tblGrid>
      <w:tr>
        <w:trPr/>
        <w:tc>
          <w:tcPr>
            <w:tcW w:w="2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Total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Shares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Purchased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Average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Price Paid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7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Total Number of Shares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Purchased as Part of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Publicly Announced Plans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or Programs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4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Approximate Dollar Value of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Shares that May Yet Be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Purchased Under the Plans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or Programs (1)</w:t>
            </w:r>
          </w:p>
        </w:tc>
        <w:tc>
          <w:tcPr>
            <w:tcW w:w="60"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8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May 31, 2026 -July 4, 2026</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70"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8,499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40"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$ 17,475</w:t>
            </w:r>
          </w:p>
        </w:tc>
        <w:tc>
          <w:tcPr>
            <w:tcW w:w="60" w:type="dxa"/>
            <w:tcBorders/>
            <w:shd w:fill="CCEEFF" w:val="clear"/>
            <w:vAlign w:val="center"/>
          </w:tcPr>
          <w:p>
            <w:pPr>
              <w:pStyle w:val="TableContents"/>
              <w:bidi w:val="0"/>
              <w:spacing w:before="0" w:after="283"/>
              <w:jc w:val="left"/>
              <w:rPr/>
            </w:pPr>
            <w:r>
              <w:rPr/>
              <w:t> </w:t>
            </w:r>
          </w:p>
        </w:tc>
      </w:tr>
      <w:tr>
        <w:trPr/>
        <w:tc>
          <w:tcPr>
            <w:tcW w:w="27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July 5, 2026 - August 1, 2026</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70"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40"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$ 17,475</w:t>
            </w:r>
          </w:p>
        </w:tc>
        <w:tc>
          <w:tcPr>
            <w:tcW w:w="60" w:type="dxa"/>
            <w:tcBorders/>
            <w:shd w:fill="FFFFFF" w:val="clear"/>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August 2, 2026 - August 29, 2026</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70"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40"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$ 17,475</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9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Company is authorized to repurchase Company stock under a plan which was originally announced in 1998. On March 9, 2022, the Board of Directors increased the remaining limit of the repurchase plan to $40,000. At August 29, 2026, $17,475 remained available for share repurchases under the plan.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Item 3. Defaults Upon Senior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Item 5. Other Information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w:t>
            </w:r>
          </w:p>
        </w:tc>
        <w:tc>
          <w:tcPr>
            <w:tcW w:w="1001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During the fiscal quarter ended August 29, 2026, none of our directors or officers (as defined in Rule 16a-1(f) of the Securities Exchange Act of 1934, as amended) adopted or terminated a Rule 10b5-1 trading arrangement or a non-Rule 10b5-1 trading arrangement (in each case, as defined in Item 408(a) of Regulation S-K) for the purchase or sale of the Company’s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35 of 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PART II - OTHER INFORMATION-CONTINUED</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BASSETT FURNITURE INDUSTRIES INCORPORATED AND SUBSIDIARIES</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AUGUST 29, 2026</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(Dollars in thousands except share and per share data)</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Item 6.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Exhibit 3a – Articles of Incorporation as amended to date are incorporated herein by reference to the Exhibit to Form 10-Q for the fiscal quarter ended February 28, 1994.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Times New Roman" w:hAnsi="Times New Roman"/>
          <w:caps w:val="false"/>
          <w:smallCaps w:val="false"/>
          <w:sz w:val="20"/>
        </w:rPr>
        <w:t xml:space="preserve">Exhibit 3b – </w:t>
      </w:r>
      <w:hyperlink r:id="rId2">
        <w:r>
          <w:rPr>
            <w:rStyle w:val="InternetLink"/>
            <w:rFonts w:ascii="Times New Roman" w:hAnsi="Times New Roman"/>
            <w:caps w:val="false"/>
            <w:smallCaps w:val="false"/>
            <w:sz w:val="20"/>
            <w:u w:val="single"/>
          </w:rPr>
          <w:t>By-laws as amended to date are incorporated herein by reference to Exhibit 3.1 to Form 8-K filed with the SEC on July 22, 2025</w:t>
        </w:r>
      </w:hyperlink>
      <w:hyperlink r:id="rId3">
        <w:r>
          <w:rPr>
            <w:rStyle w:val="InternetLink"/>
            <w:rFonts w:ascii="Times New Roman" w:hAnsi="Times New Roman"/>
            <w:caps w:val="false"/>
            <w:smallCaps w:val="false"/>
            <w:sz w:val="20"/>
          </w:rPr>
          <w:t>.</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Times New Roman" w:hAnsi="Times New Roman"/>
          <w:caps w:val="false"/>
          <w:smallCaps w:val="false"/>
          <w:sz w:val="20"/>
        </w:rPr>
        <w:t xml:space="preserve">Exhibit 31a – </w:t>
      </w:r>
      <w:hyperlink w:anchor="ex_1019980.htm">
        <w:r>
          <w:rPr>
            <w:rStyle w:val="InternetLink"/>
            <w:rFonts w:ascii="Times New Roman" w:hAnsi="Times New Roman"/>
            <w:caps w:val="false"/>
            <w:smallCaps w:val="false"/>
            <w:sz w:val="20"/>
          </w:rPr>
          <w:t>Chief Executive Officer’s certification pursuant to Section 302 of the Sarbanes-Oxley Act of 2002</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Times New Roman" w:hAnsi="Times New Roman"/>
          <w:caps w:val="false"/>
          <w:smallCaps w:val="false"/>
          <w:sz w:val="20"/>
        </w:rPr>
        <w:t xml:space="preserve">Exhibit 31b – </w:t>
      </w:r>
      <w:hyperlink w:anchor="ex_1019981.htm">
        <w:r>
          <w:rPr>
            <w:rStyle w:val="InternetLink"/>
            <w:rFonts w:ascii="Times New Roman" w:hAnsi="Times New Roman"/>
            <w:caps w:val="false"/>
            <w:smallCaps w:val="false"/>
            <w:sz w:val="20"/>
          </w:rPr>
          <w:t>Chief Financial Officer’s certification pursuant to Section 302 of the Sarbanes-Oxley Act of 2002</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Times New Roman" w:hAnsi="Times New Roman"/>
          <w:caps w:val="false"/>
          <w:smallCaps w:val="false"/>
          <w:sz w:val="20"/>
        </w:rPr>
        <w:t xml:space="preserve">Exhibit 32a – </w:t>
      </w:r>
      <w:hyperlink w:anchor="ex_1019982.htm">
        <w:r>
          <w:rPr>
            <w:rStyle w:val="InternetLink"/>
            <w:rFonts w:ascii="Times New Roman" w:hAnsi="Times New Roman"/>
            <w:caps w:val="false"/>
            <w:smallCaps w:val="false"/>
            <w:sz w:val="20"/>
          </w:rPr>
          <w:t>Chief Executive Officer’s certification pursuant to 18 U.S.C. 1350, as adopted pursuant to Section 906 of the Sarbanes-Oxley Act of 2002</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Times New Roman" w:hAnsi="Times New Roman"/>
          <w:caps w:val="false"/>
          <w:smallCaps w:val="false"/>
          <w:sz w:val="20"/>
        </w:rPr>
        <w:t xml:space="preserve">Exhibit 32b – </w:t>
      </w:r>
      <w:hyperlink w:anchor="ex_1019983.htm">
        <w:r>
          <w:rPr>
            <w:rStyle w:val="InternetLink"/>
            <w:rFonts w:ascii="Times New Roman" w:hAnsi="Times New Roman"/>
            <w:caps w:val="false"/>
            <w:smallCaps w:val="false"/>
            <w:sz w:val="20"/>
          </w:rPr>
          <w:t>Chief Financial Officer’s certification pursuant to 18 U.S.C. 1350, as adopted pursuant to Section 906 of the Sarbanes-Oxley Act of 2002</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Exhibit 101.INS Inline XBRL Instance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Exhibit 101.SCH Inline XBRL Taxonomy Extension Schema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Exhibit 101.CAL Inline XBRL Taxonomy Extension Calculation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Exhibit 101.DEF Inline XBRL Taxonomy Extension Definition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Exhibit 101.LAB Inline XBRL Taxonomy Extension Labels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Exhibit 101.PRE Inline XBRL Taxonomy Extension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Exhibit 104. Cover Page Interactive Data File (formatted as Inline XBRL and contained in Exhibit 101).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36 of 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BASSETT FURNITURE INDUSTRIES, INCORPORATED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983" w:type="dxa"/>
        <w:jc w:val="left"/>
        <w:tblInd w:w="0" w:type="dxa"/>
        <w:tblLayout w:type="fixed"/>
        <w:tblCellMar>
          <w:top w:w="0" w:type="dxa"/>
          <w:left w:w="0" w:type="dxa"/>
          <w:bottom w:w="0" w:type="dxa"/>
          <w:right w:w="0" w:type="dxa"/>
        </w:tblCellMar>
      </w:tblPr>
      <w:tblGrid>
        <w:gridCol w:w="464"/>
        <w:gridCol w:w="4390"/>
        <w:gridCol w:w="129"/>
      </w:tblGrid>
      <w:tr>
        <w:trPr/>
        <w:tc>
          <w:tcPr>
            <w:tcW w:w="46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w:t>
            </w:r>
          </w:p>
        </w:tc>
        <w:tc>
          <w:tcPr>
            <w:tcW w:w="439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mallCaps/>
                <w:sz w:val="20"/>
              </w:rPr>
            </w:pPr>
            <w:r>
              <w:rPr>
                <w:rFonts w:ascii="Times New Roman" w:hAnsi="Times New Roman"/>
                <w:smallCaps/>
                <w:sz w:val="20"/>
              </w:rPr>
              <w:t>Robert H. Spilman, Jr.</w:t>
            </w:r>
          </w:p>
        </w:tc>
        <w:tc>
          <w:tcPr>
            <w:tcW w:w="129" w:type="dxa"/>
            <w:tcBorders/>
            <w:vAlign w:val="center"/>
          </w:tcPr>
          <w:p>
            <w:pPr>
              <w:pStyle w:val="TableContents"/>
              <w:bidi w:val="0"/>
              <w:spacing w:before="0" w:after="283"/>
              <w:jc w:val="left"/>
              <w:rPr/>
            </w:pPr>
            <w:r>
              <w:rPr/>
              <w:t> </w:t>
            </w:r>
          </w:p>
        </w:tc>
      </w:tr>
      <w:tr>
        <w:trPr/>
        <w:tc>
          <w:tcPr>
            <w:tcW w:w="4983" w:type="dxa"/>
            <w:gridSpan w:val="3"/>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Robert H. Spilman, Jr., Chairman and Chief Executive Officer</w:t>
            </w:r>
          </w:p>
        </w:tc>
      </w:tr>
      <w:tr>
        <w:trPr/>
        <w:tc>
          <w:tcPr>
            <w:tcW w:w="4983" w:type="dxa"/>
            <w:gridSpan w:val="3"/>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September 30,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523" w:type="dxa"/>
        <w:jc w:val="left"/>
        <w:tblInd w:w="0" w:type="dxa"/>
        <w:tblLayout w:type="fixed"/>
        <w:tblCellMar>
          <w:top w:w="0" w:type="dxa"/>
          <w:left w:w="0" w:type="dxa"/>
          <w:bottom w:w="0" w:type="dxa"/>
          <w:right w:w="0" w:type="dxa"/>
        </w:tblCellMar>
      </w:tblPr>
      <w:tblGrid>
        <w:gridCol w:w="610"/>
        <w:gridCol w:w="4743"/>
        <w:gridCol w:w="170"/>
      </w:tblGrid>
      <w:tr>
        <w:trPr/>
        <w:tc>
          <w:tcPr>
            <w:tcW w:w="6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w:t>
            </w:r>
          </w:p>
        </w:tc>
        <w:tc>
          <w:tcPr>
            <w:tcW w:w="474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mallCaps/>
                <w:sz w:val="20"/>
              </w:rPr>
            </w:pPr>
            <w:r>
              <w:rPr>
                <w:rFonts w:ascii="Times New Roman" w:hAnsi="Times New Roman"/>
                <w:smallCaps/>
                <w:sz w:val="20"/>
              </w:rPr>
              <w:t>J. Michael Daniel</w:t>
            </w:r>
          </w:p>
        </w:tc>
        <w:tc>
          <w:tcPr>
            <w:tcW w:w="170" w:type="dxa"/>
            <w:tcBorders/>
            <w:vAlign w:val="center"/>
          </w:tcPr>
          <w:p>
            <w:pPr>
              <w:pStyle w:val="TableContents"/>
              <w:bidi w:val="0"/>
              <w:spacing w:before="0" w:after="283"/>
              <w:jc w:val="left"/>
              <w:rPr/>
            </w:pPr>
            <w:r>
              <w:rPr/>
              <w:t> </w:t>
            </w:r>
          </w:p>
        </w:tc>
      </w:tr>
      <w:tr>
        <w:trPr/>
        <w:tc>
          <w:tcPr>
            <w:tcW w:w="5523" w:type="dxa"/>
            <w:gridSpan w:val="3"/>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 Michael Daniel, Senior Vice President and Chief Financial Officer</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September 30,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37 of 37</w:t>
      </w:r>
    </w:p>
    <w:p>
      <w:pPr>
        <w:pStyle w:val="TextBody"/>
        <w:bidi w:val="0"/>
        <w:spacing w:before="0" w:after="0"/>
        <w:ind w:left="0" w:right="0" w:hanging="0"/>
        <w:jc w:val="right"/>
        <w:rPr>
          <w:rFonts w:ascii="Times New Roman" w:hAnsi="Times New Roman"/>
          <w:caps w:val="false"/>
          <w:smallCaps w:val="false"/>
          <w:sz w:val="20"/>
        </w:rPr>
      </w:pPr>
      <w:bookmarkStart w:id="2" w:name="ex_1019980.htm"/>
      <w:bookmarkStart w:id="3" w:name="ksex_1019980"/>
      <w:bookmarkEnd w:id="2"/>
      <w:bookmarkEnd w:id="3"/>
      <w:r>
        <w:rPr>
          <w:rFonts w:ascii="Times New Roman" w:hAnsi="Times New Roman"/>
          <w:caps w:val="false"/>
          <w:smallCaps w:val="false"/>
          <w:sz w:val="20"/>
        </w:rPr>
        <w:t>Exhibit 31a</w:t>
      </w:r>
      <w:r>
        <w:br w:type="page"/>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CERTIFICATIONS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Robert H. Spilman, Jr., certify that:</w:t>
      </w:r>
    </w:p>
    <w:p>
      <w:pPr>
        <w:pStyle w:val="TextBody"/>
        <w:bidi w:val="0"/>
        <w:spacing w:before="0" w:after="0"/>
        <w:ind w:left="0" w:right="0" w:hanging="0"/>
        <w:jc w:val="left"/>
        <w:rPr>
          <w:caps w:val="false"/>
          <w:smallCaps w:val="false"/>
        </w:rPr>
      </w:pPr>
      <w:r>
        <w:rPr>
          <w:caps w:val="false"/>
          <w:smallCaps w:val="false"/>
        </w:rPr>
        <w:t> </w:t>
      </w:r>
    </w:p>
    <w:tbl>
      <w:tblPr>
        <w:tblW w:w="7945" w:type="dxa"/>
        <w:jc w:val="left"/>
        <w:tblInd w:w="0" w:type="dxa"/>
        <w:tblLayout w:type="fixed"/>
        <w:tblCellMar>
          <w:top w:w="0" w:type="dxa"/>
          <w:left w:w="0" w:type="dxa"/>
          <w:bottom w:w="0" w:type="dxa"/>
          <w:right w:w="0" w:type="dxa"/>
        </w:tblCellMar>
      </w:tblPr>
      <w:tblGrid>
        <w:gridCol w:w="170"/>
        <w:gridCol w:w="777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77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 have reviewed this quarterly report on Form 10-Q of Bassett Furniture Industries, Incorporated;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6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6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1006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9"/>
        <w:gridCol w:w="10016"/>
      </w:tblGrid>
      <w:tr>
        <w:trPr/>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1001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1000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100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1000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1006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7"/>
        <w:gridCol w:w="10008"/>
      </w:tblGrid>
      <w:tr>
        <w:trPr/>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1000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7"/>
        <w:gridCol w:w="9978"/>
      </w:tblGrid>
      <w:tr>
        <w:trPr/>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7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September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013" w:type="dxa"/>
        <w:jc w:val="left"/>
        <w:tblInd w:w="0" w:type="dxa"/>
        <w:tblLayout w:type="fixed"/>
        <w:tblCellMar>
          <w:top w:w="0" w:type="dxa"/>
          <w:left w:w="0" w:type="dxa"/>
          <w:bottom w:w="0" w:type="dxa"/>
          <w:right w:w="0" w:type="dxa"/>
        </w:tblCellMar>
      </w:tblPr>
      <w:tblGrid>
        <w:gridCol w:w="493"/>
        <w:gridCol w:w="4359"/>
        <w:gridCol w:w="161"/>
      </w:tblGrid>
      <w:tr>
        <w:trPr/>
        <w:tc>
          <w:tcPr>
            <w:tcW w:w="49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w:t>
            </w:r>
          </w:p>
        </w:tc>
        <w:tc>
          <w:tcPr>
            <w:tcW w:w="4359" w:type="dxa"/>
            <w:tcBorders>
              <w:bottom w:val="single" w:sz="2" w:space="0" w:color="000000"/>
            </w:tcBorders>
            <w:tcMar>
              <w:bottom w:w="28" w:type="dxa"/>
            </w:tcMar>
            <w:vAlign w:val="center"/>
          </w:tcPr>
          <w:p>
            <w:pPr>
              <w:pStyle w:val="TableContents"/>
              <w:bidi w:val="0"/>
              <w:spacing w:before="0" w:after="0"/>
              <w:ind w:left="360" w:right="0" w:hanging="0"/>
              <w:jc w:val="left"/>
              <w:rPr>
                <w:rFonts w:ascii="Times New Roman;Times;serif" w:hAnsi="Times New Roman;Times;serif"/>
                <w:smallCaps/>
                <w:sz w:val="20"/>
              </w:rPr>
            </w:pPr>
            <w:r>
              <w:rPr>
                <w:rFonts w:ascii="Times New Roman;Times;serif" w:hAnsi="Times New Roman;Times;serif"/>
                <w:smallCaps/>
                <w:sz w:val="20"/>
              </w:rPr>
              <w:t>Robert H. Spilman, Jr.</w:t>
            </w:r>
          </w:p>
        </w:tc>
        <w:tc>
          <w:tcPr>
            <w:tcW w:w="161" w:type="dxa"/>
            <w:tcBorders/>
            <w:vAlign w:val="center"/>
          </w:tcPr>
          <w:p>
            <w:pPr>
              <w:pStyle w:val="TableContents"/>
              <w:bidi w:val="0"/>
              <w:spacing w:before="0" w:after="283"/>
              <w:jc w:val="left"/>
              <w:rPr/>
            </w:pPr>
            <w:r>
              <w:rPr/>
              <w:t> </w:t>
            </w:r>
          </w:p>
        </w:tc>
      </w:tr>
      <w:tr>
        <w:trPr/>
        <w:tc>
          <w:tcPr>
            <w:tcW w:w="5013" w:type="dxa"/>
            <w:gridSpan w:val="3"/>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Robert H. Spilman, Jr., Chairman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caps w:val="false"/>
          <w:smallCaps w:val="false"/>
          <w:sz w:val="20"/>
        </w:rPr>
      </w:pPr>
      <w:bookmarkStart w:id="4" w:name="ex_1019981.htm"/>
      <w:bookmarkStart w:id="5" w:name="ksex_1019981"/>
      <w:bookmarkEnd w:id="4"/>
      <w:bookmarkEnd w:id="5"/>
      <w:r>
        <w:rPr>
          <w:rFonts w:ascii="Times New Roman" w:hAnsi="Times New Roman"/>
          <w:caps w:val="false"/>
          <w:smallCaps w:val="false"/>
          <w:sz w:val="20"/>
        </w:rPr>
        <w:t>Exhibit 31b</w:t>
      </w:r>
      <w:r>
        <w:br w:type="page"/>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CERTIFICATIONS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J. Michael Daniel, certify that:</w:t>
      </w:r>
    </w:p>
    <w:p>
      <w:pPr>
        <w:pStyle w:val="TextBody"/>
        <w:bidi w:val="0"/>
        <w:spacing w:before="0" w:after="0"/>
        <w:ind w:left="0" w:right="0" w:hanging="0"/>
        <w:jc w:val="left"/>
        <w:rPr>
          <w:caps w:val="false"/>
          <w:smallCaps w:val="false"/>
        </w:rPr>
      </w:pPr>
      <w:r>
        <w:rPr>
          <w:caps w:val="false"/>
          <w:smallCaps w:val="false"/>
        </w:rPr>
        <w:t> </w:t>
      </w:r>
    </w:p>
    <w:tbl>
      <w:tblPr>
        <w:tblW w:w="7945" w:type="dxa"/>
        <w:jc w:val="left"/>
        <w:tblInd w:w="0" w:type="dxa"/>
        <w:tblLayout w:type="fixed"/>
        <w:tblCellMar>
          <w:top w:w="0" w:type="dxa"/>
          <w:left w:w="0" w:type="dxa"/>
          <w:bottom w:w="0" w:type="dxa"/>
          <w:right w:w="0" w:type="dxa"/>
        </w:tblCellMar>
      </w:tblPr>
      <w:tblGrid>
        <w:gridCol w:w="170"/>
        <w:gridCol w:w="777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77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 have reviewed this quarterly report on Form 10-Q of Bassett Furniture Industries, Incorporated;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6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6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1006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9"/>
        <w:gridCol w:w="10016"/>
      </w:tblGrid>
      <w:tr>
        <w:trPr/>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1001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1000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100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1000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1006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7"/>
        <w:gridCol w:w="10008"/>
      </w:tblGrid>
      <w:tr>
        <w:trPr/>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1000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7"/>
        <w:gridCol w:w="9978"/>
      </w:tblGrid>
      <w:tr>
        <w:trPr/>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7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September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553" w:type="dxa"/>
        <w:jc w:val="left"/>
        <w:tblInd w:w="0" w:type="dxa"/>
        <w:tblLayout w:type="fixed"/>
        <w:tblCellMar>
          <w:top w:w="0" w:type="dxa"/>
          <w:left w:w="0" w:type="dxa"/>
          <w:bottom w:w="0" w:type="dxa"/>
          <w:right w:w="0" w:type="dxa"/>
        </w:tblCellMar>
      </w:tblPr>
      <w:tblGrid>
        <w:gridCol w:w="646"/>
        <w:gridCol w:w="4697"/>
        <w:gridCol w:w="210"/>
      </w:tblGrid>
      <w:tr>
        <w:trPr/>
        <w:tc>
          <w:tcPr>
            <w:tcW w:w="64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w:t>
            </w:r>
          </w:p>
        </w:tc>
        <w:tc>
          <w:tcPr>
            <w:tcW w:w="4697" w:type="dxa"/>
            <w:tcBorders>
              <w:bottom w:val="single" w:sz="2" w:space="0" w:color="000000"/>
            </w:tcBorders>
            <w:tcMar>
              <w:bottom w:w="28" w:type="dxa"/>
            </w:tcMar>
            <w:vAlign w:val="center"/>
          </w:tcPr>
          <w:p>
            <w:pPr>
              <w:pStyle w:val="TableContents"/>
              <w:bidi w:val="0"/>
              <w:spacing w:before="0" w:after="0"/>
              <w:ind w:left="360" w:right="0" w:hanging="0"/>
              <w:jc w:val="left"/>
              <w:rPr>
                <w:rFonts w:ascii="Times New Roman;Times;serif" w:hAnsi="Times New Roman;Times;serif"/>
                <w:smallCaps/>
                <w:sz w:val="20"/>
              </w:rPr>
            </w:pPr>
            <w:r>
              <w:rPr>
                <w:rFonts w:ascii="Times New Roman;Times;serif" w:hAnsi="Times New Roman;Times;serif"/>
                <w:smallCaps/>
                <w:sz w:val="20"/>
              </w:rPr>
              <w:t>J. Michael Daniel</w:t>
            </w:r>
          </w:p>
        </w:tc>
        <w:tc>
          <w:tcPr>
            <w:tcW w:w="210" w:type="dxa"/>
            <w:tcBorders/>
            <w:vAlign w:val="center"/>
          </w:tcPr>
          <w:p>
            <w:pPr>
              <w:pStyle w:val="TableContents"/>
              <w:bidi w:val="0"/>
              <w:spacing w:before="0" w:after="283"/>
              <w:jc w:val="left"/>
              <w:rPr/>
            </w:pPr>
            <w:r>
              <w:rPr/>
              <w:t> </w:t>
            </w:r>
          </w:p>
        </w:tc>
      </w:tr>
      <w:tr>
        <w:trPr/>
        <w:tc>
          <w:tcPr>
            <w:tcW w:w="5553" w:type="dxa"/>
            <w:gridSpan w:val="3"/>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 Michael Daniel, Senior Vice President and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caps w:val="false"/>
          <w:smallCaps w:val="false"/>
          <w:sz w:val="20"/>
        </w:rPr>
      </w:pPr>
      <w:bookmarkStart w:id="6" w:name="ex_1019982.htm"/>
      <w:bookmarkStart w:id="7" w:name="ksex_1019982"/>
      <w:bookmarkEnd w:id="6"/>
      <w:bookmarkEnd w:id="7"/>
      <w:r>
        <w:rPr>
          <w:rFonts w:ascii="Times New Roman" w:hAnsi="Times New Roman"/>
          <w:caps w:val="false"/>
          <w:smallCaps w:val="false"/>
          <w:sz w:val="20"/>
        </w:rPr>
        <w:t>Exhibit 32a</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CERTIFICATION PURSUANT TO 18 U.S.C. SECTION 1350,</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AS ADOPTED PURSUANT TO SECTION 906</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connection with the Quarterly Report of Bassett Furniture Industries, Incorporated (the “Company”) on Form 10-Q for the period ending August 29, 2026, as filed with the Securities and Exchange Commission on the date hereof (the “Report”), I, Robert H. Spilman, Jr., Chief Executive Officer of the Company, certify, pursuant to 18 U.S.C. ss.1350, as adopted pursuant to ss.906 of the Sarbanes-Oxley Act of 2002, that:</w:t>
      </w:r>
    </w:p>
    <w:p>
      <w:pPr>
        <w:pStyle w:val="TextBody"/>
        <w:bidi w:val="0"/>
        <w:spacing w:before="0" w:after="0"/>
        <w:ind w:left="0" w:right="0" w:hanging="0"/>
        <w:jc w:val="left"/>
        <w:rPr>
          <w:caps w:val="false"/>
          <w:smallCaps w:val="false"/>
        </w:rPr>
      </w:pPr>
      <w:r>
        <w:rPr>
          <w:caps w:val="false"/>
          <w:smallCaps w:val="false"/>
        </w:rPr>
        <w:t> </w:t>
      </w:r>
    </w:p>
    <w:tbl>
      <w:tblPr>
        <w:tblW w:w="9820" w:type="dxa"/>
        <w:jc w:val="left"/>
        <w:tblInd w:w="0" w:type="dxa"/>
        <w:tblLayout w:type="fixed"/>
        <w:tblCellMar>
          <w:top w:w="0" w:type="dxa"/>
          <w:left w:w="0" w:type="dxa"/>
          <w:bottom w:w="0" w:type="dxa"/>
          <w:right w:w="0" w:type="dxa"/>
        </w:tblCellMar>
      </w:tblPr>
      <w:tblGrid>
        <w:gridCol w:w="60"/>
        <w:gridCol w:w="170"/>
        <w:gridCol w:w="95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5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Report fully complies with the requirements of Section 13(a) or 15(d) of the Securities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2"/>
        <w:gridCol w:w="9983"/>
      </w:tblGrid>
      <w:tr>
        <w:trPr/>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8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September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153" w:type="dxa"/>
        <w:jc w:val="left"/>
        <w:tblInd w:w="0" w:type="dxa"/>
        <w:tblLayout w:type="fixed"/>
        <w:tblCellMar>
          <w:top w:w="0" w:type="dxa"/>
          <w:left w:w="0" w:type="dxa"/>
          <w:bottom w:w="0" w:type="dxa"/>
          <w:right w:w="0" w:type="dxa"/>
        </w:tblCellMar>
      </w:tblPr>
      <w:tblGrid>
        <w:gridCol w:w="310"/>
        <w:gridCol w:w="2742"/>
        <w:gridCol w:w="101"/>
      </w:tblGrid>
      <w:tr>
        <w:trPr/>
        <w:tc>
          <w:tcPr>
            <w:tcW w:w="3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w:t>
            </w:r>
          </w:p>
        </w:tc>
        <w:tc>
          <w:tcPr>
            <w:tcW w:w="2742" w:type="dxa"/>
            <w:tcBorders>
              <w:bottom w:val="single" w:sz="2" w:space="0" w:color="000000"/>
            </w:tcBorders>
            <w:tcMar>
              <w:bottom w:w="28" w:type="dxa"/>
            </w:tcMar>
            <w:vAlign w:val="center"/>
          </w:tcPr>
          <w:p>
            <w:pPr>
              <w:pStyle w:val="TableContents"/>
              <w:bidi w:val="0"/>
              <w:spacing w:before="0" w:after="0"/>
              <w:ind w:left="360" w:right="0" w:hanging="0"/>
              <w:jc w:val="left"/>
              <w:rPr>
                <w:rFonts w:ascii="Times New Roman;Times;serif" w:hAnsi="Times New Roman;Times;serif"/>
                <w:smallCaps/>
                <w:sz w:val="20"/>
              </w:rPr>
            </w:pPr>
            <w:r>
              <w:rPr>
                <w:rFonts w:ascii="Times New Roman;Times;serif" w:hAnsi="Times New Roman;Times;serif"/>
                <w:smallCaps/>
                <w:sz w:val="20"/>
              </w:rPr>
              <w:t>Robert H. Spilman, Jr.</w:t>
            </w:r>
          </w:p>
        </w:tc>
        <w:tc>
          <w:tcPr>
            <w:tcW w:w="101" w:type="dxa"/>
            <w:tcBorders/>
            <w:vAlign w:val="center"/>
          </w:tcPr>
          <w:p>
            <w:pPr>
              <w:pStyle w:val="TableContents"/>
              <w:bidi w:val="0"/>
              <w:spacing w:before="0" w:after="283"/>
              <w:jc w:val="left"/>
              <w:rPr/>
            </w:pPr>
            <w:r>
              <w:rPr/>
              <w:t> </w:t>
            </w:r>
          </w:p>
        </w:tc>
      </w:tr>
      <w:tr>
        <w:trPr/>
        <w:tc>
          <w:tcPr>
            <w:tcW w:w="3153" w:type="dxa"/>
            <w:gridSpan w:val="3"/>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Robert H. Spilman, Jr.,</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Chairman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A signed original of this written statement required by Section 906 has been provided to Bassett Furniture Industries, Incorporated and will be retained by Bassett Furniture Industries, Incorporated and furnished to the Securities and Exchange Commission or its staff upon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caps w:val="false"/>
          <w:smallCaps w:val="false"/>
          <w:sz w:val="20"/>
        </w:rPr>
      </w:pPr>
      <w:bookmarkStart w:id="8" w:name="ex_1019983.htm"/>
      <w:bookmarkStart w:id="9" w:name="ksex_1019983"/>
      <w:bookmarkEnd w:id="8"/>
      <w:bookmarkEnd w:id="9"/>
      <w:r>
        <w:rPr>
          <w:rFonts w:ascii="Times New Roman" w:hAnsi="Times New Roman"/>
          <w:caps w:val="false"/>
          <w:smallCaps w:val="false"/>
          <w:sz w:val="20"/>
        </w:rPr>
        <w:t>Exhibit 32b</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CERTIFICATION PURSUANT TO 18 U.S.C. SECTION 1350,</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AS ADOPTED PURSUANT TO SECTION 906</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connection with the Quarterly Report of Bassett Furniture Industries, Incorporated (the “Company”) on Form 10-Q for the period ending August 29, 2026, as filed with the Securities and Exchange Commission on the date hereof (the “Report”), I, J. Michael Daniel, Chief Financial Officer of the Company, certify, pursuant to 18 U.S.C. ss.1350, as adopted pursuant to ss.906 of the Sarbanes-Oxley Act of 2002, that:</w:t>
      </w:r>
    </w:p>
    <w:p>
      <w:pPr>
        <w:pStyle w:val="TextBody"/>
        <w:bidi w:val="0"/>
        <w:spacing w:before="0" w:after="0"/>
        <w:ind w:left="0" w:right="0" w:hanging="0"/>
        <w:jc w:val="left"/>
        <w:rPr>
          <w:caps w:val="false"/>
          <w:smallCaps w:val="false"/>
        </w:rPr>
      </w:pPr>
      <w:r>
        <w:rPr>
          <w:caps w:val="false"/>
          <w:smallCaps w:val="false"/>
        </w:rPr>
        <w:t> </w:t>
      </w:r>
    </w:p>
    <w:tbl>
      <w:tblPr>
        <w:tblW w:w="9820" w:type="dxa"/>
        <w:jc w:val="left"/>
        <w:tblInd w:w="0" w:type="dxa"/>
        <w:tblLayout w:type="fixed"/>
        <w:tblCellMar>
          <w:top w:w="0" w:type="dxa"/>
          <w:left w:w="0" w:type="dxa"/>
          <w:bottom w:w="0" w:type="dxa"/>
          <w:right w:w="0" w:type="dxa"/>
        </w:tblCellMar>
      </w:tblPr>
      <w:tblGrid>
        <w:gridCol w:w="60"/>
        <w:gridCol w:w="170"/>
        <w:gridCol w:w="95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5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Report fully complies with the requirements of Section 13(a) or 15(d) of the Securities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2"/>
        <w:gridCol w:w="9983"/>
      </w:tblGrid>
      <w:tr>
        <w:trPr/>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8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September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039" w:type="dxa"/>
        <w:jc w:val="left"/>
        <w:tblInd w:w="0" w:type="dxa"/>
        <w:tblLayout w:type="fixed"/>
        <w:tblCellMar>
          <w:top w:w="0" w:type="dxa"/>
          <w:left w:w="0" w:type="dxa"/>
          <w:bottom w:w="0" w:type="dxa"/>
          <w:right w:w="0" w:type="dxa"/>
        </w:tblCellMar>
      </w:tblPr>
      <w:tblGrid>
        <w:gridCol w:w="470"/>
        <w:gridCol w:w="3416"/>
        <w:gridCol w:w="153"/>
      </w:tblGrid>
      <w:tr>
        <w:trPr/>
        <w:tc>
          <w:tcPr>
            <w:tcW w:w="4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w:t>
            </w:r>
          </w:p>
        </w:tc>
        <w:tc>
          <w:tcPr>
            <w:tcW w:w="3416" w:type="dxa"/>
            <w:tcBorders>
              <w:bottom w:val="single" w:sz="2" w:space="0" w:color="000000"/>
            </w:tcBorders>
            <w:tcMar>
              <w:bottom w:w="28" w:type="dxa"/>
            </w:tcMar>
            <w:vAlign w:val="center"/>
          </w:tcPr>
          <w:p>
            <w:pPr>
              <w:pStyle w:val="TableContents"/>
              <w:bidi w:val="0"/>
              <w:spacing w:before="0" w:after="0"/>
              <w:ind w:left="360" w:right="0" w:hanging="0"/>
              <w:jc w:val="left"/>
              <w:rPr>
                <w:rFonts w:ascii="Times New Roman;Times;serif" w:hAnsi="Times New Roman;Times;serif"/>
                <w:smallCaps/>
                <w:sz w:val="20"/>
              </w:rPr>
            </w:pPr>
            <w:r>
              <w:rPr>
                <w:rFonts w:ascii="Times New Roman;Times;serif" w:hAnsi="Times New Roman;Times;serif"/>
                <w:smallCaps/>
                <w:sz w:val="20"/>
              </w:rPr>
              <w:t>J. Michael Daniel</w:t>
            </w:r>
          </w:p>
        </w:tc>
        <w:tc>
          <w:tcPr>
            <w:tcW w:w="153" w:type="dxa"/>
            <w:tcBorders/>
            <w:vAlign w:val="center"/>
          </w:tcPr>
          <w:p>
            <w:pPr>
              <w:pStyle w:val="TableContents"/>
              <w:bidi w:val="0"/>
              <w:spacing w:before="0" w:after="283"/>
              <w:jc w:val="left"/>
              <w:rPr/>
            </w:pPr>
            <w:r>
              <w:rPr/>
              <w:t> </w:t>
            </w:r>
          </w:p>
        </w:tc>
      </w:tr>
      <w:tr>
        <w:trPr/>
        <w:tc>
          <w:tcPr>
            <w:tcW w:w="4039" w:type="dxa"/>
            <w:gridSpan w:val="3"/>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 Michael Daniel,</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Senior Vice President and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A signed original of this written statement required by Section 906 has been provided to Bassett Furniture Industries, Incorporated and will be retained by Bassett Furniture Industries, Incorporated and furnished to the Securities and Exchange Commission or its staff upon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0329/000143774925023205/ex_841551.htm" TargetMode="External"/><Relationship Id="rId3" Type="http://schemas.openxmlformats.org/officeDocument/2006/relationships/hyperlink" Target="http://www.sec.gov/Archives/edgar/data/10329/000143774925023205/ex_84155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17745</Words>
  <Characters>94843</Characters>
  <CharactersWithSpaces>115799</CharactersWithSpaces>
  <Paragraphs>9530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