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26"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SCHEDULE 14A INFORMATION</w:t>
      </w:r>
    </w:p>
    <w:p>
      <w:pPr>
        <w:spacing w:after="0" w:line="143"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26" w:lineRule="exact"/>
        <w:rPr>
          <w:sz w:val="24"/>
          <w:szCs w:val="24"/>
          <w:color w:val="auto"/>
        </w:rPr>
      </w:pPr>
    </w:p>
    <w:p>
      <w:pPr>
        <w:ind w:left="1770"/>
        <w:spacing w:after="0"/>
        <w:tabs>
          <w:tab w:leader="none" w:pos="5089"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31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the Registrant /X/</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20" w:type="dxa"/>
            <w:vAlign w:val="bottom"/>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 / Confidential, for Use of the Commission</w:t>
            </w:r>
          </w:p>
        </w:tc>
        <w:tc>
          <w:tcPr>
            <w:tcW w:w="0" w:type="dxa"/>
            <w:vAlign w:val="bottom"/>
          </w:tcPr>
          <w:p>
            <w:pPr>
              <w:spacing w:after="0"/>
              <w:rPr>
                <w:sz w:val="1"/>
                <w:szCs w:val="1"/>
                <w:color w:val="auto"/>
              </w:rPr>
            </w:pPr>
          </w:p>
        </w:tc>
      </w:tr>
      <w:tr>
        <w:trPr>
          <w:trHeight w:val="246"/>
        </w:trPr>
        <w:tc>
          <w:tcPr>
            <w:tcW w:w="340" w:type="dxa"/>
            <w:vAlign w:val="bottom"/>
            <w:vMerge w:val="restart"/>
          </w:tcPr>
          <w:p>
            <w:pPr>
              <w:spacing w:after="0"/>
              <w:rPr>
                <w:sz w:val="20"/>
                <w:szCs w:val="20"/>
                <w:color w:val="auto"/>
              </w:rPr>
            </w:pPr>
            <w:r>
              <w:rPr>
                <w:rFonts w:ascii="Courier New" w:cs="Courier New" w:eastAsia="Courier New" w:hAnsi="Courier New"/>
                <w:sz w:val="15"/>
                <w:szCs w:val="15"/>
                <w:color w:val="auto"/>
              </w:rPr>
              <w:t>/X/</w:t>
            </w:r>
          </w:p>
        </w:tc>
        <w:tc>
          <w:tcPr>
            <w:tcW w:w="35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Only (as permitted by Rule 14a-6(e)(2))</w:t>
            </w:r>
          </w:p>
        </w:tc>
        <w:tc>
          <w:tcPr>
            <w:tcW w:w="0" w:type="dxa"/>
            <w:vAlign w:val="bottom"/>
          </w:tcPr>
          <w:p>
            <w:pPr>
              <w:spacing w:after="0"/>
              <w:rPr>
                <w:sz w:val="1"/>
                <w:szCs w:val="1"/>
                <w:color w:val="auto"/>
              </w:rPr>
            </w:pPr>
          </w:p>
        </w:tc>
      </w:tr>
      <w:tr>
        <w:trPr>
          <w:trHeight w:val="119"/>
        </w:trPr>
        <w:tc>
          <w:tcPr>
            <w:tcW w:w="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 Material Pursuant to Rule 14a-11(c) or Rule 14a-12</w:t>
      </w:r>
    </w:p>
    <w:p>
      <w:pPr>
        <w:spacing w:after="0" w:line="313"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2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43"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31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ind w:left="450" w:right="3259" w:hanging="439"/>
        <w:spacing w:after="0" w:line="347" w:lineRule="auto"/>
        <w:tabs>
          <w:tab w:leader="none" w:pos="429" w:val="left"/>
        </w:tabs>
        <w:rPr>
          <w:sz w:val="20"/>
          <w:szCs w:val="20"/>
          <w:color w:val="auto"/>
        </w:rPr>
      </w:pPr>
      <w:r>
        <w:rPr>
          <w:rFonts w:ascii="Courier New" w:cs="Courier New" w:eastAsia="Courier New" w:hAnsi="Courier New"/>
          <w:sz w:val="15"/>
          <w:szCs w:val="15"/>
          <w:color w:val="auto"/>
        </w:rPr>
        <w:t>/X/</w:t>
        <w:tab/>
        <w:t>$125 per Exchange Act Rules 0-11(c)(1)(ii), 14a-6(i)(1), or 14a-6(i)(2) or Item 22(a)(2) of Schedule 14A.</w:t>
      </w:r>
    </w:p>
    <w:p>
      <w:pPr>
        <w:spacing w:after="0" w:line="17" w:lineRule="exact"/>
        <w:rPr>
          <w:sz w:val="24"/>
          <w:szCs w:val="24"/>
          <w:color w:val="auto"/>
        </w:rPr>
      </w:pPr>
    </w:p>
    <w:p>
      <w:pPr>
        <w:ind w:left="450" w:right="3799" w:hanging="450"/>
        <w:spacing w:after="0" w:line="347"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17"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9" w:lineRule="exact"/>
        <w:rPr>
          <w:rFonts w:ascii="Courier New" w:cs="Courier New" w:eastAsia="Courier New" w:hAnsi="Courier New"/>
          <w:sz w:val="15"/>
          <w:szCs w:val="15"/>
          <w:color w:val="auto"/>
        </w:rPr>
      </w:pPr>
    </w:p>
    <w:p>
      <w:pPr>
        <w:ind w:left="890" w:right="3259" w:hanging="449"/>
        <w:spacing w:after="0" w:line="293" w:lineRule="auto"/>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69" w:lineRule="exact"/>
        <w:rPr>
          <w:rFonts w:ascii="Courier New" w:cs="Courier New" w:eastAsia="Courier New" w:hAnsi="Courier New"/>
          <w:sz w:val="15"/>
          <w:szCs w:val="15"/>
          <w:color w:val="auto"/>
        </w:rPr>
      </w:pPr>
    </w:p>
    <w:p>
      <w:pPr>
        <w:ind w:left="10" w:right="3179" w:hanging="10"/>
        <w:spacing w:after="0" w:line="251" w:lineRule="auto"/>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the Form or Schedule and the date of its filing.</w:t>
      </w:r>
    </w:p>
    <w:p>
      <w:pPr>
        <w:spacing w:after="0" w:line="143"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9"/>
          </w:cols>
          <w:pgMar w:left="23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BASSETT, VIRGINIA</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2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TO BE HELD FEBRUARY 21, 1996</w:t>
      </w:r>
    </w:p>
    <w:p>
      <w:pPr>
        <w:spacing w:after="0" w:line="143"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NOTICE IS HEREBY GIVEN that the Annual Meeting of Stockholders of Bassett Furniture Industries, Incorporated (the Company) will be held at the Company's Main Office Building, Bassett, Virginia, on Wednesday, February 21, 1996, at 10:00 a.m., Local Time, for the purpose of considering and acting upon the following:</w:t>
      </w:r>
    </w:p>
    <w:p>
      <w:pPr>
        <w:spacing w:after="0" w:line="75" w:lineRule="exact"/>
        <w:rPr>
          <w:sz w:val="20"/>
          <w:szCs w:val="20"/>
          <w:color w:val="auto"/>
        </w:rPr>
      </w:pPr>
    </w:p>
    <w:p>
      <w:pPr>
        <w:ind w:left="1480" w:hanging="608"/>
        <w:spacing w:after="0"/>
        <w:tabs>
          <w:tab w:leader="none" w:pos="14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eleven Directors.</w:t>
      </w:r>
    </w:p>
    <w:p>
      <w:pPr>
        <w:spacing w:after="0" w:line="169" w:lineRule="exact"/>
        <w:rPr>
          <w:rFonts w:ascii="Courier New" w:cs="Courier New" w:eastAsia="Courier New" w:hAnsi="Courier New"/>
          <w:sz w:val="15"/>
          <w:szCs w:val="15"/>
          <w:color w:val="auto"/>
        </w:rPr>
      </w:pPr>
    </w:p>
    <w:p>
      <w:pPr>
        <w:ind w:left="1480" w:right="3619" w:hanging="608"/>
        <w:spacing w:after="0" w:line="293" w:lineRule="auto"/>
        <w:tabs>
          <w:tab w:leader="none" w:pos="14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ratify the selection of KPMG Peat Marwick as independent public accountants for the fiscal year ending November 30, 1996.</w:t>
      </w:r>
    </w:p>
    <w:p>
      <w:pPr>
        <w:spacing w:after="0" w:line="55" w:lineRule="exact"/>
        <w:rPr>
          <w:rFonts w:ascii="Courier New" w:cs="Courier New" w:eastAsia="Courier New" w:hAnsi="Courier New"/>
          <w:sz w:val="15"/>
          <w:szCs w:val="15"/>
          <w:color w:val="auto"/>
        </w:rPr>
      </w:pPr>
    </w:p>
    <w:p>
      <w:pPr>
        <w:ind w:left="1480" w:right="3539" w:hanging="608"/>
        <w:spacing w:after="0" w:line="347" w:lineRule="auto"/>
        <w:tabs>
          <w:tab w:leader="none" w:pos="14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other matters that may properly come before the meeting or any adjournment thereof.</w:t>
      </w:r>
    </w:p>
    <w:p>
      <w:pPr>
        <w:spacing w:after="0" w:line="187"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The Board of Directors has fixed the close of business on December 15, 1995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75"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THE BOARD OF DIRECTORS WILL APPRECIATE THE PROMPT RETURN OF THE ENCLOSED PROXY, DATED AND SIGNED. THE PROXY MAY BE REVOKED BY YOU AT ANY TIME BEFORE IT IS EXERCISED AND WILL NOT BE EXERCISED IF YOU ATTEND THE MEETING AND VOTE IN PERSON.</w:t>
      </w:r>
    </w:p>
    <w:p>
      <w:pPr>
        <w:spacing w:after="0" w:line="69"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J. Stanley Payne</w:t>
      </w:r>
    </w:p>
    <w:p>
      <w:pPr>
        <w:spacing w:after="0" w:line="2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Vice President, Secretary</w:t>
      </w:r>
    </w:p>
    <w:p>
      <w:pPr>
        <w:ind w:left="3520"/>
        <w:spacing w:after="0"/>
        <w:rPr>
          <w:sz w:val="20"/>
          <w:szCs w:val="20"/>
          <w:color w:val="auto"/>
        </w:rPr>
      </w:pPr>
      <w:r>
        <w:rPr>
          <w:rFonts w:ascii="Courier New" w:cs="Courier New" w:eastAsia="Courier New" w:hAnsi="Courier New"/>
          <w:sz w:val="15"/>
          <w:szCs w:val="15"/>
          <w:color w:val="auto"/>
        </w:rPr>
        <w:t>and General Counsel</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Virginia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12, 1996</w:t>
      </w:r>
    </w:p>
    <w:p>
      <w:pPr>
        <w:sectPr>
          <w:pgSz w:w="11900" w:h="16838" w:orient="portrait"/>
          <w:cols w:equalWidth="0" w:num="1">
            <w:col w:w="10219"/>
          </w:cols>
          <w:pgMar w:left="240" w:top="26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69" w:lineRule="exact"/>
        <w:rPr>
          <w:sz w:val="20"/>
          <w:szCs w:val="20"/>
          <w:color w:val="auto"/>
        </w:rPr>
      </w:pPr>
    </w:p>
    <w:p>
      <w:pPr>
        <w:jc w:val="center"/>
        <w:ind w:right="3279"/>
        <w:spacing w:after="0"/>
        <w:tabs>
          <w:tab w:leader="none" w:pos="160" w:val="left"/>
        </w:tabs>
        <w:rPr>
          <w:sz w:val="20"/>
          <w:szCs w:val="20"/>
          <w:color w:val="auto"/>
        </w:rPr>
      </w:pPr>
      <w:r>
        <w:rPr>
          <w:rFonts w:ascii="Courier New" w:cs="Courier New" w:eastAsia="Courier New" w:hAnsi="Courier New"/>
          <w:sz w:val="15"/>
          <w:szCs w:val="15"/>
          <w:color w:val="auto"/>
        </w:rPr>
        <w:t>Post Office Box 626, Bassett, Virginia</w:t>
      </w:r>
      <w:r>
        <w:rPr>
          <w:sz w:val="20"/>
          <w:szCs w:val="20"/>
          <w:color w:val="auto"/>
        </w:rPr>
        <w:tab/>
      </w:r>
      <w:r>
        <w:rPr>
          <w:rFonts w:ascii="Courier New" w:cs="Courier New" w:eastAsia="Courier New" w:hAnsi="Courier New"/>
          <w:sz w:val="14"/>
          <w:szCs w:val="14"/>
          <w:color w:val="auto"/>
        </w:rPr>
        <w:t>24055</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259" w:firstLine="793"/>
        <w:spacing w:after="0" w:line="283"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proxies to be used at the Annual Meeting of Stockholders of Bassett Furniture Industries, Incorporated (the Company) to be held at its Main Office Building, Bassett, Virginia, at 10:00 a.m., Local Time, on Wednesday, February 21, 1996. This Proxy Statement and accompanying proxy are being sent to the stockholders of the Company on or about January 12, 1996.</w:t>
      </w:r>
    </w:p>
    <w:p>
      <w:pPr>
        <w:spacing w:after="0" w:line="64" w:lineRule="exact"/>
        <w:rPr>
          <w:sz w:val="20"/>
          <w:szCs w:val="20"/>
          <w:color w:val="auto"/>
        </w:rPr>
      </w:pPr>
    </w:p>
    <w:p>
      <w:pPr>
        <w:ind w:right="3359" w:firstLine="793"/>
        <w:spacing w:after="0" w:line="252" w:lineRule="auto"/>
        <w:rPr>
          <w:sz w:val="20"/>
          <w:szCs w:val="20"/>
          <w:color w:val="auto"/>
        </w:rPr>
      </w:pPr>
      <w:r>
        <w:rPr>
          <w:rFonts w:ascii="Courier New" w:cs="Courier New" w:eastAsia="Courier New" w:hAnsi="Courier New"/>
          <w:sz w:val="15"/>
          <w:szCs w:val="15"/>
          <w:color w:val="auto"/>
        </w:rPr>
        <w:t>Solicitation other than by mail may be made personally and by telephone by regularly employed officers and employees of the Company who will not be additionally compensated therefor. The Company will request brokers, dealers, banks or voting trustees, or their nominees, who hold stock in their names for others or hold stock for others who have the right to give voting instructions, to forward proxy materials to their principals and request authority for the execution of the proxy and will reimburse such institutions for their reasonable expenses in so doing. The total cost of soliciting proxies will be borne by the Company.</w:t>
      </w:r>
    </w:p>
    <w:p>
      <w:pPr>
        <w:spacing w:after="0" w:line="89"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Any proxy delivered in the accompanying form may be revoked by the person executing the proxy at any time, before the authority thereby granted is exercised, by written request addressed to J. Stanley Payne, Vice President, Secretary and General Counsel, Bassett Furniture Industries, Incorporated, Post Office Box 626, Bassett, Virginia 24055 or by attending the meeting and electing to vote in person. Proxies received in such form will be voted as therein set forth at the meeting or any adjournment thereof.</w:t>
      </w:r>
    </w:p>
    <w:p>
      <w:pPr>
        <w:spacing w:after="0" w:line="82"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5"/>
          <w:szCs w:val="15"/>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82"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4"/>
          <w:szCs w:val="14"/>
          <w:color w:val="auto"/>
        </w:rPr>
        <w:t>Stockholders present or represented and entitled to vote on a matter at the meeting or any adjournment thereof will be entitled to one vote on such matter for each share of the Common Stock of the Company held by them of record at the close of business on December 15, 1995, which is the record date for determining the stockholders entitled to notice of and to vote at such meeting or any adjournment thereof. Voting on all matters, including the election of Directors, will be by voice vote or by show of hands. The number of shares of Common Stock of the Company outstanding on December 15, 1995 was 13,633,953.</w:t>
      </w:r>
    </w:p>
    <w:p>
      <w:pPr>
        <w:sectPr>
          <w:pgSz w:w="11900" w:h="16838" w:orient="portrait"/>
          <w:cols w:equalWidth="0" w:num="1">
            <w:col w:w="10219"/>
          </w:cols>
          <w:pgMar w:left="240" w:top="262" w:right="1440" w:bottom="1440" w:gutter="0" w:footer="0" w:header="0"/>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PRINCIPAL STOCKHOLDERS AND HOLDINGS OF MANAGEMENT</w:t>
      </w:r>
    </w:p>
    <w:p>
      <w:pPr>
        <w:spacing w:after="0" w:line="169" w:lineRule="exact"/>
        <w:rPr>
          <w:sz w:val="20"/>
          <w:szCs w:val="20"/>
          <w:color w:val="auto"/>
        </w:rPr>
      </w:pPr>
    </w:p>
    <w:p>
      <w:pPr>
        <w:jc w:val="both"/>
        <w:ind w:left="10" w:right="3619" w:firstLine="793"/>
        <w:spacing w:after="0" w:line="293" w:lineRule="auto"/>
        <w:rPr>
          <w:sz w:val="20"/>
          <w:szCs w:val="20"/>
          <w:color w:val="auto"/>
        </w:rPr>
      </w:pPr>
      <w:r>
        <w:rPr>
          <w:rFonts w:ascii="Courier New" w:cs="Courier New" w:eastAsia="Courier New" w:hAnsi="Courier New"/>
          <w:sz w:val="15"/>
          <w:szCs w:val="15"/>
          <w:color w:val="auto"/>
        </w:rPr>
        <w:t>At December 15, 1995, the only person known to the Company to be a beneficial owner of more than 5% of the $5.00 par value Common Stock of the Company (the Common Stock) was as follows:</w:t>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 OF</w:t>
            </w:r>
          </w:p>
        </w:tc>
        <w:tc>
          <w:tcPr>
            <w:tcW w:w="3260" w:type="dxa"/>
            <w:vAlign w:val="bottom"/>
          </w:tcPr>
          <w:p>
            <w:pPr>
              <w:ind w:left="800"/>
              <w:spacing w:after="0"/>
              <w:rPr>
                <w:sz w:val="20"/>
                <w:szCs w:val="20"/>
                <w:color w:val="auto"/>
              </w:rPr>
            </w:pPr>
            <w:r>
              <w:rPr>
                <w:rFonts w:ascii="Courier New" w:cs="Courier New" w:eastAsia="Courier New" w:hAnsi="Courier New"/>
                <w:sz w:val="15"/>
                <w:szCs w:val="15"/>
                <w:color w:val="auto"/>
              </w:rPr>
              <w:t>NUMBER OF SHARES</w:t>
            </w:r>
          </w:p>
        </w:tc>
        <w:tc>
          <w:tcPr>
            <w:tcW w:w="22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PERCENT OF COMMON</w:t>
            </w:r>
          </w:p>
        </w:tc>
        <w:tc>
          <w:tcPr>
            <w:tcW w:w="0" w:type="dxa"/>
            <w:vAlign w:val="bottom"/>
          </w:tcPr>
          <w:p>
            <w:pPr>
              <w:spacing w:after="0"/>
              <w:rPr>
                <w:sz w:val="1"/>
                <w:szCs w:val="1"/>
                <w:color w:val="auto"/>
              </w:rPr>
            </w:pPr>
          </w:p>
        </w:tc>
      </w:tr>
      <w:tr>
        <w:trPr>
          <w:trHeight w:val="170"/>
        </w:trPr>
        <w:tc>
          <w:tcPr>
            <w:tcW w:w="2980" w:type="dxa"/>
            <w:vAlign w:val="bottom"/>
            <w:vMerge w:val="continue"/>
          </w:tcPr>
          <w:p>
            <w:pPr>
              <w:spacing w:after="0"/>
              <w:rPr>
                <w:sz w:val="14"/>
                <w:szCs w:val="14"/>
                <w:color w:val="auto"/>
              </w:rPr>
            </w:pPr>
          </w:p>
        </w:tc>
        <w:tc>
          <w:tcPr>
            <w:tcW w:w="3260" w:type="dxa"/>
            <w:vAlign w:val="bottom"/>
          </w:tcPr>
          <w:p>
            <w:pPr>
              <w:ind w:left="800"/>
              <w:spacing w:after="0"/>
              <w:rPr>
                <w:sz w:val="20"/>
                <w:szCs w:val="20"/>
                <w:color w:val="auto"/>
              </w:rPr>
            </w:pPr>
            <w:r>
              <w:rPr>
                <w:rFonts w:ascii="Courier New" w:cs="Courier New" w:eastAsia="Courier New" w:hAnsi="Courier New"/>
                <w:sz w:val="15"/>
                <w:szCs w:val="15"/>
                <w:color w:val="auto"/>
              </w:rPr>
              <w:t>AND NATURE OF</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3260" w:type="dxa"/>
            <w:vAlign w:val="bottom"/>
          </w:tcPr>
          <w:p>
            <w:pPr>
              <w:ind w:left="800"/>
              <w:spacing w:after="0"/>
              <w:rPr>
                <w:sz w:val="20"/>
                <w:szCs w:val="20"/>
                <w:color w:val="auto"/>
              </w:rPr>
            </w:pPr>
            <w:r>
              <w:rPr>
                <w:rFonts w:ascii="Courier New" w:cs="Courier New" w:eastAsia="Courier New" w:hAnsi="Courier New"/>
                <w:sz w:val="15"/>
                <w:szCs w:val="15"/>
                <w:color w:val="auto"/>
              </w:rPr>
              <w:t>BENEFICIAL OWNERSHIP</w:t>
            </w:r>
          </w:p>
        </w:tc>
        <w:tc>
          <w:tcPr>
            <w:tcW w:w="2220" w:type="dxa"/>
            <w:vAlign w:val="bottom"/>
          </w:tcPr>
          <w:p>
            <w:pPr>
              <w:ind w:left="540"/>
              <w:spacing w:after="0"/>
              <w:rPr>
                <w:sz w:val="20"/>
                <w:szCs w:val="20"/>
                <w:color w:val="auto"/>
              </w:rPr>
            </w:pPr>
            <w:r>
              <w:rPr>
                <w:rFonts w:ascii="Courier New" w:cs="Courier New" w:eastAsia="Courier New" w:hAnsi="Courier New"/>
                <w:sz w:val="15"/>
                <w:szCs w:val="15"/>
                <w:color w:val="auto"/>
              </w:rPr>
              <w:t>STOCK OUTSTANDING</w:t>
            </w: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Bassett Employee Savings/</w:t>
            </w:r>
          </w:p>
        </w:tc>
        <w:tc>
          <w:tcPr>
            <w:tcW w:w="32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977,847(1)</w:t>
            </w:r>
          </w:p>
        </w:tc>
        <w:tc>
          <w:tcPr>
            <w:tcW w:w="22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7.09%</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Retirement Plan</w:t>
            </w: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 M. Brammer, Trustee</w:t>
            </w:r>
          </w:p>
        </w:tc>
        <w:tc>
          <w:tcPr>
            <w:tcW w:w="3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Bassett, Virginia  24055</w:t>
            </w:r>
          </w:p>
        </w:tc>
        <w:tc>
          <w:tcPr>
            <w:tcW w:w="3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50" w:right="3879" w:hanging="450"/>
        <w:spacing w:after="0" w:line="293"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Trustee, B. M. Brammer, Executive Vice President-Finance and Treasurer of the Company, has sole voting and dispositive power over these shares.</w:t>
      </w:r>
    </w:p>
    <w:p>
      <w:pPr>
        <w:spacing w:after="0" w:line="225"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5"/>
          <w:szCs w:val="15"/>
          <w:color w:val="auto"/>
        </w:rPr>
        <w:t>The following table sets forth, as of December 15, 1995, information as to the beneficial ownership of the Common Stock by all Directors and executive officers of the Company as a group and by the named Executive Officers who are not also nominees as Directors. Information with respect to the beneficial ownership of the Common Stock by Robert H. Spilman, Glenn A. Hunsucker and the other nominees for Directors is contained in the table under "Election of Directors."</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vMerge w:val="restart"/>
          </w:tcPr>
          <w:p>
            <w:pPr>
              <w:spacing w:after="0"/>
              <w:rPr>
                <w:sz w:val="20"/>
                <w:szCs w:val="20"/>
                <w:color w:val="auto"/>
              </w:rPr>
            </w:pPr>
            <w:r>
              <w:rPr>
                <w:rFonts w:ascii="Courier New" w:cs="Courier New" w:eastAsia="Courier New" w:hAnsi="Courier New"/>
                <w:sz w:val="15"/>
                <w:szCs w:val="15"/>
                <w:color w:val="auto"/>
              </w:rPr>
              <w:t>NAME OF</w:t>
            </w:r>
          </w:p>
        </w:tc>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NUMBER OF SHARES</w:t>
            </w:r>
          </w:p>
        </w:tc>
        <w:tc>
          <w:tcPr>
            <w:tcW w:w="24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PERCENT OF COMMON</w:t>
            </w:r>
          </w:p>
        </w:tc>
        <w:tc>
          <w:tcPr>
            <w:tcW w:w="0" w:type="dxa"/>
            <w:vAlign w:val="bottom"/>
          </w:tcPr>
          <w:p>
            <w:pPr>
              <w:spacing w:after="0"/>
              <w:rPr>
                <w:sz w:val="1"/>
                <w:szCs w:val="1"/>
                <w:color w:val="auto"/>
              </w:rPr>
            </w:pPr>
          </w:p>
        </w:tc>
      </w:tr>
      <w:tr>
        <w:trPr>
          <w:trHeight w:val="170"/>
        </w:trPr>
        <w:tc>
          <w:tcPr>
            <w:tcW w:w="2540" w:type="dxa"/>
            <w:vAlign w:val="bottom"/>
            <w:vMerge w:val="continue"/>
          </w:tcPr>
          <w:p>
            <w:pPr>
              <w:spacing w:after="0"/>
              <w:rPr>
                <w:sz w:val="14"/>
                <w:szCs w:val="14"/>
                <w:color w:val="auto"/>
              </w:rPr>
            </w:pPr>
          </w:p>
        </w:tc>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AND NATURE OF</w:t>
            </w: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820" w:type="dxa"/>
            <w:vAlign w:val="bottom"/>
          </w:tcPr>
          <w:p>
            <w:pPr>
              <w:ind w:left="360"/>
              <w:spacing w:after="0"/>
              <w:rPr>
                <w:sz w:val="20"/>
                <w:szCs w:val="20"/>
                <w:color w:val="auto"/>
              </w:rPr>
            </w:pPr>
            <w:r>
              <w:rPr>
                <w:rFonts w:ascii="Courier New" w:cs="Courier New" w:eastAsia="Courier New" w:hAnsi="Courier New"/>
                <w:sz w:val="15"/>
                <w:szCs w:val="15"/>
                <w:color w:val="auto"/>
              </w:rPr>
              <w:t>BENEFICIAL OWNERSHIP</w:t>
            </w:r>
          </w:p>
        </w:tc>
        <w:tc>
          <w:tcPr>
            <w:tcW w:w="2480" w:type="dxa"/>
            <w:vAlign w:val="bottom"/>
          </w:tcPr>
          <w:p>
            <w:pPr>
              <w:ind w:left="540"/>
              <w:spacing w:after="0"/>
              <w:rPr>
                <w:sz w:val="20"/>
                <w:szCs w:val="20"/>
                <w:color w:val="auto"/>
              </w:rPr>
            </w:pPr>
            <w:r>
              <w:rPr>
                <w:rFonts w:ascii="Courier New" w:cs="Courier New" w:eastAsia="Courier New" w:hAnsi="Courier New"/>
                <w:sz w:val="15"/>
                <w:szCs w:val="15"/>
                <w:color w:val="auto"/>
              </w:rPr>
              <w:t>STOCK OUTSTANDING(1)</w:t>
            </w:r>
          </w:p>
        </w:tc>
        <w:tc>
          <w:tcPr>
            <w:tcW w:w="0" w:type="dxa"/>
            <w:vAlign w:val="bottom"/>
          </w:tcPr>
          <w:p>
            <w:pPr>
              <w:spacing w:after="0"/>
              <w:rPr>
                <w:sz w:val="1"/>
                <w:szCs w:val="1"/>
                <w:color w:val="auto"/>
              </w:rPr>
            </w:pPr>
          </w:p>
        </w:tc>
      </w:tr>
      <w:tr>
        <w:trPr>
          <w:trHeight w:val="246"/>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28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1,685,634(2)(3)</w:t>
            </w:r>
          </w:p>
        </w:tc>
        <w:tc>
          <w:tcPr>
            <w:tcW w:w="24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12.21%</w:t>
            </w:r>
          </w:p>
        </w:tc>
        <w:tc>
          <w:tcPr>
            <w:tcW w:w="0" w:type="dxa"/>
            <w:vAlign w:val="bottom"/>
          </w:tcPr>
          <w:p>
            <w:pPr>
              <w:spacing w:after="0"/>
              <w:rPr>
                <w:sz w:val="1"/>
                <w:szCs w:val="1"/>
                <w:color w:val="auto"/>
              </w:rPr>
            </w:pPr>
          </w:p>
        </w:tc>
      </w:tr>
      <w:tr>
        <w:trPr>
          <w:trHeight w:val="170"/>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officers as a group</w:t>
            </w:r>
          </w:p>
        </w:tc>
        <w:tc>
          <w:tcPr>
            <w:tcW w:w="2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(28 persons)</w:t>
            </w:r>
          </w:p>
        </w:tc>
        <w:tc>
          <w:tcPr>
            <w:tcW w:w="28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B. M. Brammer</w:t>
            </w:r>
          </w:p>
        </w:tc>
        <w:tc>
          <w:tcPr>
            <w:tcW w:w="28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1,014,509(3)(4)</w:t>
            </w:r>
          </w:p>
        </w:tc>
        <w:tc>
          <w:tcPr>
            <w:tcW w:w="24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7.35%</w:t>
            </w:r>
          </w:p>
        </w:tc>
        <w:tc>
          <w:tcPr>
            <w:tcW w:w="0" w:type="dxa"/>
            <w:vAlign w:val="bottom"/>
          </w:tcPr>
          <w:p>
            <w:pPr>
              <w:spacing w:after="0"/>
              <w:rPr>
                <w:sz w:val="1"/>
                <w:szCs w:val="1"/>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28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15,562(4)</w:t>
            </w:r>
          </w:p>
        </w:tc>
        <w:tc>
          <w:tcPr>
            <w:tcW w:w="24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(5)</w:t>
            </w:r>
          </w:p>
        </w:tc>
        <w:tc>
          <w:tcPr>
            <w:tcW w:w="0" w:type="dxa"/>
            <w:vAlign w:val="bottom"/>
          </w:tcPr>
          <w:p>
            <w:pPr>
              <w:spacing w:after="0"/>
              <w:rPr>
                <w:sz w:val="1"/>
                <w:szCs w:val="1"/>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H. Spilman, Jr.(6)</w:t>
            </w:r>
          </w:p>
        </w:tc>
        <w:tc>
          <w:tcPr>
            <w:tcW w:w="28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75,071(4)</w:t>
            </w:r>
          </w:p>
        </w:tc>
        <w:tc>
          <w:tcPr>
            <w:tcW w:w="24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(5)</w:t>
            </w:r>
          </w:p>
        </w:tc>
        <w:tc>
          <w:tcPr>
            <w:tcW w:w="0" w:type="dxa"/>
            <w:vAlign w:val="bottom"/>
          </w:tcPr>
          <w:p>
            <w:pPr>
              <w:spacing w:after="0"/>
              <w:rPr>
                <w:sz w:val="1"/>
                <w:szCs w:val="1"/>
                <w:color w:val="auto"/>
              </w:rPr>
            </w:pP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90" w:right="3619" w:hanging="790"/>
        <w:spacing w:after="0" w:line="293"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plus options held by directors and executive officers that are currently exercisable or that are exercisable within 60 days.</w:t>
      </w:r>
    </w:p>
    <w:p>
      <w:pPr>
        <w:spacing w:after="0" w:line="55" w:lineRule="exact"/>
        <w:rPr>
          <w:rFonts w:ascii="Courier New" w:cs="Courier New" w:eastAsia="Courier New" w:hAnsi="Courier New"/>
          <w:sz w:val="15"/>
          <w:szCs w:val="15"/>
          <w:color w:val="auto"/>
        </w:rPr>
      </w:pPr>
    </w:p>
    <w:p>
      <w:pPr>
        <w:ind w:left="790" w:right="3799" w:hanging="790"/>
        <w:spacing w:after="0" w:line="293"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166,379 shares subject to options held by directors and executive officers that are currently exercisable or that are exercisable within 60 days.</w:t>
      </w:r>
    </w:p>
    <w:p>
      <w:pPr>
        <w:spacing w:after="0" w:line="55" w:lineRule="exact"/>
        <w:rPr>
          <w:rFonts w:ascii="Courier New" w:cs="Courier New" w:eastAsia="Courier New" w:hAnsi="Courier New"/>
          <w:sz w:val="15"/>
          <w:szCs w:val="15"/>
          <w:color w:val="auto"/>
        </w:rPr>
      </w:pPr>
    </w:p>
    <w:p>
      <w:pPr>
        <w:ind w:left="790" w:right="3259" w:hanging="790"/>
        <w:spacing w:after="0" w:line="27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977,847 shares of Common Stock held by the Company's Employee Savings/Retirement Plan, for which B. M. Brammer, Executive Vice President-Finance and Treasurer of the Company, has sole voting and dispositive power in his capacity as Trustee. Also includes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62"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790" w:right="180"/>
        <w:spacing w:after="0" w:line="293" w:lineRule="auto"/>
        <w:rPr>
          <w:sz w:val="20"/>
          <w:szCs w:val="20"/>
          <w:color w:val="auto"/>
        </w:rPr>
      </w:pPr>
      <w:r>
        <w:rPr>
          <w:rFonts w:ascii="Courier New" w:cs="Courier New" w:eastAsia="Courier New" w:hAnsi="Courier New"/>
          <w:sz w:val="15"/>
          <w:szCs w:val="15"/>
          <w:color w:val="auto"/>
        </w:rPr>
        <w:t>12,620 shares held in trusts of which Mr. Brammer is trustee and shares held by Mr. Brammer's wife. Mr. Brammer disclaims beneficial ownership of these 12,620 shares.</w:t>
      </w:r>
    </w:p>
    <w:p>
      <w:pPr>
        <w:spacing w:after="0" w:line="56" w:lineRule="exact"/>
        <w:rPr>
          <w:sz w:val="20"/>
          <w:szCs w:val="20"/>
          <w:color w:val="auto"/>
        </w:rPr>
      </w:pPr>
    </w:p>
    <w:p>
      <w:pPr>
        <w:ind w:left="790" w:right="180" w:hanging="790"/>
        <w:spacing w:after="0" w:line="289" w:lineRule="auto"/>
        <w:tabs>
          <w:tab w:leader="none" w:pos="79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28,938 shares subject to options that are currently exercisable or that are exercisable within 60 days as follows: J. C. Philpott 9,765; B. M. Brammer 8,694; and Robert H. Spilman, Jr. 10,479. Does not include shares attributable to the named Executive Officers under the Company's Employee Savings/Retirement Plan.</w:t>
      </w:r>
    </w:p>
    <w:p>
      <w:pPr>
        <w:spacing w:after="0" w:line="62"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69" w:lineRule="exact"/>
        <w:rPr>
          <w:rFonts w:ascii="Courier New" w:cs="Courier New" w:eastAsia="Courier New" w:hAnsi="Courier New"/>
          <w:sz w:val="15"/>
          <w:szCs w:val="15"/>
          <w:color w:val="auto"/>
        </w:rPr>
      </w:pPr>
    </w:p>
    <w:p>
      <w:pPr>
        <w:ind w:left="790" w:right="280" w:hanging="790"/>
        <w:spacing w:after="0" w:line="347"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Jr. is the son of Robert H. Spilman, Chairman of the Board and Chief Executive Officer of the Company.</w:t>
      </w:r>
    </w:p>
    <w:p>
      <w:pPr>
        <w:spacing w:after="0" w:line="1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ELECTION OF DIRECTORS</w:t>
      </w:r>
    </w:p>
    <w:p>
      <w:pPr>
        <w:spacing w:after="0" w:line="169" w:lineRule="exact"/>
        <w:rPr>
          <w:sz w:val="20"/>
          <w:szCs w:val="20"/>
          <w:color w:val="auto"/>
        </w:rPr>
      </w:pPr>
    </w:p>
    <w:p>
      <w:pPr>
        <w:ind w:left="10" w:firstLine="793"/>
        <w:spacing w:after="0" w:line="264" w:lineRule="auto"/>
        <w:rPr>
          <w:sz w:val="20"/>
          <w:szCs w:val="20"/>
          <w:color w:val="auto"/>
        </w:rPr>
      </w:pPr>
      <w:r>
        <w:rPr>
          <w:rFonts w:ascii="Courier New" w:cs="Courier New" w:eastAsia="Courier New" w:hAnsi="Courier New"/>
          <w:sz w:val="14"/>
          <w:szCs w:val="14"/>
          <w:color w:val="auto"/>
        </w:rPr>
        <w:t>The Bylaws of the Company provide for eleven Directors. At the meeting, eleven Directors will be elected to serve, subject to the provisions of the Bylaws, until the 1997 Annual Meeting of Stockholders and until their successors are duly elected and qualified. George W. Lyles, Jr., a dedicated and loyal director, has chosen not to run for reelection to the Board of Directors this year. Thomas W. Moss, Jr. has been nominated to fill Mr. Lyles' position on the Board. Directors are elected by a plurality of the votes cast by the holders of the shares entitled to vote at a meeting at which a quorum is present. Provided a quorum is present, abstentions and shares not voted are not taken into account in determining a plurality. A quorum consists of a majority of votes entitled to be cast. It is the intention of the persons named in the accompanying proxy to vote all proxies solicited by the Board of Directors FOR the eleven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eleven nominees including such substitutes as shall be designated by the Board of Directors.</w:t>
      </w:r>
    </w:p>
    <w:p>
      <w:pPr>
        <w:spacing w:after="0" w:line="255" w:lineRule="exact"/>
        <w:rPr>
          <w:sz w:val="20"/>
          <w:szCs w:val="20"/>
          <w:color w:val="auto"/>
        </w:rPr>
      </w:pPr>
    </w:p>
    <w:p>
      <w:pPr>
        <w:ind w:left="10" w:firstLine="793"/>
        <w:spacing w:after="0" w:line="300" w:lineRule="auto"/>
        <w:rPr>
          <w:sz w:val="20"/>
          <w:szCs w:val="20"/>
          <w:color w:val="auto"/>
        </w:rPr>
      </w:pPr>
      <w:r>
        <w:rPr>
          <w:rFonts w:ascii="Courier New" w:cs="Courier New" w:eastAsia="Courier New" w:hAnsi="Courier New"/>
          <w:sz w:val="14"/>
          <w:szCs w:val="14"/>
          <w:color w:val="auto"/>
        </w:rPr>
        <w:t>The eleven nominees for election as a Director are listed below. All of the nominees were elected to their current terms, which expire in 1996, at the Annual Meeting of Stockholders held on February 15, 1995, except for Mr. Moss, who is a nominee for election as a director for the first time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216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DIRECTOR SINCE</w:t>
            </w:r>
          </w:p>
        </w:tc>
        <w:tc>
          <w:tcPr>
            <w:tcW w:w="5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AGE</w:t>
            </w: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rPr>
              <w:t>OFFICES WITH THE COMPANY OR</w:t>
            </w:r>
          </w:p>
        </w:tc>
        <w:tc>
          <w:tcPr>
            <w:tcW w:w="0" w:type="dxa"/>
            <w:vAlign w:val="bottom"/>
          </w:tcPr>
          <w:p>
            <w:pPr>
              <w:spacing w:after="0"/>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w w:val="97"/>
              </w:rPr>
              <w:t>OTHER OCCUPATION DURING PAST FIVE YEARS</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0"/>
                <w:szCs w:val="20"/>
                <w:color w:val="auto"/>
              </w:rPr>
            </w:pPr>
            <w:r>
              <w:rPr>
                <w:rFonts w:ascii="Courier New" w:cs="Courier New" w:eastAsia="Courier New" w:hAnsi="Courier New"/>
                <w:sz w:val="15"/>
                <w:szCs w:val="15"/>
                <w:color w:val="auto"/>
              </w:rPr>
              <w:t>Peter W. Brown, M.D.</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Partner, Virginia Surgical</w:t>
            </w:r>
          </w:p>
        </w:tc>
        <w:tc>
          <w:tcPr>
            <w:tcW w:w="0" w:type="dxa"/>
            <w:vAlign w:val="bottom"/>
          </w:tcPr>
          <w:p>
            <w:pPr>
              <w:spacing w:after="0"/>
              <w:rPr>
                <w:sz w:val="1"/>
                <w:szCs w:val="1"/>
                <w:color w:val="auto"/>
              </w:rPr>
            </w:pPr>
          </w:p>
        </w:tc>
      </w:tr>
      <w:tr>
        <w:trPr>
          <w:trHeight w:val="170"/>
        </w:trPr>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Associates of Richmond (general</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surgery); Director of America's</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Utility Fund (Dominion Resources,</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c>
          <w:tcPr>
            <w:tcW w:w="0" w:type="dxa"/>
            <w:vAlign w:val="bottom"/>
          </w:tcPr>
          <w:p>
            <w:pPr>
              <w:spacing w:after="0"/>
              <w:rPr>
                <w:sz w:val="1"/>
                <w:szCs w:val="1"/>
                <w:color w:val="auto"/>
              </w:rPr>
            </w:pPr>
          </w:p>
        </w:tc>
      </w:tr>
      <w:tr>
        <w:trPr>
          <w:trHeight w:val="262"/>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Thomas E. Capps</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President</w:t>
            </w:r>
          </w:p>
        </w:tc>
        <w:tc>
          <w:tcPr>
            <w:tcW w:w="0" w:type="dxa"/>
            <w:vAlign w:val="bottom"/>
          </w:tcPr>
          <w:p>
            <w:pPr>
              <w:spacing w:after="0"/>
              <w:rPr>
                <w:sz w:val="1"/>
                <w:szCs w:val="1"/>
                <w:color w:val="auto"/>
              </w:rPr>
            </w:pPr>
          </w:p>
        </w:tc>
      </w:tr>
      <w:tr>
        <w:trPr>
          <w:trHeight w:val="170"/>
        </w:trPr>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and Chief Executive Officer,</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Dominion Resources, Inc. (electric</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utility holding company); Director</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 Dominion Resources, Inc.,</w:t>
            </w: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 and Petersburg</w:t>
            </w: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Long Distance,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PERCENT OF</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5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COMMON</w:t>
            </w:r>
          </w:p>
        </w:tc>
        <w:tc>
          <w:tcPr>
            <w:tcW w:w="0" w:type="dxa"/>
            <w:vAlign w:val="bottom"/>
          </w:tcPr>
          <w:p>
            <w:pPr>
              <w:spacing w:after="0"/>
              <w:rPr>
                <w:sz w:val="1"/>
                <w:szCs w:val="1"/>
                <w:color w:val="auto"/>
              </w:rPr>
            </w:pPr>
          </w:p>
        </w:tc>
      </w:tr>
      <w:tr>
        <w:trPr>
          <w:trHeight w:val="170"/>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COMMON STOCK</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OWNED (1)</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OUTSTANDING(2)</w:t>
            </w:r>
          </w:p>
        </w:tc>
        <w:tc>
          <w:tcPr>
            <w:tcW w:w="0" w:type="dxa"/>
            <w:vAlign w:val="bottom"/>
          </w:tcPr>
          <w:p>
            <w:pPr>
              <w:spacing w:after="0"/>
              <w:rPr>
                <w:sz w:val="1"/>
                <w:szCs w:val="1"/>
                <w:color w:val="auto"/>
              </w:rPr>
            </w:pPr>
          </w:p>
        </w:tc>
      </w:tr>
      <w:tr>
        <w:trPr>
          <w:trHeight w:val="246"/>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2,566(3)</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15"/>
          <w:szCs w:val="15"/>
          <w:color w:val="auto"/>
        </w:rPr>
        <w:t>1,712(3)</w:t>
      </w:r>
      <w:r>
        <w:rPr>
          <w:sz w:val="20"/>
          <w:szCs w:val="20"/>
          <w:color w:val="auto"/>
        </w:rPr>
        <w:tab/>
      </w:r>
      <w:r>
        <w:rPr>
          <w:rFonts w:ascii="Courier New" w:cs="Courier New" w:eastAsia="Courier New" w:hAnsi="Courier New"/>
          <w:sz w:val="15"/>
          <w:szCs w:val="15"/>
          <w:color w:val="auto"/>
        </w:rPr>
        <w:t>(4)</w:t>
      </w:r>
    </w:p>
    <w:p>
      <w:pPr>
        <w:sectPr>
          <w:pgSz w:w="11900" w:h="16838" w:orient="portrait"/>
          <w:cols w:equalWidth="0" w:num="2">
            <w:col w:w="6970" w:space="620"/>
            <w:col w:w="2820"/>
          </w:cols>
          <w:pgMar w:left="230" w:top="262" w:right="1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2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NAME AND DIRECTOR SINCE</w:t>
            </w:r>
          </w:p>
        </w:tc>
        <w:tc>
          <w:tcPr>
            <w:tcW w:w="5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AGE</w:t>
            </w: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rPr>
              <w:t>OFFICES WITH THE COMPANY OR</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w w:val="97"/>
              </w:rPr>
              <w:t>OTHER OCCUPATION DURING PAST FIVE YEARS</w:t>
            </w:r>
          </w:p>
        </w:tc>
        <w:tc>
          <w:tcPr>
            <w:tcW w:w="0" w:type="dxa"/>
            <w:vAlign w:val="bottom"/>
          </w:tcPr>
          <w:p>
            <w:pPr>
              <w:spacing w:after="0"/>
              <w:rPr>
                <w:sz w:val="1"/>
                <w:szCs w:val="1"/>
                <w:color w:val="auto"/>
              </w:rPr>
            </w:pPr>
          </w:p>
        </w:tc>
      </w:tr>
      <w:tr>
        <w:trPr>
          <w:trHeight w:val="24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840" w:type="dxa"/>
            <w:vAlign w:val="bottom"/>
          </w:tcPr>
          <w:p>
            <w:pPr>
              <w:ind w:left="4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Alan T. Dickson</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since 1994</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1989</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and President until 1994 of Ruddick</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Corporation (Diversified holding</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company); Director of Lance, Inc.,</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 and Sonoco</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Products Company</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Paul Fulton</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Dean of the Kenan-Flagler Business</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School of the University of North</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Carolina at Chapel Hill; President</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 Sara Lee Corporation (packaged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food and consumer products) until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1993; Director of Sonoco Products</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Company, NationsBank Corporation,</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Cato Corporation and Winston Hotels,</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Inc.</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William H. Goodwin,</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AMF</w:t>
            </w:r>
          </w:p>
        </w:tc>
        <w:tc>
          <w:tcPr>
            <w:tcW w:w="0" w:type="dxa"/>
            <w:vAlign w:val="bottom"/>
          </w:tcPr>
          <w:p>
            <w:pPr>
              <w:spacing w:after="0"/>
              <w:rPr>
                <w:sz w:val="1"/>
                <w:szCs w:val="1"/>
                <w:color w:val="auto"/>
              </w:rPr>
            </w:pPr>
          </w:p>
        </w:tc>
      </w:tr>
      <w:tr>
        <w:trPr>
          <w:trHeight w:val="170"/>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Jr.</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Companies (recreation products);</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Director of East Coast Oil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First Union</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Glenn A. Hunsucker</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1974</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Officer of the Company; Director</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 First Union National Bank of</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Virginia</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James W. McGlothlin</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Chief</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1981</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 The United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Company (energy, real estate,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financial services, hotel and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golf properties, retail and</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industrial supplies); Director</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 CSX Corporation</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Thomas W. Moss, Jr.</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67</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Speaker of the Virginia House</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of Delegates; Senior Partner of</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the law firm Thomas W. Moss,</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Jr., P.C.; Director of Star Oil</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&amp; Gas, Ltd.</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Albert F. Sloan</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Retired; Chairman of the Board,</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1984</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Lance, Inc. (snack foods) until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1991; Director of PCA International,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Inc., Richfoods Holdings, Inc. and</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Cato Corporation</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John W. Snow</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w:t>
            </w: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President</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1990</w:t>
            </w: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and Chief Executive Officer, CSX</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Corporation (rail-based international</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transportation); Director of</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CSX Corporation, NationsBank</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Corporation, Textron, Inc. and</w:t>
            </w: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5"/>
                <w:szCs w:val="15"/>
                <w:color w:val="auto"/>
              </w:rPr>
              <w:t>USX Corporation</w:t>
            </w:r>
          </w:p>
        </w:tc>
        <w:tc>
          <w:tcPr>
            <w:tcW w:w="0" w:type="dxa"/>
            <w:vAlign w:val="bottom"/>
          </w:tcPr>
          <w:p>
            <w:pPr>
              <w:spacing w:after="0"/>
              <w:rPr>
                <w:sz w:val="1"/>
                <w:szCs w:val="1"/>
                <w:color w:val="auto"/>
              </w:rPr>
            </w:pPr>
          </w:p>
        </w:tc>
      </w:tr>
      <w:tr>
        <w:trPr>
          <w:trHeight w:val="848"/>
        </w:trPr>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40" w:type="dxa"/>
            <w:vAlign w:val="bottom"/>
          </w:tcPr>
          <w:p>
            <w:pPr>
              <w:ind w:left="66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PERCENT OF</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5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COMMON</w:t>
            </w:r>
          </w:p>
        </w:tc>
        <w:tc>
          <w:tcPr>
            <w:tcW w:w="0" w:type="dxa"/>
            <w:vAlign w:val="bottom"/>
          </w:tcPr>
          <w:p>
            <w:pPr>
              <w:spacing w:after="0"/>
              <w:rPr>
                <w:sz w:val="1"/>
                <w:szCs w:val="1"/>
                <w:color w:val="auto"/>
              </w:rPr>
            </w:pPr>
          </w:p>
        </w:tc>
      </w:tr>
      <w:tr>
        <w:trPr>
          <w:trHeight w:val="170"/>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COMMON STOCK</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70"/>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OWNED (1)</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OUTSTANDING(2)</w:t>
            </w:r>
          </w:p>
        </w:tc>
        <w:tc>
          <w:tcPr>
            <w:tcW w:w="0" w:type="dxa"/>
            <w:vAlign w:val="bottom"/>
          </w:tcPr>
          <w:p>
            <w:pPr>
              <w:spacing w:after="0"/>
              <w:rPr>
                <w:sz w:val="1"/>
                <w:szCs w:val="1"/>
                <w:color w:val="auto"/>
              </w:rPr>
            </w:pPr>
          </w:p>
        </w:tc>
      </w:tr>
      <w:tr>
        <w:trPr>
          <w:trHeight w:val="246"/>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13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2,875(3)</w:t>
            </w:r>
          </w:p>
        </w:tc>
        <w:tc>
          <w:tcPr>
            <w:tcW w:w="15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15"/>
          <w:szCs w:val="15"/>
          <w:color w:val="auto"/>
        </w:rPr>
        <w:t>2,866(3)</w:t>
      </w:r>
      <w:r>
        <w:rPr>
          <w:sz w:val="20"/>
          <w:szCs w:val="20"/>
          <w:color w:val="auto"/>
        </w:rPr>
        <w:tab/>
      </w: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15"/>
          <w:szCs w:val="15"/>
          <w:color w:val="auto"/>
        </w:rPr>
        <w:t>16,141(3)</w:t>
      </w:r>
      <w:r>
        <w:rPr>
          <w:sz w:val="20"/>
          <w:szCs w:val="20"/>
          <w:color w:val="auto"/>
        </w:rPr>
        <w:tab/>
      </w: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15"/>
          <w:szCs w:val="15"/>
          <w:color w:val="auto"/>
        </w:rPr>
        <w:t>24,150(5)</w:t>
      </w:r>
      <w:r>
        <w:rPr>
          <w:sz w:val="20"/>
          <w:szCs w:val="20"/>
          <w:color w:val="auto"/>
        </w:rPr>
        <w:tab/>
      </w: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tabs>
          <w:tab w:leader="none" w:pos="1820" w:val="left"/>
        </w:tabs>
        <w:rPr>
          <w:sz w:val="20"/>
          <w:szCs w:val="20"/>
          <w:color w:val="auto"/>
        </w:rPr>
      </w:pPr>
      <w:r>
        <w:rPr>
          <w:rFonts w:ascii="Courier New" w:cs="Courier New" w:eastAsia="Courier New" w:hAnsi="Courier New"/>
          <w:sz w:val="15"/>
          <w:szCs w:val="15"/>
          <w:color w:val="auto"/>
        </w:rPr>
        <w:t>1,468(3)</w:t>
      </w:r>
      <w:r>
        <w:rPr>
          <w:sz w:val="20"/>
          <w:szCs w:val="20"/>
          <w:color w:val="auto"/>
        </w:rPr>
        <w:tab/>
      </w: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40" w:hanging="1409"/>
        <w:spacing w:after="0"/>
        <w:tabs>
          <w:tab w:leader="none" w:pos="18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1,387(3)</w:t>
      </w:r>
      <w:r>
        <w:rPr>
          <w:rFonts w:ascii="Courier New" w:cs="Courier New" w:eastAsia="Courier New" w:hAnsi="Courier New"/>
          <w:sz w:val="14"/>
          <w:szCs w:val="14"/>
          <w:color w:val="auto"/>
        </w:rPr>
        <w:t>(4)</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47" w:lineRule="exact"/>
        <w:rPr>
          <w:rFonts w:ascii="Courier New" w:cs="Courier New" w:eastAsia="Courier New" w:hAnsi="Courier New"/>
          <w:sz w:val="15"/>
          <w:szCs w:val="15"/>
          <w:color w:val="auto"/>
        </w:rPr>
      </w:pP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2,675(3)</w:t>
      </w:r>
      <w:r>
        <w:rPr>
          <w:rFonts w:ascii="Courier New" w:cs="Courier New" w:eastAsia="Courier New" w:hAnsi="Courier New"/>
          <w:sz w:val="14"/>
          <w:szCs w:val="14"/>
          <w:color w:val="auto"/>
        </w:rPr>
        <w:t>(4)</w:t>
      </w:r>
    </w:p>
    <w:p>
      <w:pPr>
        <w:sectPr>
          <w:pgSz w:w="11900" w:h="16838" w:orient="portrait"/>
          <w:cols w:equalWidth="0" w:num="2">
            <w:col w:w="6860" w:space="720"/>
            <w:col w:w="2820"/>
          </w:cols>
          <w:pgMar w:left="240" w:top="262" w:right="12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2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NAME AND DIRECTOR SINCE</w:t>
            </w:r>
          </w:p>
        </w:tc>
        <w:tc>
          <w:tcPr>
            <w:tcW w:w="5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AGE</w:t>
            </w: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OFFICES WITH THE COMPANY OR</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w w:val="97"/>
              </w:rPr>
              <w:t>OTHER OCCUPATION DURING PAST FIVE YEARS</w:t>
            </w:r>
          </w:p>
        </w:tc>
        <w:tc>
          <w:tcPr>
            <w:tcW w:w="0" w:type="dxa"/>
            <w:vAlign w:val="bottom"/>
          </w:tcPr>
          <w:p>
            <w:pPr>
              <w:spacing w:after="0"/>
              <w:rPr>
                <w:sz w:val="1"/>
                <w:szCs w:val="1"/>
                <w:color w:val="auto"/>
              </w:rPr>
            </w:pPr>
          </w:p>
        </w:tc>
      </w:tr>
      <w:tr>
        <w:trPr>
          <w:trHeight w:val="24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Robert H. Spilman(6)</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w:t>
            </w: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Chief</w:t>
            </w:r>
          </w:p>
        </w:tc>
        <w:tc>
          <w:tcPr>
            <w:tcW w:w="0" w:type="dxa"/>
            <w:vAlign w:val="bottom"/>
          </w:tcPr>
          <w:p>
            <w:pPr>
              <w:spacing w:after="0"/>
              <w:rPr>
                <w:sz w:val="1"/>
                <w:szCs w:val="1"/>
                <w:color w:val="auto"/>
              </w:rPr>
            </w:pPr>
          </w:p>
        </w:tc>
      </w:t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1961</w:t>
            </w: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 of the Company;</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Director of NationsBank</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Corporation, Jefferson-Pilot</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Corporation, Trinova Corporation,</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The Pittston Company, Dominion</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Resources, Inc., Dominion Energy,</w:t>
            </w:r>
          </w:p>
        </w:tc>
        <w:tc>
          <w:tcPr>
            <w:tcW w:w="0" w:type="dxa"/>
            <w:vAlign w:val="bottom"/>
          </w:tcPr>
          <w:p>
            <w:pPr>
              <w:spacing w:after="0"/>
              <w:rPr>
                <w:sz w:val="1"/>
                <w:szCs w:val="1"/>
                <w:color w:val="auto"/>
              </w:rPr>
            </w:pPr>
          </w:p>
        </w:tc>
      </w:tr>
      <w:tr>
        <w:trPr>
          <w:trHeight w:val="246"/>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1"/>
                <w:szCs w:val="21"/>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w w:val="99"/>
              </w:rPr>
              <w:t>Inc. and Virginia Electric &amp; Power Co.</w:t>
            </w:r>
          </w:p>
        </w:tc>
        <w:tc>
          <w:tcPr>
            <w:tcW w:w="0" w:type="dxa"/>
            <w:vAlign w:val="bottom"/>
          </w:tcPr>
          <w:p>
            <w:pPr>
              <w:spacing w:after="0"/>
              <w:rPr>
                <w:sz w:val="1"/>
                <w:szCs w:val="1"/>
                <w:color w:val="auto"/>
              </w:rPr>
            </w:pPr>
          </w:p>
        </w:tc>
      </w:tr>
      <w:tr>
        <w:trPr>
          <w:trHeight w:val="170"/>
        </w:trPr>
        <w:tc>
          <w:tcPr>
            <w:tcW w:w="22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620" w:hanging="530"/>
        <w:spacing w:after="0" w:line="384" w:lineRule="auto"/>
        <w:tabs>
          <w:tab w:leader="none" w:pos="53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attributable to officers of the Company as participants in the Company's Employee Savings/Retirement Plan.</w:t>
      </w:r>
    </w:p>
    <w:p>
      <w:pPr>
        <w:spacing w:after="0" w:line="1" w:lineRule="exact"/>
        <w:rPr>
          <w:rFonts w:ascii="Courier New" w:cs="Courier New" w:eastAsia="Courier New" w:hAnsi="Courier New"/>
          <w:sz w:val="14"/>
          <w:szCs w:val="14"/>
          <w:color w:val="auto"/>
        </w:rPr>
      </w:pPr>
    </w:p>
    <w:p>
      <w:pPr>
        <w:ind w:left="530" w:right="100" w:hanging="530"/>
        <w:spacing w:after="0" w:line="293"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plus options held by directors and executive officers that are currently exercisable or which are exercisable within 60 days.</w:t>
      </w:r>
    </w:p>
    <w:p>
      <w:pPr>
        <w:spacing w:after="0" w:line="55" w:lineRule="exact"/>
        <w:rPr>
          <w:rFonts w:ascii="Courier New" w:cs="Courier New" w:eastAsia="Courier New" w:hAnsi="Courier New"/>
          <w:sz w:val="15"/>
          <w:szCs w:val="15"/>
          <w:color w:val="auto"/>
        </w:rPr>
      </w:pPr>
    </w:p>
    <w:p>
      <w:pPr>
        <w:ind w:left="530" w:hanging="530"/>
        <w:spacing w:after="0" w:line="347"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subject to an option which is currently exercisable or exercisable within 60 days.</w:t>
      </w:r>
    </w:p>
    <w:p>
      <w:pPr>
        <w:spacing w:after="0" w:line="17"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69" w:lineRule="exact"/>
        <w:rPr>
          <w:rFonts w:ascii="Courier New" w:cs="Courier New" w:eastAsia="Courier New" w:hAnsi="Courier New"/>
          <w:sz w:val="15"/>
          <w:szCs w:val="15"/>
          <w:color w:val="auto"/>
        </w:rPr>
      </w:pPr>
    </w:p>
    <w:p>
      <w:pPr>
        <w:ind w:left="530" w:right="280" w:hanging="530"/>
        <w:spacing w:after="0" w:line="347"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15,265 shares that are subject to options which are presently exercisable or are exercisable within 60 days.</w:t>
      </w:r>
    </w:p>
    <w:p>
      <w:pPr>
        <w:spacing w:after="0" w:line="17" w:lineRule="exact"/>
        <w:rPr>
          <w:rFonts w:ascii="Courier New" w:cs="Courier New" w:eastAsia="Courier New" w:hAnsi="Courier New"/>
          <w:sz w:val="15"/>
          <w:szCs w:val="15"/>
          <w:color w:val="auto"/>
        </w:rPr>
      </w:pPr>
    </w:p>
    <w:p>
      <w:pPr>
        <w:ind w:left="530" w:hanging="530"/>
        <w:spacing w:after="0" w:line="347"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is the father of Robert H. Spilman, Jr., Executive Vice President of Marketing and Merchandising of the Company.</w:t>
      </w:r>
    </w:p>
    <w:p>
      <w:pPr>
        <w:spacing w:after="0" w:line="17" w:lineRule="exact"/>
        <w:rPr>
          <w:rFonts w:ascii="Courier New" w:cs="Courier New" w:eastAsia="Courier New" w:hAnsi="Courier New"/>
          <w:sz w:val="15"/>
          <w:szCs w:val="15"/>
          <w:color w:val="auto"/>
        </w:rPr>
      </w:pPr>
    </w:p>
    <w:p>
      <w:pPr>
        <w:ind w:left="530" w:hanging="530"/>
        <w:spacing w:after="0" w:line="261"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29,658 shares that are subject to options which are presently exercisable or are exercisable within 60 days. Also includes a total of 119,126 shares that are held in a trust of which Mr. Spilman is co-trustee, shares held by Mr. Spilman's wife directly and shares held in trusts of which Mr. Spilman's wife is trustee. Mr. Spilman disclaims beneficial ownership of these 119,126 shares.</w:t>
      </w:r>
    </w:p>
    <w:p>
      <w:pPr>
        <w:spacing w:after="0" w:line="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BOARD OF DIRECTORS AND ITS COMMITTEES</w:t>
      </w:r>
    </w:p>
    <w:p>
      <w:pPr>
        <w:spacing w:after="0" w:line="169" w:lineRule="exact"/>
        <w:rPr>
          <w:sz w:val="20"/>
          <w:szCs w:val="20"/>
          <w:color w:val="auto"/>
        </w:rPr>
      </w:pPr>
    </w:p>
    <w:p>
      <w:pPr>
        <w:ind w:left="10" w:right="100" w:firstLine="793"/>
        <w:spacing w:after="0" w:line="266" w:lineRule="auto"/>
        <w:rPr>
          <w:sz w:val="20"/>
          <w:szCs w:val="20"/>
          <w:color w:val="auto"/>
        </w:rPr>
      </w:pPr>
      <w:r>
        <w:rPr>
          <w:rFonts w:ascii="Courier New" w:cs="Courier New" w:eastAsia="Courier New" w:hAnsi="Courier New"/>
          <w:sz w:val="15"/>
          <w:szCs w:val="15"/>
          <w:color w:val="auto"/>
        </w:rPr>
        <w:t>The Board of Directors met four times during the 1995 fiscal year. Each Director attended at least 75% of the meetings of the Board of Directors and Committees on which he served. The Company has an Audit Committee and an Organization and Compensation Committee. The Board of Directors does not have a Nominating Committee.</w:t>
      </w:r>
    </w:p>
    <w:p>
      <w:pPr>
        <w:spacing w:after="0" w:line="75" w:lineRule="exact"/>
        <w:rPr>
          <w:sz w:val="20"/>
          <w:szCs w:val="20"/>
          <w:color w:val="auto"/>
        </w:rPr>
      </w:pPr>
    </w:p>
    <w:p>
      <w:pPr>
        <w:ind w:left="10" w:right="180" w:firstLine="793"/>
        <w:spacing w:after="0" w:line="261" w:lineRule="auto"/>
        <w:rPr>
          <w:sz w:val="20"/>
          <w:szCs w:val="20"/>
          <w:color w:val="auto"/>
        </w:rPr>
      </w:pPr>
      <w:r>
        <w:rPr>
          <w:rFonts w:ascii="Courier New" w:cs="Courier New" w:eastAsia="Courier New" w:hAnsi="Courier New"/>
          <w:sz w:val="15"/>
          <w:szCs w:val="15"/>
          <w:color w:val="auto"/>
        </w:rPr>
        <w:t>The Audit Committee is composed of Messrs. Brown, Capps, Dickson, Fulton, Lyles and Sloan and is responsible for monitoring the performance of the independent auditors for the Company, recommending their engagement or dismissal to the Board of Directors, approving all audit and related fees and reviewing and evaluating the internal auditor's audit schedule. The Audit Committee met two times during the fiscal year.</w:t>
      </w:r>
    </w:p>
    <w:p>
      <w:pPr>
        <w:spacing w:after="0" w:line="78" w:lineRule="exact"/>
        <w:rPr>
          <w:sz w:val="20"/>
          <w:szCs w:val="20"/>
          <w:color w:val="auto"/>
        </w:rPr>
      </w:pPr>
    </w:p>
    <w:p>
      <w:pPr>
        <w:ind w:left="10" w:right="360" w:firstLine="793"/>
        <w:spacing w:after="0" w:line="293" w:lineRule="auto"/>
        <w:rPr>
          <w:sz w:val="20"/>
          <w:szCs w:val="20"/>
          <w:color w:val="auto"/>
        </w:rPr>
      </w:pPr>
      <w:r>
        <w:rPr>
          <w:rFonts w:ascii="Courier New" w:cs="Courier New" w:eastAsia="Courier New" w:hAnsi="Courier New"/>
          <w:sz w:val="15"/>
          <w:szCs w:val="15"/>
          <w:color w:val="auto"/>
        </w:rPr>
        <w:t>The Organization and Compensation Committee is composed of Messrs. Dickson, Goodwin, McGlothlin, Sloan and Snow and reviews and makes recommendations to the Board of Directors with</w:t>
      </w:r>
    </w:p>
    <w:p>
      <w:pPr>
        <w:spacing w:after="0" w:line="39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PERCENT OF</w:t>
            </w:r>
          </w:p>
        </w:tc>
        <w:tc>
          <w:tcPr>
            <w:tcW w:w="0" w:type="dxa"/>
            <w:vAlign w:val="bottom"/>
          </w:tcPr>
          <w:p>
            <w:pPr>
              <w:spacing w:after="0"/>
              <w:rPr>
                <w:sz w:val="1"/>
                <w:szCs w:val="1"/>
                <w:color w:val="auto"/>
              </w:rPr>
            </w:pPr>
          </w:p>
        </w:tc>
      </w:tr>
      <w:tr>
        <w:trPr>
          <w:trHeight w:val="170"/>
        </w:trPr>
        <w:tc>
          <w:tcPr>
            <w:tcW w:w="1320" w:type="dxa"/>
            <w:vAlign w:val="bottom"/>
            <w:vMerge w:val="continue"/>
          </w:tcPr>
          <w:p>
            <w:pPr>
              <w:spacing w:after="0"/>
              <w:rPr>
                <w:sz w:val="14"/>
                <w:szCs w:val="14"/>
                <w:color w:val="auto"/>
              </w:rPr>
            </w:pPr>
          </w:p>
        </w:tc>
        <w:tc>
          <w:tcPr>
            <w:tcW w:w="15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COMMON</w:t>
            </w:r>
          </w:p>
        </w:tc>
        <w:tc>
          <w:tcPr>
            <w:tcW w:w="0" w:type="dxa"/>
            <w:vAlign w:val="bottom"/>
          </w:tcPr>
          <w:p>
            <w:pPr>
              <w:spacing w:after="0"/>
              <w:rPr>
                <w:sz w:val="1"/>
                <w:szCs w:val="1"/>
                <w:color w:val="auto"/>
              </w:rPr>
            </w:pPr>
          </w:p>
        </w:tc>
      </w:tr>
      <w:tr>
        <w:trPr>
          <w:trHeight w:val="170"/>
        </w:trPr>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COMMON STOCK</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70"/>
        </w:trPr>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OWNED (1)</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OUTSTANDING(2)</w:t>
            </w:r>
          </w:p>
        </w:tc>
        <w:tc>
          <w:tcPr>
            <w:tcW w:w="0" w:type="dxa"/>
            <w:vAlign w:val="bottom"/>
          </w:tcPr>
          <w:p>
            <w:pPr>
              <w:spacing w:after="0"/>
              <w:rPr>
                <w:sz w:val="1"/>
                <w:szCs w:val="1"/>
                <w:color w:val="auto"/>
              </w:rPr>
            </w:pPr>
          </w:p>
        </w:tc>
      </w:tr>
      <w:tr>
        <w:trPr>
          <w:trHeight w:val="246"/>
        </w:trPr>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39"/>
        </w:trPr>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168,747(7)</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bl>
    <w:p>
      <w:pPr>
        <w:sectPr>
          <w:pgSz w:w="11900" w:h="16838" w:orient="portrait"/>
          <w:cols w:equalWidth="0" w:num="2">
            <w:col w:w="6970" w:space="620"/>
            <w:col w:w="2820"/>
          </w:cols>
          <w:pgMar w:left="230" w:top="262" w:right="125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executive and officer compensation and establishes, reviews</w:t>
      </w:r>
    </w:p>
    <w:p>
      <w:pPr>
        <w:spacing w:after="0" w:line="2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5"/>
          <w:szCs w:val="15"/>
          <w:color w:val="auto"/>
        </w:rPr>
        <w:t>and recommends changes to the organizational structure of the Company so as to utilize the management resources to best respond to the changing demands of the marketplace. The Organization and Compensation Committee met once during the fiscal year.</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COMPENSATION COMMITTEE INTERLOCKS AND INSIDER PARTICIPATION</w:t>
      </w:r>
    </w:p>
    <w:p>
      <w:pPr>
        <w:spacing w:after="0" w:line="169" w:lineRule="exact"/>
        <w:rPr>
          <w:sz w:val="20"/>
          <w:szCs w:val="20"/>
          <w:color w:val="auto"/>
        </w:rPr>
      </w:pPr>
    </w:p>
    <w:p>
      <w:pPr>
        <w:ind w:right="3439" w:firstLine="793"/>
        <w:spacing w:after="0" w:line="267" w:lineRule="auto"/>
        <w:rPr>
          <w:sz w:val="20"/>
          <w:szCs w:val="20"/>
          <w:color w:val="auto"/>
        </w:rPr>
      </w:pPr>
      <w:r>
        <w:rPr>
          <w:rFonts w:ascii="Courier New" w:cs="Courier New" w:eastAsia="Courier New" w:hAnsi="Courier New"/>
          <w:sz w:val="14"/>
          <w:szCs w:val="14"/>
          <w:color w:val="auto"/>
        </w:rPr>
        <w:t>The Organization and Compensation Committee is composed of Messrs. Dickson, Goodwin, McGlothlin, Sloan and Snow. Mr. McGlothlin is Chairman of the Board and Chief Executive Officer of The United Company. In 1993, a subsidiary of The United Company, United Central Industrial Supply Company, purchased the assets of Blue Ridge Industrial Supply Company. United Central Industrial Supply Company has operated mining, mill and industrial supply stores for the past 20 years. Blue Ridge Industrial Supply Company conducted business with the Company prior to such acquisition and has continued to do business with the Company. Blue Ridge Industrial Supply Company had sales of approximately $1,725,000 to the Company in the 1995 fiscal year. The prices charged by Blue Ridge Industrial Supply Company were negotiated on an arms-length basis and the Company believes such prices are at or below the prices charged for comparable products by other companies in the area.</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COMPENSATION COMMITTEE REPORT</w:t>
      </w:r>
    </w:p>
    <w:p>
      <w:pPr>
        <w:spacing w:after="0" w:line="169" w:lineRule="exact"/>
        <w:rPr>
          <w:sz w:val="20"/>
          <w:szCs w:val="20"/>
          <w:color w:val="auto"/>
        </w:rPr>
      </w:pPr>
    </w:p>
    <w:p>
      <w:pPr>
        <w:ind w:right="3259" w:firstLine="793"/>
        <w:spacing w:after="0" w:line="245" w:lineRule="auto"/>
        <w:rPr>
          <w:sz w:val="20"/>
          <w:szCs w:val="20"/>
          <w:color w:val="auto"/>
        </w:rPr>
      </w:pPr>
      <w:r>
        <w:rPr>
          <w:rFonts w:ascii="Courier New" w:cs="Courier New" w:eastAsia="Courier New" w:hAnsi="Courier New"/>
          <w:sz w:val="15"/>
          <w:szCs w:val="15"/>
          <w:color w:val="auto"/>
        </w:rPr>
        <w:t>The Organization and Compensation Committee of the Board of Directors has assisted the Company in developing and implementing compensation policies and programs which seek to improve the profitability of the Company and to maximize stockholder value over time. To accomplish this, the five outside directors who compose the Organization and Compensation Committee have developed executive compensation policies which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household furniture environment. The members of the Organization and Compensation Committee deliberate on matters affecting executive compensation. The decisions are reviewed by the full Board, with the exception of decisions on stock or option awards which are made by the Organization and Compensation Committee to satisfy tax and securities law requirements.</w:t>
      </w:r>
    </w:p>
    <w:p>
      <w:pPr>
        <w:spacing w:after="0" w:line="98" w:lineRule="exact"/>
        <w:rPr>
          <w:sz w:val="20"/>
          <w:szCs w:val="20"/>
          <w:color w:val="auto"/>
        </w:rPr>
      </w:pPr>
    </w:p>
    <w:p>
      <w:pPr>
        <w:ind w:right="3259" w:firstLine="793"/>
        <w:spacing w:after="0" w:line="384" w:lineRule="auto"/>
        <w:rPr>
          <w:sz w:val="20"/>
          <w:szCs w:val="20"/>
          <w:color w:val="auto"/>
        </w:rPr>
      </w:pPr>
      <w:r>
        <w:rPr>
          <w:rFonts w:ascii="Courier New" w:cs="Courier New" w:eastAsia="Courier New" w:hAnsi="Courier New"/>
          <w:sz w:val="14"/>
          <w:szCs w:val="14"/>
          <w:color w:val="auto"/>
        </w:rPr>
        <w:t>The key principles which the Organization and Compensation Committee emphasizes in developing compensation programs affecting senior executives are:</w:t>
      </w:r>
    </w:p>
    <w:p>
      <w:pPr>
        <w:spacing w:after="0" w:line="1" w:lineRule="exact"/>
        <w:rPr>
          <w:sz w:val="20"/>
          <w:szCs w:val="20"/>
          <w:color w:val="auto"/>
        </w:rPr>
      </w:pPr>
    </w:p>
    <w:p>
      <w:pPr>
        <w:ind w:left="1140" w:right="3539" w:hanging="356"/>
        <w:spacing w:after="0" w:line="347"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for performance that emphasizes corporate, business unit and individual achievement.</w:t>
      </w:r>
    </w:p>
    <w:p>
      <w:pPr>
        <w:spacing w:after="0" w:line="17" w:lineRule="exact"/>
        <w:rPr>
          <w:rFonts w:ascii="Courier New" w:cs="Courier New" w:eastAsia="Courier New" w:hAnsi="Courier New"/>
          <w:sz w:val="15"/>
          <w:szCs w:val="15"/>
          <w:color w:val="auto"/>
        </w:rPr>
      </w:pPr>
    </w:p>
    <w:p>
      <w:pPr>
        <w:jc w:val="both"/>
        <w:ind w:left="1140" w:right="3439" w:hanging="356"/>
        <w:spacing w:after="0" w:line="293"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Motivating senior executives to the achievement of strategic and tactical business goals and objectives and rewarding outstanding achievement.</w:t>
      </w:r>
    </w:p>
    <w:p>
      <w:pPr>
        <w:spacing w:after="0" w:line="55" w:lineRule="exact"/>
        <w:rPr>
          <w:rFonts w:ascii="Courier New" w:cs="Courier New" w:eastAsia="Courier New" w:hAnsi="Courier New"/>
          <w:sz w:val="15"/>
          <w:szCs w:val="15"/>
          <w:color w:val="auto"/>
        </w:rPr>
      </w:pPr>
    </w:p>
    <w:p>
      <w:pPr>
        <w:jc w:val="both"/>
        <w:ind w:left="1140" w:right="3699" w:hanging="356"/>
        <w:spacing w:after="0" w:line="293"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the interests of senior executives with the long-term interests of the stockholders through ownership of the Common Stock.</w:t>
      </w:r>
    </w:p>
    <w:p>
      <w:pPr>
        <w:spacing w:after="0" w:line="56"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As the level of responsibility increases, an executive's compensation will be proportionately at greater risk, reflecting the rewards earned as a result of goal attainment. As responsibility increases, the compensation mix will rely increasingly on the value of stock awards.</w:t>
      </w:r>
    </w:p>
    <w:p>
      <w:pPr>
        <w:spacing w:after="0" w:line="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four components of executive compensation are:</w:t>
      </w:r>
    </w:p>
    <w:p>
      <w:pPr>
        <w:spacing w:after="0" w:line="169"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Base Salary. Base salaries are generally competitive with high-performing, similar-sized companies in the industry. However, in recent years the base salaries have been kept at a relatively</w:t>
      </w:r>
    </w:p>
    <w:p>
      <w:pPr>
        <w:spacing w:after="0" w:line="3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2"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rate to reflect the general economic conditions of the industry</w:t>
      </w:r>
    </w:p>
    <w:p>
      <w:pPr>
        <w:spacing w:after="0" w:line="26"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4"/>
          <w:szCs w:val="14"/>
          <w:color w:val="auto"/>
        </w:rPr>
        <w:t>and to keep fixed costs under control. Significant increases in base salary have been the result of increased responsibilities assumed by an executive officer and the continued profitability of the Company in an increasingly competitive industry. The Organization and Compensation Committee emphasizes rewards in the total compensation context, rather than increasing base salary.</w:t>
      </w:r>
    </w:p>
    <w:p>
      <w:pPr>
        <w:spacing w:after="0" w:line="69" w:lineRule="exact"/>
        <w:rPr>
          <w:sz w:val="20"/>
          <w:szCs w:val="20"/>
          <w:color w:val="auto"/>
        </w:rPr>
      </w:pPr>
    </w:p>
    <w:p>
      <w:pPr>
        <w:ind w:right="3359" w:firstLine="793"/>
        <w:spacing w:after="0" w:line="250" w:lineRule="auto"/>
        <w:rPr>
          <w:sz w:val="20"/>
          <w:szCs w:val="20"/>
          <w:color w:val="auto"/>
        </w:rPr>
      </w:pPr>
      <w:r>
        <w:rPr>
          <w:rFonts w:ascii="Courier New" w:cs="Courier New" w:eastAsia="Courier New" w:hAnsi="Courier New"/>
          <w:sz w:val="15"/>
          <w:szCs w:val="15"/>
          <w:color w:val="auto"/>
        </w:rPr>
        <w:t>Annual Incentive Bonuses. Target annual incentives are established for each executive in the form of a percentage of base salary. Discretionary adjustments to targets are made based on performance criteria, subjectively applied, which include the continued maintenance of a strong balance sheet, growth of pre-tax profitability and earnings per share, control of costs, market growth and diversification and other criteria which may be introduced over time as a result of changes in the household furniture environment. Annual bonuses are considered part of the total compensation package and represent a targeted portion of such total compensation. There were approximately 400 participants in the executive and management incentive plans for the years covered by this report.</w:t>
      </w:r>
    </w:p>
    <w:p>
      <w:pPr>
        <w:spacing w:after="0" w:line="87"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Annual Stock Option Grants. The Organization and Compensation Committee may grant options to acquire shares of Company Common Stock to those key executives who, in their judgment, have achieved goals and objectives as described in the corporate business plans.</w:t>
      </w:r>
    </w:p>
    <w:p>
      <w:pPr>
        <w:spacing w:after="0" w:line="69"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The performance criteria used to determine the eligibility to receive a stock option include growth of pre-tax profitability and earnings per share, control of costs, market growth and diversification, continued maintenance of a strong balance sheet and other criteria which may be introduced over time as a result of changes in the household furniture environment. The number of option shares granted to each executive is determined by taking a percentage of the total cash compensation and dividing that amount by the fair market value per share at the date of grant. The percentage is set annually by the Organization and Compensation Committee on a subjective basis, based upon individual performance. The number of option shares granted will be reduced in the event the executive does not own at least that number of shares of Company Common Stock equal to the number of shares subject to the option grant. This encourages executives to hold shares received upon the exercise of the options, further linking their interests to those of the stockholders. Stock option grants are considered part of the total compensation package and represent a targeted portion of such total compensation.</w:t>
      </w:r>
    </w:p>
    <w:p>
      <w:pPr>
        <w:spacing w:after="0" w:line="255"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Benefits. These programs are designed to provide protection against financial catastrophe that can result from illness, disability or death. Benefits offered to senior executives are those offered to all employees, with certain variations, to promote tax efficiency and replacement of benefits lost due to regulatory limitations.</w:t>
      </w:r>
    </w:p>
    <w:p>
      <w:pPr>
        <w:spacing w:after="0" w:line="75" w:lineRule="exact"/>
        <w:rPr>
          <w:sz w:val="20"/>
          <w:szCs w:val="20"/>
          <w:color w:val="auto"/>
        </w:rPr>
      </w:pPr>
    </w:p>
    <w:p>
      <w:pPr>
        <w:ind w:right="3259" w:firstLine="793"/>
        <w:spacing w:after="0" w:line="250" w:lineRule="auto"/>
        <w:rPr>
          <w:sz w:val="20"/>
          <w:szCs w:val="20"/>
          <w:color w:val="auto"/>
        </w:rPr>
      </w:pPr>
      <w:r>
        <w:rPr>
          <w:rFonts w:ascii="Courier New" w:cs="Courier New" w:eastAsia="Courier New" w:hAnsi="Courier New"/>
          <w:sz w:val="15"/>
          <w:szCs w:val="15"/>
          <w:color w:val="auto"/>
        </w:rPr>
        <w:t>The Organization and Compensation Committee believes that executive compensation programs serve the interest of the stockholders of the Company. Pay delivered to the senior executive is intended to emphasize the achievement of goals and objectives of the Company. At risk, performance-based bonus compensation averaged approximately 30% of total annual cash compensation for the executive group during the fiscal year ended November 30, 1995. The range of bonus compensation can be from zero to a multiple of base salary, depending upon performance against goals and objectives for the year. The use of equity in the form of stock option grants requires executives to invest in the company they manage, and stockholder value creation becomes important, as with other stockholders.</w:t>
      </w:r>
    </w:p>
    <w:p>
      <w:pPr>
        <w:spacing w:after="0" w:line="87"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4"/>
          <w:szCs w:val="14"/>
          <w:color w:val="auto"/>
        </w:rPr>
        <w:t>Chief Executive Officer's 1995 Compensation. Robert H. Spilman, Chairman of the Board and Chief Executive Officer of the Company, is eligible to participate in the same compensation programs available to other senior executives. The Organization and Compensation Committee seeks to be competitive with high-performing, similar-sized companies in the household furniture industry in the context of total compensation, placing more emphasis on at-risk incentives than on base salary. While this performance-driven compensation may produce variable compensation over the years, it is the</w:t>
      </w:r>
    </w:p>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2"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right="3799"/>
        <w:spacing w:after="0" w:line="293" w:lineRule="auto"/>
        <w:rPr>
          <w:sz w:val="20"/>
          <w:szCs w:val="20"/>
          <w:color w:val="auto"/>
        </w:rPr>
      </w:pPr>
      <w:r>
        <w:rPr>
          <w:rFonts w:ascii="Courier New" w:cs="Courier New" w:eastAsia="Courier New" w:hAnsi="Courier New"/>
          <w:sz w:val="15"/>
          <w:szCs w:val="15"/>
          <w:color w:val="auto"/>
        </w:rPr>
        <w:t>belief of the Organization and Compensation Committee that this approach focuses the executive on the achievement of short and long-term goals and objectives which enhance stockholder value.</w:t>
      </w:r>
    </w:p>
    <w:p>
      <w:pPr>
        <w:spacing w:after="0" w:line="56"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5"/>
          <w:szCs w:val="15"/>
          <w:color w:val="auto"/>
        </w:rPr>
        <w:t>The Organization and Compensation Committee determines, subjectively, the emphasis and importance of the above criteria each year to reflect the economic conditions of the household furniture industry and that of the Company.</w:t>
      </w:r>
    </w:p>
    <w:p>
      <w:pPr>
        <w:spacing w:after="0" w:line="69" w:lineRule="exact"/>
        <w:rPr>
          <w:sz w:val="20"/>
          <w:szCs w:val="20"/>
          <w:color w:val="auto"/>
        </w:rPr>
      </w:pPr>
    </w:p>
    <w:p>
      <w:pPr>
        <w:ind w:right="3259" w:firstLine="793"/>
        <w:spacing w:after="0" w:line="275" w:lineRule="auto"/>
        <w:rPr>
          <w:sz w:val="20"/>
          <w:szCs w:val="20"/>
          <w:color w:val="auto"/>
        </w:rPr>
      </w:pPr>
      <w:r>
        <w:rPr>
          <w:rFonts w:ascii="Courier New" w:cs="Courier New" w:eastAsia="Courier New" w:hAnsi="Courier New"/>
          <w:sz w:val="15"/>
          <w:szCs w:val="15"/>
          <w:color w:val="auto"/>
        </w:rPr>
        <w:t>The base salary component of total compensation for Mr. Spilman for fiscal year 1995 was unchanged, remaining at $450,000. Mr. Spilman's salary is relatively competitive when compared to company size, performance and position within the industry.</w:t>
      </w:r>
    </w:p>
    <w:p>
      <w:pPr>
        <w:spacing w:after="0" w:line="69" w:lineRule="exact"/>
        <w:rPr>
          <w:sz w:val="20"/>
          <w:szCs w:val="20"/>
          <w:color w:val="auto"/>
        </w:rPr>
      </w:pPr>
    </w:p>
    <w:p>
      <w:pPr>
        <w:ind w:right="3439" w:firstLine="793"/>
        <w:spacing w:after="0" w:line="266" w:lineRule="auto"/>
        <w:rPr>
          <w:sz w:val="20"/>
          <w:szCs w:val="20"/>
          <w:color w:val="auto"/>
        </w:rPr>
      </w:pPr>
      <w:r>
        <w:rPr>
          <w:rFonts w:ascii="Courier New" w:cs="Courier New" w:eastAsia="Courier New" w:hAnsi="Courier New"/>
          <w:sz w:val="15"/>
          <w:szCs w:val="15"/>
          <w:color w:val="auto"/>
        </w:rPr>
        <w:t>The annual bonus paid to Mr. Spilman was based upon the subjective application of the objective performance criteria stated above. The annual bonus for fiscal year 1995 was determined using these criteria resulting in a payment of $225,000, which is 50% of his base salary. No stock option grants were awarded to Mr. Spilman in 1995.</w:t>
      </w:r>
    </w:p>
    <w:p>
      <w:pPr>
        <w:spacing w:after="0" w:line="75" w:lineRule="exact"/>
        <w:rPr>
          <w:sz w:val="20"/>
          <w:szCs w:val="20"/>
          <w:color w:val="auto"/>
        </w:rPr>
      </w:pPr>
    </w:p>
    <w:p>
      <w:pPr>
        <w:ind w:right="3259" w:firstLine="793"/>
        <w:spacing w:after="0" w:line="266" w:lineRule="auto"/>
        <w:rPr>
          <w:sz w:val="20"/>
          <w:szCs w:val="20"/>
          <w:color w:val="auto"/>
        </w:rPr>
      </w:pPr>
      <w:r>
        <w:rPr>
          <w:rFonts w:ascii="Courier New" w:cs="Courier New" w:eastAsia="Courier New" w:hAnsi="Courier New"/>
          <w:sz w:val="15"/>
          <w:szCs w:val="15"/>
          <w:color w:val="auto"/>
        </w:rPr>
        <w:t>For fiscal year 1996, the Organization and Compensation Committee will again establish performance criteria designed to enhance stockholder value. These criteria will be consistent with financial objectives of the Company and will be representative of the success needed to insure growth and profitability.</w:t>
      </w:r>
    </w:p>
    <w:p>
      <w:pPr>
        <w:spacing w:after="0" w:line="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James W. McGlothlin, Chairman</w:t>
      </w:r>
    </w:p>
    <w:p>
      <w:pPr>
        <w:spacing w:after="0" w:line="2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Alan T. Dickson</w:t>
      </w:r>
    </w:p>
    <w:p>
      <w:pPr>
        <w:ind w:left="3780"/>
        <w:spacing w:after="0"/>
        <w:rPr>
          <w:sz w:val="20"/>
          <w:szCs w:val="20"/>
          <w:color w:val="auto"/>
        </w:rPr>
      </w:pPr>
      <w:r>
        <w:rPr>
          <w:rFonts w:ascii="Courier New" w:cs="Courier New" w:eastAsia="Courier New" w:hAnsi="Courier New"/>
          <w:sz w:val="15"/>
          <w:szCs w:val="15"/>
          <w:color w:val="auto"/>
        </w:rPr>
        <w:t>William H. Goodwin, Jr.</w:t>
      </w:r>
    </w:p>
    <w:p>
      <w:pPr>
        <w:ind w:left="3780"/>
        <w:spacing w:after="0"/>
        <w:rPr>
          <w:sz w:val="20"/>
          <w:szCs w:val="20"/>
          <w:color w:val="auto"/>
        </w:rPr>
      </w:pPr>
      <w:r>
        <w:rPr>
          <w:rFonts w:ascii="Courier New" w:cs="Courier New" w:eastAsia="Courier New" w:hAnsi="Courier New"/>
          <w:sz w:val="15"/>
          <w:szCs w:val="15"/>
          <w:color w:val="auto"/>
        </w:rPr>
        <w:t>Albert F. Sloan</w:t>
      </w:r>
    </w:p>
    <w:p>
      <w:pPr>
        <w:ind w:left="3780"/>
        <w:spacing w:after="0"/>
        <w:rPr>
          <w:sz w:val="20"/>
          <w:szCs w:val="20"/>
          <w:color w:val="auto"/>
        </w:rPr>
      </w:pPr>
      <w:r>
        <w:rPr>
          <w:rFonts w:ascii="Courier New" w:cs="Courier New" w:eastAsia="Courier New" w:hAnsi="Courier New"/>
          <w:sz w:val="15"/>
          <w:szCs w:val="15"/>
          <w:color w:val="auto"/>
        </w:rPr>
        <w:t>John W. Snow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2"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RETURN PERFORMANCE GRAPH</w:t>
      </w:r>
    </w:p>
    <w:p>
      <w:pPr>
        <w:spacing w:after="0" w:line="169"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Included below is a line graph comparing the yearly percentage change in the cumulative total stockholder return on the Company's Common Stock against the cumulative total return of the Standard &amp; Poor's 500 Index and the Company's Peer Group for the period commencing December 1, 1990 and ending November 30, 1995, covering the Company's five fiscal years ended November 30, 1995. The Company's Peer Group consists of nine publicly-traded companies, the Company, Ameriwood Industries International Corporation, Bush Industries, Inc. Class A Common Stock, DMI Furniture, Inc., La-Z-Boy Chair Company, Ladd Furniture, Inc., Masco Corp., Pulaski Furniture Corp. and Rowe Furniture Corp., each of which is in the household furniture industry.</w:t>
      </w:r>
    </w:p>
    <w:p>
      <w:pPr>
        <w:spacing w:after="0" w:line="25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COMPARISON OF FIVE YEAR CUMULATIVE TOTAL RETURN AMONG THE COMPANY,</w:t>
      </w:r>
    </w:p>
    <w:p>
      <w:pPr>
        <w:spacing w:after="0" w:line="2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S&amp;P 500 INDEX AND THE PEER GROUP</w:t>
      </w:r>
    </w:p>
    <w:p>
      <w:pPr>
        <w:spacing w:after="0" w:line="31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[GRAPH]</w:t>
      </w:r>
    </w:p>
    <w:p>
      <w:pPr>
        <w:spacing w:after="0" w:line="339"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This graph assumes that $100 was invested in the Company's Common Stock on December 1, 1990, in the S&amp;P 500 Index, and the Peer Group, and that dividends were reinvested.</w:t>
      </w:r>
    </w:p>
    <w:p>
      <w:pPr>
        <w:spacing w:after="0" w:line="5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Indexed\Cumulative Returns</w:t>
      </w:r>
    </w:p>
    <w:p>
      <w:pPr>
        <w:spacing w:after="0" w:line="200" w:lineRule="exact"/>
        <w:rPr>
          <w:sz w:val="20"/>
          <w:szCs w:val="20"/>
          <w:color w:val="auto"/>
        </w:rPr>
      </w:pPr>
    </w:p>
    <w:p>
      <w:pPr>
        <w:spacing w:after="0" w:line="30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5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4"/>
              </w:rPr>
              <w:t>Base</w:t>
            </w: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Return</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Return</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Return</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Return</w:t>
            </w:r>
          </w:p>
        </w:tc>
        <w:tc>
          <w:tcPr>
            <w:tcW w:w="920" w:type="dxa"/>
            <w:vAlign w:val="bottom"/>
            <w:vMerge w:val="restart"/>
          </w:tcPr>
          <w:p>
            <w:pPr>
              <w:jc w:val="center"/>
              <w:ind w:left="127"/>
              <w:spacing w:after="0"/>
              <w:rPr>
                <w:sz w:val="20"/>
                <w:szCs w:val="20"/>
                <w:color w:val="auto"/>
              </w:rPr>
            </w:pPr>
            <w:r>
              <w:rPr>
                <w:rFonts w:ascii="Courier New" w:cs="Courier New" w:eastAsia="Courier New" w:hAnsi="Courier New"/>
                <w:sz w:val="15"/>
                <w:szCs w:val="15"/>
                <w:color w:val="auto"/>
                <w:w w:val="96"/>
              </w:rPr>
              <w:t>Return</w:t>
            </w:r>
          </w:p>
        </w:tc>
        <w:tc>
          <w:tcPr>
            <w:tcW w:w="0" w:type="dxa"/>
            <w:vAlign w:val="bottom"/>
          </w:tcPr>
          <w:p>
            <w:pPr>
              <w:spacing w:after="0"/>
              <w:rPr>
                <w:sz w:val="1"/>
                <w:szCs w:val="1"/>
                <w:color w:val="auto"/>
              </w:rPr>
            </w:pPr>
          </w:p>
        </w:tc>
      </w:tr>
      <w:tr>
        <w:trPr>
          <w:trHeight w:val="170"/>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Company\Index Name</w:t>
            </w:r>
          </w:p>
        </w:tc>
        <w:tc>
          <w:tcPr>
            <w:tcW w:w="15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Period</w:t>
            </w:r>
          </w:p>
        </w:tc>
        <w:tc>
          <w:tcPr>
            <w:tcW w:w="11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0" w:type="dxa"/>
            <w:vAlign w:val="bottom"/>
            <w:vMerge w:val="continue"/>
          </w:tcPr>
          <w:p>
            <w:pPr>
              <w:spacing w:after="0"/>
              <w:rPr>
                <w:sz w:val="17"/>
                <w:szCs w:val="17"/>
                <w:color w:val="auto"/>
              </w:rPr>
            </w:pPr>
          </w:p>
        </w:tc>
        <w:tc>
          <w:tcPr>
            <w:tcW w:w="154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Nov 1990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Nov 1991</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Nov 1992</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Nov 1993</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Nov 1994</w:t>
            </w:r>
          </w:p>
        </w:tc>
        <w:tc>
          <w:tcPr>
            <w:tcW w:w="9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Nov 1995</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BASSETT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FURNITURE INDS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115.69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187.02</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211.24</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190.47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155.17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S&amp;P 500</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120.34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142.57</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156.97</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217.27</w:t>
            </w:r>
          </w:p>
        </w:tc>
      </w:tr>
      <w:tr>
        <w:trPr>
          <w:trHeight w:val="246"/>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PEER GROUP</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132.62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177.07</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233.11</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168.29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208.84</w:t>
            </w:r>
          </w:p>
        </w:tc>
      </w:tr>
    </w:tbl>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PEER GROUP POPULATION</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AMERIWOOD INDS INTL CP</w:t>
      </w:r>
    </w:p>
    <w:p>
      <w:pPr>
        <w:spacing w:after="0"/>
        <w:rPr>
          <w:sz w:val="20"/>
          <w:szCs w:val="20"/>
          <w:color w:val="auto"/>
        </w:rPr>
      </w:pPr>
      <w:r>
        <w:rPr>
          <w:rFonts w:ascii="Courier New" w:cs="Courier New" w:eastAsia="Courier New" w:hAnsi="Courier New"/>
          <w:sz w:val="15"/>
          <w:szCs w:val="15"/>
          <w:color w:val="auto"/>
        </w:rPr>
        <w:t>BASSETT FURNITURE INDS</w:t>
      </w:r>
    </w:p>
    <w:p>
      <w:pPr>
        <w:spacing w:after="0"/>
        <w:rPr>
          <w:sz w:val="20"/>
          <w:szCs w:val="20"/>
          <w:color w:val="auto"/>
        </w:rPr>
      </w:pPr>
      <w:r>
        <w:rPr>
          <w:rFonts w:ascii="Courier New" w:cs="Courier New" w:eastAsia="Courier New" w:hAnsi="Courier New"/>
          <w:sz w:val="15"/>
          <w:szCs w:val="15"/>
          <w:color w:val="auto"/>
        </w:rPr>
        <w:t>BUSH INDUSTRIES -CL A</w:t>
      </w:r>
    </w:p>
    <w:p>
      <w:pPr>
        <w:spacing w:after="0"/>
        <w:rPr>
          <w:sz w:val="20"/>
          <w:szCs w:val="20"/>
          <w:color w:val="auto"/>
        </w:rPr>
      </w:pPr>
      <w:r>
        <w:rPr>
          <w:rFonts w:ascii="Courier New" w:cs="Courier New" w:eastAsia="Courier New" w:hAnsi="Courier New"/>
          <w:sz w:val="15"/>
          <w:szCs w:val="15"/>
          <w:color w:val="auto"/>
        </w:rPr>
        <w:t>DMI FURNITURE INC</w:t>
      </w:r>
    </w:p>
    <w:p>
      <w:pPr>
        <w:spacing w:after="0"/>
        <w:rPr>
          <w:sz w:val="20"/>
          <w:szCs w:val="20"/>
          <w:color w:val="auto"/>
        </w:rPr>
      </w:pPr>
      <w:r>
        <w:rPr>
          <w:rFonts w:ascii="Courier New" w:cs="Courier New" w:eastAsia="Courier New" w:hAnsi="Courier New"/>
          <w:sz w:val="15"/>
          <w:szCs w:val="15"/>
          <w:color w:val="auto"/>
        </w:rPr>
        <w:t>LA-Z-BOY CHAIR CO</w:t>
      </w:r>
    </w:p>
    <w:p>
      <w:pPr>
        <w:spacing w:after="0"/>
        <w:rPr>
          <w:sz w:val="20"/>
          <w:szCs w:val="20"/>
          <w:color w:val="auto"/>
        </w:rPr>
      </w:pPr>
      <w:r>
        <w:rPr>
          <w:rFonts w:ascii="Courier New" w:cs="Courier New" w:eastAsia="Courier New" w:hAnsi="Courier New"/>
          <w:sz w:val="15"/>
          <w:szCs w:val="15"/>
          <w:color w:val="auto"/>
        </w:rPr>
        <w:t>LADD FURNITURE INC</w:t>
      </w:r>
    </w:p>
    <w:p>
      <w:pPr>
        <w:spacing w:after="0"/>
        <w:rPr>
          <w:sz w:val="20"/>
          <w:szCs w:val="20"/>
          <w:color w:val="auto"/>
        </w:rPr>
      </w:pPr>
      <w:r>
        <w:rPr>
          <w:rFonts w:ascii="Courier New" w:cs="Courier New" w:eastAsia="Courier New" w:hAnsi="Courier New"/>
          <w:sz w:val="15"/>
          <w:szCs w:val="15"/>
          <w:color w:val="auto"/>
        </w:rPr>
        <w:t>MASCO CORP</w:t>
      </w:r>
    </w:p>
    <w:p>
      <w:pPr>
        <w:spacing w:after="0"/>
        <w:rPr>
          <w:sz w:val="20"/>
          <w:szCs w:val="20"/>
          <w:color w:val="auto"/>
        </w:rPr>
      </w:pPr>
      <w:r>
        <w:rPr>
          <w:rFonts w:ascii="Courier New" w:cs="Courier New" w:eastAsia="Courier New" w:hAnsi="Courier New"/>
          <w:sz w:val="15"/>
          <w:szCs w:val="15"/>
          <w:color w:val="auto"/>
        </w:rPr>
        <w:t>PULASKI FURNITURE CORP</w:t>
      </w:r>
    </w:p>
    <w:p>
      <w:pPr>
        <w:spacing w:after="0"/>
        <w:rPr>
          <w:sz w:val="20"/>
          <w:szCs w:val="20"/>
          <w:color w:val="auto"/>
        </w:rPr>
      </w:pPr>
      <w:r>
        <w:rPr>
          <w:rFonts w:ascii="Courier New" w:cs="Courier New" w:eastAsia="Courier New" w:hAnsi="Courier New"/>
          <w:sz w:val="15"/>
          <w:szCs w:val="15"/>
          <w:color w:val="auto"/>
        </w:rPr>
        <w:t>ROWE FURNITURE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2" w:right="1440" w:bottom="1440" w:gutter="0" w:footer="0" w:header="0"/>
        </w:sectPr>
      </w:pPr>
    </w:p>
    <w:bookmarkStart w:id="11" w:name="page12"/>
    <w:bookmarkEnd w:id="11"/>
    <w:p>
      <w:pPr>
        <w:ind w:left="27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COMPENSATION</w:t>
      </w:r>
    </w:p>
    <w:p>
      <w:pPr>
        <w:spacing w:after="0" w:line="169" w:lineRule="exact"/>
        <w:rPr>
          <w:sz w:val="20"/>
          <w:szCs w:val="20"/>
          <w:color w:val="auto"/>
        </w:rPr>
      </w:pPr>
    </w:p>
    <w:p>
      <w:pPr>
        <w:ind w:left="10" w:right="3359" w:firstLine="793"/>
        <w:spacing w:after="0" w:line="289" w:lineRule="auto"/>
        <w:rPr>
          <w:sz w:val="20"/>
          <w:szCs w:val="20"/>
          <w:color w:val="auto"/>
        </w:rPr>
      </w:pPr>
      <w:r>
        <w:rPr>
          <w:rFonts w:ascii="Courier New" w:cs="Courier New" w:eastAsia="Courier New" w:hAnsi="Courier New"/>
          <w:sz w:val="14"/>
          <w:szCs w:val="14"/>
          <w:color w:val="auto"/>
        </w:rPr>
        <w:t>The table below shows the compensation paid or accrued by the Company for the three fiscal years ended November 30, 1995, to or for the account of the Chief Executive Officer and the Company's four other most highly compensated officers whose total annual salary and bonus exceeded $100,000 for the 1995 fiscal year (collectively, the named Executive Officers).</w:t>
      </w:r>
    </w:p>
    <w:p>
      <w:pPr>
        <w:spacing w:after="0" w:line="200" w:lineRule="exact"/>
        <w:rPr>
          <w:sz w:val="20"/>
          <w:szCs w:val="20"/>
          <w:color w:val="auto"/>
        </w:rPr>
      </w:pPr>
    </w:p>
    <w:p>
      <w:pPr>
        <w:spacing w:after="0" w:line="201" w:lineRule="exact"/>
        <w:rPr>
          <w:sz w:val="20"/>
          <w:szCs w:val="20"/>
          <w:color w:val="auto"/>
        </w:rPr>
      </w:pPr>
    </w:p>
    <w:tbl>
      <w:tblPr>
        <w:tblLayout w:type="fixed"/>
        <w:tblInd w:w="9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SUMMARY COMPENSATION TABLE</w:t>
            </w:r>
          </w:p>
        </w:tc>
        <w:tc>
          <w:tcPr>
            <w:tcW w:w="13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LONG TERM</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60" w:type="dxa"/>
            <w:vAlign w:val="bottom"/>
            <w:gridSpan w:val="3"/>
            <w:vMerge w:val="restart"/>
          </w:tcPr>
          <w:p>
            <w:pPr>
              <w:jc w:val="right"/>
              <w:ind w:right="1287"/>
              <w:spacing w:after="0"/>
              <w:rPr>
                <w:sz w:val="20"/>
                <w:szCs w:val="20"/>
                <w:color w:val="auto"/>
              </w:rPr>
            </w:pPr>
            <w:r>
              <w:rPr>
                <w:rFonts w:ascii="Courier New" w:cs="Courier New" w:eastAsia="Courier New" w:hAnsi="Courier New"/>
                <w:sz w:val="15"/>
                <w:szCs w:val="15"/>
                <w:color w:val="auto"/>
              </w:rPr>
              <w:t>ANNUAL COMPENSATION</w:t>
            </w:r>
          </w:p>
        </w:tc>
        <w:tc>
          <w:tcPr>
            <w:tcW w:w="13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60" w:type="dxa"/>
            <w:vAlign w:val="bottom"/>
            <w:gridSpan w:val="3"/>
            <w:vMerge w:val="continue"/>
          </w:tcPr>
          <w:p>
            <w:pPr>
              <w:spacing w:after="0"/>
              <w:rPr>
                <w:sz w:val="14"/>
                <w:szCs w:val="14"/>
                <w:color w:val="auto"/>
              </w:rPr>
            </w:pP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COMPENSATION</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6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0"/>
        </w:trPr>
        <w:tc>
          <w:tcPr>
            <w:tcW w:w="92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FISCAL</w:t>
            </w:r>
          </w:p>
        </w:tc>
        <w:tc>
          <w:tcPr>
            <w:tcW w:w="10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SALARY</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BONUS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OTHER ANNUAL</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STOCK OPTION</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3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AWARDS</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138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(#SH)</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6"/>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Robert H. Spilman</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9,919</w:t>
            </w:r>
          </w:p>
        </w:tc>
        <w:tc>
          <w:tcPr>
            <w:tcW w:w="0" w:type="dxa"/>
            <w:vAlign w:val="bottom"/>
          </w:tcPr>
          <w:p>
            <w:pPr>
              <w:spacing w:after="0"/>
              <w:rPr>
                <w:sz w:val="1"/>
                <w:szCs w:val="1"/>
                <w:color w:val="auto"/>
              </w:rPr>
            </w:pPr>
          </w:p>
        </w:tc>
      </w:tr>
      <w:tr>
        <w:trPr>
          <w:trHeight w:val="170"/>
        </w:trPr>
        <w:tc>
          <w:tcPr>
            <w:tcW w:w="2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Chairman of the</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7,500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10,626</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Board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Chief</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6,834</w:t>
            </w:r>
          </w:p>
        </w:tc>
        <w:tc>
          <w:tcPr>
            <w:tcW w:w="0" w:type="dxa"/>
            <w:vAlign w:val="bottom"/>
          </w:tcPr>
          <w:p>
            <w:pPr>
              <w:spacing w:after="0"/>
              <w:rPr>
                <w:sz w:val="1"/>
                <w:szCs w:val="1"/>
                <w:color w:val="auto"/>
              </w:rPr>
            </w:pPr>
          </w:p>
        </w:tc>
      </w:tr>
      <w:tr>
        <w:trPr>
          <w:trHeight w:val="246"/>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Glenn A. Hunsucker</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9,919</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10,626</w:t>
            </w:r>
          </w:p>
        </w:tc>
        <w:tc>
          <w:tcPr>
            <w:tcW w:w="0" w:type="dxa"/>
            <w:vAlign w:val="bottom"/>
          </w:tcPr>
          <w:p>
            <w:pPr>
              <w:spacing w:after="0"/>
              <w:rPr>
                <w:sz w:val="1"/>
                <w:szCs w:val="1"/>
                <w:color w:val="auto"/>
              </w:rPr>
            </w:pPr>
          </w:p>
        </w:tc>
      </w:tr>
      <w:tr>
        <w:trPr>
          <w:trHeight w:val="246"/>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18,750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10,343</w:t>
            </w:r>
          </w:p>
        </w:tc>
        <w:tc>
          <w:tcPr>
            <w:tcW w:w="0" w:type="dxa"/>
            <w:vAlign w:val="bottom"/>
          </w:tcPr>
          <w:p>
            <w:pPr>
              <w:spacing w:after="0"/>
              <w:rPr>
                <w:sz w:val="1"/>
                <w:szCs w:val="1"/>
                <w:color w:val="auto"/>
              </w:rPr>
            </w:pPr>
          </w:p>
        </w:tc>
      </w:tr>
      <w:tr>
        <w:trPr>
          <w:trHeight w:val="262"/>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 C. Philpott</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10,341</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10,436</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 Manu-</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62,500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6,250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9,585</w:t>
            </w:r>
          </w:p>
        </w:tc>
        <w:tc>
          <w:tcPr>
            <w:tcW w:w="0" w:type="dxa"/>
            <w:vAlign w:val="bottom"/>
          </w:tcPr>
          <w:p>
            <w:pPr>
              <w:spacing w:after="0"/>
              <w:rPr>
                <w:sz w:val="1"/>
                <w:szCs w:val="1"/>
                <w:color w:val="auto"/>
              </w:rPr>
            </w:pPr>
          </w:p>
        </w:tc>
      </w:tr>
      <w:tr>
        <w:trPr>
          <w:trHeight w:val="246"/>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facturing</w:t>
            </w: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B. M. Brammer</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10,220</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10,286</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 Finance</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67,500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6,250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9,320</w:t>
            </w:r>
          </w:p>
        </w:tc>
        <w:tc>
          <w:tcPr>
            <w:tcW w:w="0" w:type="dxa"/>
            <w:vAlign w:val="bottom"/>
          </w:tcPr>
          <w:p>
            <w:pPr>
              <w:spacing w:after="0"/>
              <w:rPr>
                <w:sz w:val="1"/>
                <w:szCs w:val="1"/>
                <w:color w:val="auto"/>
              </w:rPr>
            </w:pPr>
          </w:p>
        </w:tc>
      </w:tr>
      <w:tr>
        <w:trPr>
          <w:trHeight w:val="246"/>
        </w:trPr>
        <w:tc>
          <w:tcPr>
            <w:tcW w:w="2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Treasurer</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Robert H. Spilman, Jr.</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5,865</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Executive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Vice</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4,543</w:t>
            </w:r>
          </w:p>
        </w:tc>
        <w:tc>
          <w:tcPr>
            <w:tcW w:w="0" w:type="dxa"/>
            <w:vAlign w:val="bottom"/>
          </w:tcPr>
          <w:p>
            <w:pPr>
              <w:spacing w:after="0"/>
              <w:rPr>
                <w:sz w:val="1"/>
                <w:szCs w:val="1"/>
                <w:color w:val="auto"/>
              </w:rPr>
            </w:pPr>
          </w:p>
        </w:tc>
      </w:tr>
      <w:tr>
        <w:trPr>
          <w:trHeight w:val="170"/>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85,000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30,000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6,250</w:t>
            </w:r>
          </w:p>
        </w:tc>
        <w:tc>
          <w:tcPr>
            <w:tcW w:w="13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2,645</w:t>
            </w:r>
          </w:p>
        </w:tc>
        <w:tc>
          <w:tcPr>
            <w:tcW w:w="0" w:type="dxa"/>
            <w:vAlign w:val="bottom"/>
          </w:tcPr>
          <w:p>
            <w:pPr>
              <w:spacing w:after="0"/>
              <w:rPr>
                <w:sz w:val="1"/>
                <w:szCs w:val="1"/>
                <w:color w:val="auto"/>
              </w:rPr>
            </w:pPr>
          </w:p>
        </w:tc>
      </w:tr>
      <w:tr>
        <w:trPr>
          <w:trHeight w:val="196"/>
        </w:trPr>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Marketing</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
        <w:spacing w:after="0"/>
        <w:rPr>
          <w:sz w:val="20"/>
          <w:szCs w:val="20"/>
          <w:color w:val="auto"/>
        </w:rPr>
      </w:pPr>
      <w:r>
        <w:rPr>
          <w:rFonts w:ascii="Courier New" w:cs="Courier New" w:eastAsia="Courier New" w:hAnsi="Courier New"/>
          <w:sz w:val="15"/>
          <w:szCs w:val="15"/>
          <w:color w:val="auto"/>
        </w:rPr>
        <w:t>Merchandising</w:t>
      </w:r>
    </w:p>
    <w:p>
      <w:pPr>
        <w:spacing w:after="0" w:line="14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530" w:right="3619" w:hanging="530"/>
        <w:spacing w:after="0" w:line="293"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salaries shown above include deferred compensation for each named Executive Officer under the Section 401(k) qualified, defined contribution Employee Savings/Retirement Plan.</w:t>
      </w:r>
    </w:p>
    <w:p>
      <w:pPr>
        <w:spacing w:after="0" w:line="55" w:lineRule="exact"/>
        <w:rPr>
          <w:rFonts w:ascii="Courier New" w:cs="Courier New" w:eastAsia="Courier New" w:hAnsi="Courier New"/>
          <w:sz w:val="15"/>
          <w:szCs w:val="15"/>
          <w:color w:val="auto"/>
        </w:rPr>
      </w:pPr>
    </w:p>
    <w:p>
      <w:pPr>
        <w:ind w:left="530" w:right="3259" w:hanging="530"/>
        <w:spacing w:after="0" w:line="275"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Company's incentive bonus program, executives are paid cash awards which are directly related to their performance and contribution to the attainment of Company objectives and individual goals. Awards are made annually following the completion of the fiscal year.</w:t>
      </w:r>
    </w:p>
    <w:p>
      <w:pPr>
        <w:spacing w:after="0" w:line="68" w:lineRule="exact"/>
        <w:rPr>
          <w:rFonts w:ascii="Courier New" w:cs="Courier New" w:eastAsia="Courier New" w:hAnsi="Courier New"/>
          <w:sz w:val="15"/>
          <w:szCs w:val="15"/>
          <w:color w:val="auto"/>
        </w:rPr>
      </w:pPr>
    </w:p>
    <w:p>
      <w:pPr>
        <w:ind w:left="530" w:right="3359" w:hanging="530"/>
        <w:spacing w:after="0" w:line="384" w:lineRule="auto"/>
        <w:tabs>
          <w:tab w:leader="none" w:pos="5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named Executive Officer has received personal benefits during the listed years in excess of the lesser of $50,000 or 10% of annual salary.</w:t>
      </w:r>
    </w:p>
    <w:p>
      <w:pPr>
        <w:ind w:left="530" w:right="4499" w:hanging="530"/>
        <w:spacing w:after="0" w:line="347"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matching contributions under the Company's Employee Savings/Retirement Plan.</w:t>
      </w:r>
    </w:p>
    <w:p>
      <w:pPr>
        <w:spacing w:after="0" w:line="35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62"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left="10" w:right="440" w:firstLine="529"/>
        <w:spacing w:after="0" w:line="275" w:lineRule="auto"/>
        <w:rPr>
          <w:sz w:val="20"/>
          <w:szCs w:val="20"/>
          <w:color w:val="auto"/>
        </w:rPr>
      </w:pPr>
      <w:r>
        <w:rPr>
          <w:rFonts w:ascii="Courier New" w:cs="Courier New" w:eastAsia="Courier New" w:hAnsi="Courier New"/>
          <w:sz w:val="15"/>
          <w:szCs w:val="15"/>
          <w:color w:val="auto"/>
        </w:rPr>
        <w:t>The table below shows, on an aggregated basis, each exercise of stock options or SARs during the fiscal year ended November 30, 1995 by the Chief Executive Officer and each named Executive Officer and the 1995 fiscal year-end value of unexercised in-the-money options and SARs.</w:t>
      </w:r>
    </w:p>
    <w:p>
      <w:pPr>
        <w:spacing w:after="0" w:line="238" w:lineRule="exact"/>
        <w:rPr>
          <w:sz w:val="20"/>
          <w:szCs w:val="20"/>
          <w:color w:val="auto"/>
        </w:rPr>
      </w:pPr>
    </w:p>
    <w:p>
      <w:pPr>
        <w:jc w:val="center"/>
        <w:ind w:right="430"/>
        <w:spacing w:after="0"/>
        <w:rPr>
          <w:sz w:val="20"/>
          <w:szCs w:val="20"/>
          <w:color w:val="auto"/>
        </w:rPr>
      </w:pPr>
      <w:r>
        <w:rPr>
          <w:rFonts w:ascii="Courier New" w:cs="Courier New" w:eastAsia="Courier New" w:hAnsi="Courier New"/>
          <w:sz w:val="15"/>
          <w:szCs w:val="15"/>
          <w:color w:val="auto"/>
        </w:rPr>
        <w:t>AGGREGATED OPTION/SAR EXERCISES IN THE 1995 FISCAL YEAR</w:t>
      </w:r>
    </w:p>
    <w:p>
      <w:pPr>
        <w:spacing w:after="0" w:line="26" w:lineRule="exact"/>
        <w:rPr>
          <w:sz w:val="20"/>
          <w:szCs w:val="20"/>
          <w:color w:val="auto"/>
        </w:rPr>
      </w:pPr>
    </w:p>
    <w:p>
      <w:pPr>
        <w:jc w:val="center"/>
        <w:ind w:right="350"/>
        <w:spacing w:after="0"/>
        <w:rPr>
          <w:sz w:val="20"/>
          <w:szCs w:val="20"/>
          <w:color w:val="auto"/>
        </w:rPr>
      </w:pPr>
      <w:r>
        <w:rPr>
          <w:rFonts w:ascii="Courier New" w:cs="Courier New" w:eastAsia="Courier New" w:hAnsi="Courier New"/>
          <w:sz w:val="15"/>
          <w:szCs w:val="15"/>
          <w:color w:val="auto"/>
        </w:rPr>
        <w:t>AND FY-END OPTION/SAR VALUES</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UNEXERCISED</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OPTIONS/SARS AT</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FY-END (#SH)(1)</w:t>
            </w:r>
          </w:p>
        </w:tc>
        <w:tc>
          <w:tcPr>
            <w:tcW w:w="0" w:type="dxa"/>
            <w:vAlign w:val="bottom"/>
          </w:tcPr>
          <w:p>
            <w:pPr>
              <w:spacing w:after="0"/>
              <w:rPr>
                <w:sz w:val="1"/>
                <w:szCs w:val="1"/>
                <w:color w:val="auto"/>
              </w:rPr>
            </w:pPr>
          </w:p>
        </w:tc>
      </w:tr>
      <w:tr>
        <w:trPr>
          <w:trHeight w:val="262"/>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 ACQUIRED</w:t>
            </w:r>
          </w:p>
        </w:tc>
        <w:tc>
          <w:tcPr>
            <w:tcW w:w="19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VALUE REALIZED ($)</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EXERCISABLE/</w:t>
            </w:r>
          </w:p>
        </w:tc>
        <w:tc>
          <w:tcPr>
            <w:tcW w:w="0" w:type="dxa"/>
            <w:vAlign w:val="bottom"/>
          </w:tcPr>
          <w:p>
            <w:pPr>
              <w:spacing w:after="0"/>
              <w:rPr>
                <w:sz w:val="1"/>
                <w:szCs w:val="1"/>
                <w:color w:val="auto"/>
              </w:rPr>
            </w:pPr>
          </w:p>
        </w:tc>
      </w:tr>
      <w:tr>
        <w:trPr>
          <w:trHeight w:val="170"/>
        </w:trPr>
        <w:tc>
          <w:tcPr>
            <w:tcW w:w="2020" w:type="dxa"/>
            <w:vAlign w:val="bottom"/>
            <w:vMerge w:val="continue"/>
          </w:tcPr>
          <w:p>
            <w:pPr>
              <w:spacing w:after="0"/>
              <w:rPr>
                <w:sz w:val="14"/>
                <w:szCs w:val="14"/>
                <w:color w:val="auto"/>
              </w:rPr>
            </w:pPr>
          </w:p>
        </w:tc>
        <w:tc>
          <w:tcPr>
            <w:tcW w:w="18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ON EXERCISE (#SH)</w:t>
            </w:r>
          </w:p>
        </w:tc>
        <w:tc>
          <w:tcPr>
            <w:tcW w:w="1900" w:type="dxa"/>
            <w:vAlign w:val="bottom"/>
            <w:vMerge w:val="continue"/>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Robert H. Spilman</w:t>
            </w:r>
          </w:p>
        </w:tc>
        <w:tc>
          <w:tcPr>
            <w:tcW w:w="18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9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23,225/30,704</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18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9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12,142/20,537</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8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9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7,091/4,909</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B. M. Brammer</w:t>
            </w:r>
          </w:p>
        </w:tc>
        <w:tc>
          <w:tcPr>
            <w:tcW w:w="18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9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6,020/4,909</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8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0</w:t>
            </w:r>
          </w:p>
        </w:tc>
        <w:tc>
          <w:tcPr>
            <w:tcW w:w="19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7,805/4,909</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530" w:right="540" w:hanging="530"/>
        <w:spacing w:after="0" w:line="347"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SARs were exercised in 1995 and there were no SARs outstanding at the 1995 fiscal year end.</w:t>
      </w:r>
    </w:p>
    <w:p>
      <w:pPr>
        <w:spacing w:after="0" w:line="17" w:lineRule="exact"/>
        <w:rPr>
          <w:rFonts w:ascii="Courier New" w:cs="Courier New" w:eastAsia="Courier New" w:hAnsi="Courier New"/>
          <w:sz w:val="15"/>
          <w:szCs w:val="15"/>
          <w:color w:val="auto"/>
        </w:rPr>
      </w:pPr>
    </w:p>
    <w:p>
      <w:pPr>
        <w:ind w:left="530" w:right="620" w:hanging="530"/>
        <w:spacing w:after="0" w:line="293"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unexercised options is $26.25 per share for 1994 grants, $37.40 per share for 1993 grants and $28 per share for 1992 grants.</w:t>
      </w:r>
    </w:p>
    <w:p>
      <w:pPr>
        <w:spacing w:after="0" w:line="2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SUPPLEMENTAL RETIREMENT INCOME PLAN</w:t>
      </w:r>
    </w:p>
    <w:p>
      <w:pPr>
        <w:spacing w:after="0" w:line="169" w:lineRule="exact"/>
        <w:rPr>
          <w:sz w:val="20"/>
          <w:szCs w:val="20"/>
          <w:color w:val="auto"/>
        </w:rPr>
      </w:pPr>
    </w:p>
    <w:p>
      <w:pPr>
        <w:ind w:left="10" w:right="440" w:firstLine="529"/>
        <w:spacing w:after="0" w:line="263" w:lineRule="auto"/>
        <w:rPr>
          <w:sz w:val="20"/>
          <w:szCs w:val="20"/>
          <w:color w:val="auto"/>
        </w:rPr>
      </w:pPr>
      <w:r>
        <w:rPr>
          <w:rFonts w:ascii="Courier New" w:cs="Courier New" w:eastAsia="Courier New" w:hAnsi="Courier New"/>
          <w:sz w:val="14"/>
          <w:szCs w:val="14"/>
          <w:color w:val="auto"/>
        </w:rPr>
        <w:t>The Company has a Supplemental Retirement Income Plan (the Supplemental Plan) that covers certain senior executives to promote their long service and dedication and to provide an additional retirement benefit. Upon retirement, the Supplemental Plan provides for lifetime monthly payments in an amount equal to 65% of the Participant's final average compensation under the Supplemental Plan, which amount is reduced by (i) 50% of old age social security benefits,</w:t>
      </w:r>
    </w:p>
    <w:p>
      <w:pPr>
        <w:ind w:left="10" w:right="440" w:hanging="10"/>
        <w:spacing w:after="0" w:line="242"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that would be payable on a life annuity basis from Company contributions to the Employee Savings/Retirement Supplemental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shall continue to be covered by the Supplemental Plan. The death benefit is divided into (a) prior to retirement death, which pays the beneficiary 50% of final average compensation for a period of 120 months, and (b) post retirement death, which pays the beneficiary 200% of final average compensation in a single payment. There are no benefits payable as a result of a termination of employment for any reason other than death or retirement. The Supplemental Plan contains a change of control provision which provides for the immediate vesting and payment of the retirement benefit under the Supplemental Plan in the event of an employment termination resulting from a change of control. The Supplemental Plan is an unfunded liability of the Company which is credited with an interest rate representative of the Company's interest rate used in its major financial transactions and fluctuates with the market. The executives covered under this Supplemental Plan have waived participation in the Company's Group Life Insurance Program.</w:t>
      </w:r>
    </w:p>
    <w:p>
      <w:pPr>
        <w:spacing w:after="0" w:line="103" w:lineRule="exact"/>
        <w:rPr>
          <w:sz w:val="20"/>
          <w:szCs w:val="20"/>
          <w:color w:val="auto"/>
        </w:rPr>
      </w:pPr>
    </w:p>
    <w:p>
      <w:pPr>
        <w:ind w:left="10" w:right="620" w:firstLine="529"/>
        <w:spacing w:after="0" w:line="293" w:lineRule="auto"/>
        <w:rPr>
          <w:sz w:val="20"/>
          <w:szCs w:val="20"/>
          <w:color w:val="auto"/>
        </w:rPr>
      </w:pPr>
      <w:r>
        <w:rPr>
          <w:rFonts w:ascii="Courier New" w:cs="Courier New" w:eastAsia="Courier New" w:hAnsi="Courier New"/>
          <w:sz w:val="15"/>
          <w:szCs w:val="15"/>
          <w:color w:val="auto"/>
        </w:rPr>
        <w:t>Assuming no change in the rate of compensation after November 30, 1995, the estimated annual net benefit payable on retirement at age 65 (at a later assumed age for Mr. Spilman) for the named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59"/>
        <w:spacing w:after="0" w:line="293" w:lineRule="auto"/>
        <w:rPr>
          <w:sz w:val="20"/>
          <w:szCs w:val="20"/>
          <w:color w:val="auto"/>
        </w:rPr>
      </w:pPr>
      <w:r>
        <w:rPr>
          <w:rFonts w:ascii="Courier New" w:cs="Courier New" w:eastAsia="Courier New" w:hAnsi="Courier New"/>
          <w:sz w:val="15"/>
          <w:szCs w:val="15"/>
          <w:color w:val="auto"/>
        </w:rPr>
        <w:t>VALUE OF UNEXERCISED IN-THE-MONEY OPTIONS/SARS AT FY-END ($)(1)(2)</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EXERCISABLE/</w:t>
      </w:r>
    </w:p>
    <w:p>
      <w:pPr>
        <w:spacing w:after="0" w:line="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UNEXERCISABLE</w:t>
      </w:r>
    </w:p>
    <w:p>
      <w:pPr>
        <w:ind w:left="620"/>
        <w:spacing w:after="0"/>
        <w:rPr>
          <w:sz w:val="20"/>
          <w:szCs w:val="20"/>
          <w:color w:val="auto"/>
        </w:rPr>
      </w:pPr>
      <w:r>
        <w:rPr>
          <w:rFonts w:ascii="Courier New" w:cs="Courier New" w:eastAsia="Courier New" w:hAnsi="Courier New"/>
          <w:sz w:val="15"/>
          <w:szCs w:val="15"/>
          <w:color w:val="auto"/>
        </w:rPr>
        <w:t>-------------</w:t>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0/0</w:t>
      </w:r>
    </w:p>
    <w:p>
      <w:pPr>
        <w:spacing w:after="0" w:line="2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0/0</w:t>
      </w:r>
    </w:p>
    <w:p>
      <w:pPr>
        <w:ind w:left="880"/>
        <w:spacing w:after="0"/>
        <w:rPr>
          <w:sz w:val="20"/>
          <w:szCs w:val="20"/>
          <w:color w:val="auto"/>
        </w:rPr>
      </w:pPr>
      <w:r>
        <w:rPr>
          <w:rFonts w:ascii="Courier New" w:cs="Courier New" w:eastAsia="Courier New" w:hAnsi="Courier New"/>
          <w:sz w:val="15"/>
          <w:szCs w:val="15"/>
          <w:color w:val="auto"/>
        </w:rPr>
        <w:t>0/0</w:t>
      </w:r>
    </w:p>
    <w:p>
      <w:pPr>
        <w:ind w:left="880"/>
        <w:spacing w:after="0"/>
        <w:rPr>
          <w:sz w:val="20"/>
          <w:szCs w:val="20"/>
          <w:color w:val="auto"/>
        </w:rPr>
      </w:pPr>
      <w:r>
        <w:rPr>
          <w:rFonts w:ascii="Courier New" w:cs="Courier New" w:eastAsia="Courier New" w:hAnsi="Courier New"/>
          <w:sz w:val="15"/>
          <w:szCs w:val="15"/>
          <w:color w:val="auto"/>
        </w:rPr>
        <w:t>0/0</w:t>
      </w:r>
    </w:p>
    <w:p>
      <w:pPr>
        <w:ind w:left="880"/>
        <w:spacing w:after="0"/>
        <w:rPr>
          <w:sz w:val="20"/>
          <w:szCs w:val="20"/>
          <w:color w:val="auto"/>
        </w:rPr>
      </w:pPr>
      <w:r>
        <w:rPr>
          <w:rFonts w:ascii="Courier New" w:cs="Courier New" w:eastAsia="Courier New" w:hAnsi="Courier New"/>
          <w:sz w:val="15"/>
          <w:szCs w:val="15"/>
          <w:color w:val="auto"/>
        </w:rPr>
        <w:t>0/0</w:t>
      </w:r>
    </w:p>
    <w:p>
      <w:pPr>
        <w:spacing w:after="0" w:line="7915" w:lineRule="exact"/>
        <w:rPr>
          <w:sz w:val="20"/>
          <w:szCs w:val="20"/>
          <w:color w:val="auto"/>
        </w:rPr>
      </w:pPr>
    </w:p>
    <w:p>
      <w:pPr>
        <w:sectPr>
          <w:pgSz w:w="11900" w:h="16838" w:orient="portrait"/>
          <w:cols w:equalWidth="0" w:num="2">
            <w:col w:w="7410" w:space="340"/>
            <w:col w:w="2479"/>
          </w:cols>
          <w:pgMar w:left="230" w:top="262" w:right="1440" w:bottom="1440" w:gutter="0" w:footer="0" w:header="0"/>
        </w:sectPr>
      </w:pPr>
    </w:p>
    <w:p>
      <w:pPr>
        <w:spacing w:after="0" w:line="36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62"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33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Executive Officers was as follows: Robert H. Spilman $283,005, Glenn A. Hunsucker $156,416, J. C. Philpott $67,994 and B. M. Brammer $60,529. Inasmuch as the estimated annual net benefit is based on the assumption of no change in the rate of compensation after November 30, 1995, it is projected that the net benefit payable to Robert H. Spilman, Jr. will be covered by the benefits calculated (using the aforementioned formula) to be payable from Company contributions to the Employee Savings/Retirement Plan.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69" w:lineRule="exact"/>
        <w:rPr>
          <w:sz w:val="20"/>
          <w:szCs w:val="20"/>
          <w:color w:val="auto"/>
        </w:rPr>
      </w:pPr>
    </w:p>
    <w:p>
      <w:pPr>
        <w:ind w:right="3259" w:firstLine="529"/>
        <w:spacing w:after="0" w:line="266" w:lineRule="auto"/>
        <w:rPr>
          <w:sz w:val="20"/>
          <w:szCs w:val="20"/>
          <w:color w:val="auto"/>
        </w:rPr>
      </w:pPr>
      <w:r>
        <w:rPr>
          <w:rFonts w:ascii="Courier New" w:cs="Courier New" w:eastAsia="Courier New" w:hAnsi="Courier New"/>
          <w:sz w:val="15"/>
          <w:szCs w:val="15"/>
          <w:color w:val="auto"/>
        </w:rPr>
        <w:t>Directors who are also employees of the Company or its subsidiaries receive no additional compensation for serving as directors. Directors who are not employees of the Company or its subsidiaries receive an annual retainer fee of $15,000, plus a fee of $500 for each Board and for each Committee meeting attended.</w:t>
      </w:r>
    </w:p>
    <w:p>
      <w:pPr>
        <w:spacing w:after="0" w:line="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Under the Company's 1993 Stock Plan for Non-Employee Directors (the Director Plan), Directors who are not regular employees of the Company are each automatically granted an option to purchase 500 shares of Common Stock on April 1 of each year, subject to adjustment in the event of stock dividends and splits, recapitalizations and similar transactions. On April 1, 1995, nine Directors were each granted an option to purchase 500 shares of Common Stock at an exercise price of $26.50 per share.</w:t>
      </w:r>
    </w:p>
    <w:p>
      <w:pPr>
        <w:spacing w:after="0" w:line="82"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An option granted under the Director Plan is not exercisable unless the optionee remains available to serve as a Director of the Company for six months after the date of grant. An optionee's rights under all outstanding options will terminate three months after his termination as a Director, unless the termination is because of death or disability, in which case the options will be exercisable for one year after such termination. Unless earlier terminated, all options granted under the Director Plan expire ten years from the date of grant.</w:t>
      </w:r>
    </w:p>
    <w:p>
      <w:pPr>
        <w:spacing w:after="0" w:line="87" w:lineRule="exact"/>
        <w:rPr>
          <w:sz w:val="20"/>
          <w:szCs w:val="20"/>
          <w:color w:val="auto"/>
        </w:rPr>
      </w:pPr>
    </w:p>
    <w:p>
      <w:pPr>
        <w:ind w:right="3359" w:firstLine="529"/>
        <w:spacing w:after="0" w:line="250" w:lineRule="auto"/>
        <w:rPr>
          <w:sz w:val="20"/>
          <w:szCs w:val="20"/>
          <w:color w:val="auto"/>
        </w:rPr>
      </w:pPr>
      <w:r>
        <w:rPr>
          <w:rFonts w:ascii="Courier New" w:cs="Courier New" w:eastAsia="Courier New" w:hAnsi="Courier New"/>
          <w:sz w:val="15"/>
          <w:szCs w:val="15"/>
          <w:color w:val="auto"/>
        </w:rPr>
        <w:t>In addition, the Director Plan provides that eligible Directors of the Company may make an annual irrevocable election to receive up to 100% of their annual retainer fee in the form of a stock award. The total number of shares subject to a stock award will be determined based on the fair market value of the Common Stock on the date the award is made. The Director may specify the percentage of the Director's annual retainer fee subject to the election, and the percentage of and the dates on which the shares covered by the stock award are to be issued. In the event a Director ceases to be a member of the Board of Directors for any reason, the total number of shares subject to the award which have not yet been issued to the Director will be issued to the Director within one year of his termination as a Director.</w:t>
      </w:r>
    </w:p>
    <w:p>
      <w:pPr>
        <w:spacing w:after="0" w:line="87" w:lineRule="exact"/>
        <w:rPr>
          <w:sz w:val="20"/>
          <w:szCs w:val="20"/>
          <w:color w:val="auto"/>
        </w:rPr>
      </w:pPr>
    </w:p>
    <w:p>
      <w:pPr>
        <w:ind w:right="3259" w:firstLine="529"/>
        <w:spacing w:after="0" w:line="254" w:lineRule="auto"/>
        <w:rPr>
          <w:sz w:val="20"/>
          <w:szCs w:val="20"/>
          <w:color w:val="auto"/>
        </w:rPr>
      </w:pPr>
      <w:r>
        <w:rPr>
          <w:rFonts w:ascii="Courier New" w:cs="Courier New" w:eastAsia="Courier New" w:hAnsi="Courier New"/>
          <w:sz w:val="15"/>
          <w:szCs w:val="15"/>
          <w:color w:val="auto"/>
        </w:rPr>
        <w:t>The Company also has established a planned gift program for directors funded by life insurance policies on directors as part of its overall program to promote charitable giving. Upon the death of a Director, the Company will donate $500,000 to one or more qualifying charitable organizations recommended by the individual director and subsequently be reimbursed by life insurance proceeds. Individual directors derive no financial benefit from this program since all charitable deductions accrue solely to the Company. The program does not result in any material cost to the Company.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SECURITIES EXCHANGE ACT OF 1934</w:t>
      </w:r>
    </w:p>
    <w:p>
      <w:pPr>
        <w:spacing w:after="0" w:line="16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Section 16(a) of the Securities Exchange Act of 1934 (the Exchange Act) requires the Company's Directors and executive officers and persons who own more than 10% of the Company's Common Stock to file with the Securities and Exchange Commission initial reports of ownership and reports of changes in ownership of the Common Stock and other equity securities. Executive officers, Directors and greater than 10% stockholders are required to furnish the Company with copies of all</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39"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such reports they file. To the Company's knowledge, based solely on a review of the copies of such reports furnished to the Company and written representations that no other reports were required, during the fiscal year ended November 30, 1995, all Section 16(a) filing requirements applicable to its executive officers, Directors and greater than 10% beneficial stockholders were complied with.</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6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Upon the recommendation of the Audit Committee, the Board of Directors has approved the selection of KPMG Peat Marwick as independent public accountants to audit the financial statements of the Company for the fiscal year ending November 30, 1996. This selection is being presented to the stockholders for their ratification at the Annual Meeting of Stockholders. The firm of KPMG Peat Marwick has audited the Company's financial statements annually since 1990 and is considered well qualified.</w:t>
      </w:r>
    </w:p>
    <w:p>
      <w:pPr>
        <w:spacing w:after="0" w:line="82" w:lineRule="exact"/>
        <w:rPr>
          <w:sz w:val="20"/>
          <w:szCs w:val="20"/>
          <w:color w:val="auto"/>
        </w:rPr>
      </w:pPr>
    </w:p>
    <w:p>
      <w:pPr>
        <w:ind w:right="3359" w:firstLine="529"/>
        <w:spacing w:after="0" w:line="275" w:lineRule="auto"/>
        <w:rPr>
          <w:sz w:val="20"/>
          <w:szCs w:val="20"/>
          <w:color w:val="auto"/>
        </w:rPr>
      </w:pPr>
      <w:r>
        <w:rPr>
          <w:rFonts w:ascii="Courier New" w:cs="Courier New" w:eastAsia="Courier New" w:hAnsi="Courier New"/>
          <w:sz w:val="15"/>
          <w:szCs w:val="15"/>
          <w:color w:val="auto"/>
        </w:rPr>
        <w:t>Representatives of KPMG Peat Marwick are expected to be present at the Annual Meeting of Stockholders with an opportunity to make a statement if they desire to do so, and they are expected to be available to respond to appropriate questions.</w:t>
      </w:r>
    </w:p>
    <w:p>
      <w:pPr>
        <w:spacing w:after="0" w:line="69"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5"/>
          <w:szCs w:val="15"/>
          <w:color w:val="auto"/>
        </w:rPr>
        <w:t>The Board of Directors recommends a vote FOR the ratification of the selection of KPMG Peat Marwick as independent public accountants to audit the financial statements of the Company for the fiscal year ending November 30, 1996, and proxies solicited by the Board of Directors will be so voted unless stockholders specify a different choice. If the stockholders do not ratify the selection of KPMG Peat Marwick, the selection of independent public accountants will be reconsidered by the Board of Directors.</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69" w:lineRule="exact"/>
        <w:rPr>
          <w:sz w:val="20"/>
          <w:szCs w:val="20"/>
          <w:color w:val="auto"/>
        </w:rPr>
      </w:pPr>
    </w:p>
    <w:p>
      <w:pPr>
        <w:ind w:right="3259" w:firstLine="529"/>
        <w:spacing w:after="0" w:line="278" w:lineRule="auto"/>
        <w:rPr>
          <w:sz w:val="20"/>
          <w:szCs w:val="20"/>
          <w:color w:val="auto"/>
        </w:rPr>
      </w:pPr>
      <w:r>
        <w:rPr>
          <w:rFonts w:ascii="Courier New" w:cs="Courier New" w:eastAsia="Courier New" w:hAnsi="Courier New"/>
          <w:sz w:val="14"/>
          <w:szCs w:val="14"/>
          <w:color w:val="auto"/>
        </w:rPr>
        <w:t>Any proposal that a stockholder intends to present for action at the 1997 Annual Meeting of Stockholders, currently scheduled for February 19, 1997, must be received by the Company no later than September 12, 1996, in order for the proposal to be included in the proxy statement and form of proxy for the 1997 Annual Meeting of Stockholders. The proposal should be sent to J. Stanley Payne, Vice President, Secretary and General Counsel, Bassett Furniture Industries, Incorporated, Post Office Box 626, Bassett, Virginia 24055.</w:t>
      </w:r>
    </w:p>
    <w:p>
      <w:pPr>
        <w:spacing w:after="0" w:line="200" w:lineRule="exact"/>
        <w:rPr>
          <w:sz w:val="20"/>
          <w:szCs w:val="20"/>
          <w:color w:val="auto"/>
        </w:rPr>
      </w:pPr>
    </w:p>
    <w:p>
      <w:pPr>
        <w:spacing w:after="0" w:line="3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2"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6170"/>
        <w:spacing w:after="0"/>
        <w:rPr>
          <w:sz w:val="20"/>
          <w:szCs w:val="20"/>
          <w:color w:val="auto"/>
        </w:rPr>
      </w:pPr>
      <w:r>
        <w:rPr>
          <w:rFonts w:ascii="Courier New" w:cs="Courier New" w:eastAsia="Courier New" w:hAnsi="Courier New"/>
          <w:sz w:val="14"/>
          <w:szCs w:val="14"/>
          <w:color w:val="auto"/>
        </w:rPr>
        <w:t>APPENDIX A</w:t>
      </w:r>
    </w:p>
    <w:p>
      <w:pPr>
        <w:spacing w:after="0" w:line="180" w:lineRule="exact"/>
        <w:rPr>
          <w:sz w:val="20"/>
          <w:szCs w:val="20"/>
          <w:color w:val="auto"/>
        </w:rPr>
      </w:pPr>
    </w:p>
    <w:p>
      <w:pPr>
        <w:ind w:left="10"/>
        <w:spacing w:after="0"/>
        <w:tabs>
          <w:tab w:leader="none" w:pos="1749" w:val="left"/>
          <w:tab w:leader="none" w:pos="6589"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BASSETT FURNITURE INDUSTRIES, INCORPORATED</w:t>
      </w:r>
      <w:r>
        <w:rPr>
          <w:sz w:val="20"/>
          <w:szCs w:val="20"/>
          <w:color w:val="auto"/>
        </w:rPr>
        <w:tab/>
      </w:r>
      <w:r>
        <w:rPr>
          <w:rFonts w:ascii="Courier New" w:cs="Courier New" w:eastAsia="Courier New" w:hAnsi="Courier New"/>
          <w:sz w:val="14"/>
          <w:szCs w:val="14"/>
          <w:color w:val="auto"/>
        </w:rPr>
        <w:t>PROXY</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26"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ANNUAL MEETING TO BE HELD FEBRUARY 21, 1996</w:t>
      </w:r>
    </w:p>
    <w:p>
      <w:pPr>
        <w:spacing w:after="0" w:line="143" w:lineRule="exact"/>
        <w:rPr>
          <w:sz w:val="20"/>
          <w:szCs w:val="20"/>
          <w:color w:val="auto"/>
        </w:rPr>
      </w:pPr>
    </w:p>
    <w:p>
      <w:pPr>
        <w:ind w:left="10" w:right="3259" w:firstLine="441"/>
        <w:spacing w:after="0" w:line="263" w:lineRule="auto"/>
        <w:rPr>
          <w:sz w:val="20"/>
          <w:szCs w:val="20"/>
          <w:color w:val="auto"/>
        </w:rPr>
      </w:pPr>
      <w:r>
        <w:rPr>
          <w:rFonts w:ascii="Courier New" w:cs="Courier New" w:eastAsia="Courier New" w:hAnsi="Courier New"/>
          <w:sz w:val="14"/>
          <w:szCs w:val="14"/>
          <w:color w:val="auto"/>
        </w:rPr>
        <w:t>The undersigned hereby appoints Glenn A. Hunsucker and B. M. Brammer, each or either of them, proxies, with full power of substitution, with the powers the undersigned would possess if personally present, to vote, as designated below, all shares of the $5.00 par value Common Stock of the undersigned in Bassett Furniture Industries, Incorporated at the Annual Meeting of Stockholders to be held on February 21, 1996, and at any adjournment thereof.</w:t>
      </w:r>
    </w:p>
    <w:p>
      <w:pPr>
        <w:ind w:left="10" w:right="3439" w:firstLine="441"/>
        <w:spacing w:after="0" w:line="263" w:lineRule="auto"/>
        <w:rPr>
          <w:sz w:val="20"/>
          <w:szCs w:val="20"/>
          <w:color w:val="auto"/>
        </w:rPr>
      </w:pPr>
      <w:r>
        <w:rPr>
          <w:rFonts w:ascii="Courier New" w:cs="Courier New" w:eastAsia="Courier New" w:hAnsi="Courier New"/>
          <w:sz w:val="15"/>
          <w:szCs w:val="15"/>
          <w:color w:val="auto"/>
        </w:rPr>
        <w:t>THIS PROXY WILL BE VOTED AS SPECIFIED HEREIN AND, UNLESS OTHERWISE DIRECTED, WILL BE VOTED FOR THE ELECTION OF ALL NOMINEES AS DIRECTORS AND FOR THE SELECTION OF INDEPENDENT PUBLIC ACCOUNTANTS. The Board of Directors recommends voting FOR on each item.</w:t>
      </w:r>
    </w:p>
    <w:p>
      <w:pPr>
        <w:spacing w:after="0" w:line="77" w:lineRule="exact"/>
        <w:rPr>
          <w:sz w:val="20"/>
          <w:szCs w:val="20"/>
          <w:color w:val="auto"/>
        </w:rPr>
      </w:pPr>
    </w:p>
    <w:p>
      <w:pPr>
        <w:ind w:left="450" w:right="3259" w:hanging="450"/>
        <w:spacing w:after="0" w:line="275"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Peter W. Brown, M.D., Thomas E. Capps, Alan T. Dickson, Paul Fulton, William H. Goodwin, Jr., Glenn A. Hunsucker, James W. McGlothlin, Thomas W. Moss, Jr., Albert F. Sloan, John W. Snow and Robert H. Spilman.</w:t>
      </w:r>
    </w:p>
    <w:p>
      <w:pPr>
        <w:spacing w:after="0" w:line="69" w:lineRule="exact"/>
        <w:rPr>
          <w:sz w:val="20"/>
          <w:szCs w:val="20"/>
          <w:color w:val="auto"/>
        </w:rPr>
      </w:pPr>
    </w:p>
    <w:p>
      <w:pPr>
        <w:ind w:left="1230" w:right="3539" w:hanging="436"/>
        <w:spacing w:after="0" w:line="347" w:lineRule="auto"/>
        <w:tabs>
          <w:tab w:leader="none" w:pos="9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______________________________________________________________________</w:t>
      </w:r>
    </w:p>
    <w:p>
      <w:pPr>
        <w:spacing w:after="0" w:line="180" w:lineRule="exact"/>
        <w:rPr>
          <w:sz w:val="20"/>
          <w:szCs w:val="20"/>
          <w:color w:val="auto"/>
        </w:rPr>
      </w:pPr>
    </w:p>
    <w:p>
      <w:pPr>
        <w:ind w:left="970" w:hanging="176"/>
        <w:spacing w:after="0"/>
        <w:tabs>
          <w:tab w:leader="none" w:pos="97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WITHHOLD AUTHORITY to vote for the listed nominees</w:t>
      </w:r>
    </w:p>
    <w:p>
      <w:pPr>
        <w:spacing w:after="0" w:line="169" w:lineRule="exact"/>
        <w:rPr>
          <w:rFonts w:ascii="Courier New" w:cs="Courier New" w:eastAsia="Courier New" w:hAnsi="Courier New"/>
          <w:sz w:val="15"/>
          <w:szCs w:val="15"/>
          <w:color w:val="auto"/>
        </w:rPr>
      </w:pPr>
    </w:p>
    <w:p>
      <w:pPr>
        <w:ind w:left="450" w:right="3799" w:hanging="450"/>
        <w:spacing w:after="0" w:line="347" w:lineRule="auto"/>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KPMG PEAT MARWICK AS INDEPENDENT PUBLIC ACCOUNTANTS</w:t>
      </w:r>
    </w:p>
    <w:p>
      <w:pPr>
        <w:spacing w:after="0" w:line="187" w:lineRule="exact"/>
        <w:rPr>
          <w:sz w:val="20"/>
          <w:szCs w:val="20"/>
          <w:color w:val="auto"/>
        </w:rPr>
      </w:pPr>
    </w:p>
    <w:p>
      <w:pPr>
        <w:ind w:left="790"/>
        <w:spacing w:after="0"/>
        <w:tabs>
          <w:tab w:leader="none" w:pos="1209" w:val="left"/>
          <w:tab w:leader="none" w:pos="2269" w:val="left"/>
          <w:tab w:leader="none" w:pos="2709" w:val="left"/>
          <w:tab w:leader="none" w:pos="3949" w:val="left"/>
          <w:tab w:leader="none" w:pos="4389"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(continued from other side)</w:t>
      </w:r>
    </w:p>
    <w:p>
      <w:pPr>
        <w:spacing w:after="0" w:line="200" w:lineRule="exact"/>
        <w:rPr>
          <w:sz w:val="20"/>
          <w:szCs w:val="20"/>
          <w:color w:val="auto"/>
        </w:rPr>
      </w:pPr>
    </w:p>
    <w:p>
      <w:pPr>
        <w:spacing w:after="0" w:line="308" w:lineRule="exact"/>
        <w:rPr>
          <w:sz w:val="20"/>
          <w:szCs w:val="20"/>
          <w:color w:val="auto"/>
        </w:rPr>
      </w:pPr>
    </w:p>
    <w:p>
      <w:pPr>
        <w:ind w:left="450" w:right="3539" w:hanging="450"/>
        <w:spacing w:after="0" w:line="347" w:lineRule="auto"/>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spacing w:after="0" w:line="17" w:lineRule="exact"/>
        <w:rPr>
          <w:sz w:val="20"/>
          <w:szCs w:val="20"/>
          <w:color w:val="auto"/>
        </w:rPr>
      </w:pPr>
    </w:p>
    <w:p>
      <w:pPr>
        <w:jc w:val="both"/>
        <w:ind w:left="10" w:right="3699"/>
        <w:spacing w:after="0" w:line="293" w:lineRule="auto"/>
        <w:rPr>
          <w:sz w:val="20"/>
          <w:szCs w:val="20"/>
          <w:color w:val="auto"/>
        </w:rPr>
      </w:pPr>
      <w:r>
        <w:rPr>
          <w:rFonts w:ascii="Courier New" w:cs="Courier New" w:eastAsia="Courier New" w:hAnsi="Courier New"/>
          <w:sz w:val="15"/>
          <w:szCs w:val="15"/>
          <w:color w:val="auto"/>
        </w:rPr>
        <w:t>Receipt of Notice of Annual Meeting of Stockholders and accompanying Proxy Statement is hereby acknowledged. PLEASE DATE AND SIGN EXACTLY AS PRINTED BELOW AND RETURN PROMPTLY IN THE ENCLOSED POSTAGE PAID ENVELOPE.</w:t>
      </w:r>
    </w:p>
    <w:p>
      <w:pPr>
        <w:spacing w:after="0" w:line="56" w:lineRule="exact"/>
        <w:rPr>
          <w:sz w:val="20"/>
          <w:szCs w:val="20"/>
          <w:color w:val="auto"/>
        </w:rPr>
      </w:pPr>
    </w:p>
    <w:p>
      <w:pPr>
        <w:ind w:left="4410"/>
        <w:spacing w:after="0"/>
        <w:rPr>
          <w:sz w:val="20"/>
          <w:szCs w:val="20"/>
          <w:color w:val="auto"/>
        </w:rPr>
      </w:pPr>
      <w:r>
        <w:rPr>
          <w:rFonts w:ascii="Courier New" w:cs="Courier New" w:eastAsia="Courier New" w:hAnsi="Courier New"/>
          <w:sz w:val="14"/>
          <w:szCs w:val="14"/>
          <w:color w:val="auto"/>
        </w:rPr>
        <w:t>Dated: ________________, 1996.</w:t>
      </w:r>
    </w:p>
    <w:p>
      <w:pPr>
        <w:spacing w:after="0" w:line="180" w:lineRule="exact"/>
        <w:rPr>
          <w:sz w:val="20"/>
          <w:szCs w:val="20"/>
          <w:color w:val="auto"/>
        </w:rPr>
      </w:pPr>
    </w:p>
    <w:p>
      <w:pPr>
        <w:ind w:left="4410"/>
        <w:spacing w:after="0"/>
        <w:rPr>
          <w:sz w:val="20"/>
          <w:szCs w:val="20"/>
          <w:color w:val="auto"/>
        </w:rPr>
      </w:pPr>
      <w:r>
        <w:rPr>
          <w:rFonts w:ascii="Courier New" w:cs="Courier New" w:eastAsia="Courier New" w:hAnsi="Courier New"/>
          <w:sz w:val="14"/>
          <w:szCs w:val="14"/>
          <w:color w:val="auto"/>
        </w:rPr>
        <w:t>______________________________</w:t>
      </w:r>
    </w:p>
    <w:p>
      <w:pPr>
        <w:spacing w:after="0" w:line="180" w:lineRule="exact"/>
        <w:rPr>
          <w:sz w:val="20"/>
          <w:szCs w:val="20"/>
          <w:color w:val="auto"/>
        </w:rPr>
      </w:pPr>
    </w:p>
    <w:p>
      <w:pPr>
        <w:ind w:left="4410"/>
        <w:spacing w:after="0"/>
        <w:rPr>
          <w:sz w:val="20"/>
          <w:szCs w:val="20"/>
          <w:color w:val="auto"/>
        </w:rPr>
      </w:pPr>
      <w:r>
        <w:rPr>
          <w:rFonts w:ascii="Courier New" w:cs="Courier New" w:eastAsia="Courier New" w:hAnsi="Courier New"/>
          <w:sz w:val="14"/>
          <w:szCs w:val="14"/>
          <w:color w:val="auto"/>
        </w:rPr>
        <w:t>______________________________</w:t>
      </w:r>
    </w:p>
    <w:p>
      <w:pPr>
        <w:spacing w:after="0" w:line="36"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(When signing as attorney,</w:t>
      </w:r>
    </w:p>
    <w:p>
      <w:pPr>
        <w:ind w:left="4410"/>
        <w:spacing w:after="0"/>
        <w:rPr>
          <w:sz w:val="20"/>
          <w:szCs w:val="20"/>
          <w:color w:val="auto"/>
        </w:rPr>
      </w:pPr>
      <w:r>
        <w:rPr>
          <w:rFonts w:ascii="Courier New" w:cs="Courier New" w:eastAsia="Courier New" w:hAnsi="Courier New"/>
          <w:sz w:val="15"/>
          <w:szCs w:val="15"/>
          <w:color w:val="auto"/>
        </w:rPr>
        <w:t>executor, administrator,</w:t>
      </w:r>
    </w:p>
    <w:p>
      <w:pPr>
        <w:ind w:left="4410"/>
        <w:spacing w:after="0"/>
        <w:rPr>
          <w:sz w:val="20"/>
          <w:szCs w:val="20"/>
          <w:color w:val="auto"/>
        </w:rPr>
      </w:pPr>
      <w:r>
        <w:rPr>
          <w:rFonts w:ascii="Courier New" w:cs="Courier New" w:eastAsia="Courier New" w:hAnsi="Courier New"/>
          <w:sz w:val="15"/>
          <w:szCs w:val="15"/>
          <w:color w:val="auto"/>
        </w:rPr>
        <w:t>trustee, guardian, etc.,</w:t>
      </w:r>
    </w:p>
    <w:p>
      <w:pPr>
        <w:ind w:left="4410"/>
        <w:spacing w:after="0"/>
        <w:tabs>
          <w:tab w:leader="none" w:pos="6229" w:val="left"/>
        </w:tabs>
        <w:rPr>
          <w:sz w:val="20"/>
          <w:szCs w:val="20"/>
          <w:color w:val="auto"/>
        </w:rPr>
      </w:pPr>
      <w:r>
        <w:rPr>
          <w:rFonts w:ascii="Courier New" w:cs="Courier New" w:eastAsia="Courier New" w:hAnsi="Courier New"/>
          <w:sz w:val="15"/>
          <w:szCs w:val="15"/>
          <w:color w:val="auto"/>
        </w:rPr>
        <w:t>give title as such.</w:t>
      </w:r>
      <w:r>
        <w:rPr>
          <w:sz w:val="20"/>
          <w:szCs w:val="20"/>
          <w:color w:val="auto"/>
        </w:rPr>
        <w:tab/>
      </w:r>
      <w:r>
        <w:rPr>
          <w:rFonts w:ascii="Courier New" w:cs="Courier New" w:eastAsia="Courier New" w:hAnsi="Courier New"/>
          <w:sz w:val="14"/>
          <w:szCs w:val="14"/>
          <w:color w:val="auto"/>
        </w:rPr>
        <w:t>If joint</w:t>
      </w:r>
    </w:p>
    <w:p>
      <w:pPr>
        <w:ind w:left="4410"/>
        <w:spacing w:after="0"/>
        <w:rPr>
          <w:sz w:val="20"/>
          <w:szCs w:val="20"/>
          <w:color w:val="auto"/>
        </w:rPr>
      </w:pPr>
      <w:r>
        <w:rPr>
          <w:rFonts w:ascii="Courier New" w:cs="Courier New" w:eastAsia="Courier New" w:hAnsi="Courier New"/>
          <w:sz w:val="15"/>
          <w:szCs w:val="15"/>
          <w:color w:val="auto"/>
        </w:rPr>
        <w:t>account, each joint owner</w:t>
      </w:r>
    </w:p>
    <w:p>
      <w:pPr>
        <w:ind w:left="4410"/>
        <w:spacing w:after="0"/>
        <w:rPr>
          <w:sz w:val="20"/>
          <w:szCs w:val="20"/>
          <w:color w:val="auto"/>
        </w:rPr>
      </w:pPr>
      <w:r>
        <w:rPr>
          <w:rFonts w:ascii="Courier New" w:cs="Courier New" w:eastAsia="Courier New" w:hAnsi="Courier New"/>
          <w:sz w:val="15"/>
          <w:szCs w:val="15"/>
          <w:color w:val="auto"/>
        </w:rPr>
        <w:t>should sign.)</w:t>
      </w:r>
    </w:p>
    <w:sectPr>
      <w:pgSz w:w="11900" w:h="16838" w:orient="portrait"/>
      <w:cols w:equalWidth="0" w:num="1">
        <w:col w:w="10229"/>
      </w:cols>
      <w:pgMar w:left="230" w:top="2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0"/>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
      <w:numFmt w:val="bullet"/>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2019-12-20T05:47:10Z</dcterms:created>
  <dcterms:modified xsi:type="dcterms:W3CDTF">2019-12-20T05:47:10Z</dcterms:modified>
</cp:coreProperties>
</file>