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/X/ QUARTERLY REPORT PURSUANT TO SECTION 13 OR 15 (d) OF</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 PERIOD ENDED MAY 31, 1995</w:t>
      </w:r>
    </w:p>
    <w:p>
      <w:pPr>
        <w:spacing w:after="0" w:line="180" w:lineRule="exact"/>
        <w:rPr>
          <w:sz w:val="24"/>
          <w:szCs w:val="24"/>
          <w:color w:val="auto"/>
        </w:rPr>
      </w:pPr>
    </w:p>
    <w:p>
      <w:pPr>
        <w:ind w:left="3440"/>
        <w:spacing w:after="0"/>
        <w:rPr>
          <w:sz w:val="20"/>
          <w:szCs w:val="20"/>
          <w:color w:val="auto"/>
        </w:rPr>
      </w:pPr>
      <w:r>
        <w:rPr>
          <w:rFonts w:ascii="Courier New" w:cs="Courier New" w:eastAsia="Courier New" w:hAnsi="Courier New"/>
          <w:sz w:val="15"/>
          <w:szCs w:val="15"/>
          <w:color w:val="auto"/>
        </w:rPr>
        <w:t>OR</w:t>
      </w:r>
    </w:p>
    <w:p>
      <w:pPr>
        <w:spacing w:after="0" w:line="354" w:lineRule="exact"/>
        <w:rPr>
          <w:sz w:val="24"/>
          <w:szCs w:val="24"/>
          <w:color w:val="auto"/>
        </w:rPr>
      </w:pPr>
    </w:p>
    <w:p>
      <w:pPr>
        <w:ind w:left="1900" w:right="4039" w:hanging="1089"/>
        <w:spacing w:after="0" w:line="247" w:lineRule="auto"/>
        <w:tabs>
          <w:tab w:leader="none" w:pos="10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____________________ to ________________</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5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180" w:lineRule="exact"/>
        <w:rPr>
          <w:sz w:val="24"/>
          <w:szCs w:val="24"/>
          <w:color w:val="auto"/>
        </w:rPr>
      </w:pPr>
    </w:p>
    <w:p>
      <w:pPr>
        <w:ind w:left="2360"/>
        <w:spacing w:after="0"/>
        <w:rPr>
          <w:sz w:val="20"/>
          <w:szCs w:val="20"/>
          <w:color w:val="auto"/>
        </w:rPr>
      </w:pPr>
      <w:r>
        <w:rPr>
          <w:rFonts w:ascii="Courier New" w:cs="Courier New" w:eastAsia="Courier New" w:hAnsi="Courier New"/>
          <w:sz w:val="15"/>
          <w:szCs w:val="15"/>
          <w:color w:val="auto"/>
        </w:rPr>
        <w:t>Virginia</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54-0135270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720" w:space="720"/>
            <w:col w:w="4779"/>
          </w:cols>
          <w:pgMar w:left="240" w:top="235" w:right="1440" w:bottom="1440" w:gutter="0" w:footer="0" w:header="0"/>
          <w:type w:val="continuous"/>
        </w:sectPr>
      </w:pPr>
    </w:p>
    <w:p>
      <w:pPr>
        <w:spacing w:after="0" w:line="154" w:lineRule="exact"/>
        <w:rPr>
          <w:sz w:val="24"/>
          <w:szCs w:val="24"/>
          <w:color w:val="auto"/>
        </w:rPr>
      </w:pPr>
    </w:p>
    <w:p>
      <w:pPr>
        <w:ind w:left="2360"/>
        <w:spacing w:after="0"/>
        <w:tabs>
          <w:tab w:leader="none" w:pos="416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pacing w:after="0" w:line="5"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7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1">
            <w:col w:w="10219"/>
          </w:cols>
          <w:pgMar w:left="240" w:top="235" w:right="1440" w:bottom="1440" w:gutter="0" w:footer="0" w:header="0"/>
          <w:type w:val="continuous"/>
        </w:sectPr>
      </w:pPr>
    </w:p>
    <w:p>
      <w:pPr>
        <w:spacing w:after="0" w:line="35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(703) 629-6000</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620" w:type="dxa"/>
            <w:vAlign w:val="bottom"/>
            <w:gridSpan w:val="3"/>
          </w:tcPr>
          <w:p>
            <w:pPr>
              <w:spacing w:after="0"/>
              <w:rPr>
                <w:sz w:val="20"/>
                <w:szCs w:val="20"/>
                <w:color w:val="auto"/>
              </w:rPr>
            </w:pPr>
            <w:r>
              <w:rPr>
                <w:rFonts w:ascii="Courier New" w:cs="Courier New" w:eastAsia="Courier New" w:hAnsi="Courier New"/>
                <w:sz w:val="15"/>
                <w:szCs w:val="15"/>
                <w:color w:val="auto"/>
              </w:rPr>
              <w:t>reports required to be filed by Section 13 or 15(d)</w:t>
            </w:r>
          </w:p>
        </w:tc>
        <w:tc>
          <w:tcPr>
            <w:tcW w:w="10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of the Securities Exchange</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Act of</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1934 during the preceding 12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 and (2)</w:t>
            </w:r>
          </w:p>
        </w:tc>
        <w:tc>
          <w:tcPr>
            <w:tcW w:w="10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has been subject to such</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filing</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requirements for the past 90</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days.  Yes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X</w:t>
            </w:r>
          </w:p>
        </w:tc>
        <w:tc>
          <w:tcPr>
            <w:tcW w:w="2360" w:type="dxa"/>
            <w:vAlign w:val="bottom"/>
          </w:tcPr>
          <w:p>
            <w:pPr>
              <w:ind w:left="1180"/>
              <w:spacing w:after="0"/>
              <w:rPr>
                <w:sz w:val="20"/>
                <w:szCs w:val="20"/>
                <w:color w:val="auto"/>
              </w:rPr>
            </w:pPr>
            <w:r>
              <w:rPr>
                <w:rFonts w:ascii="Courier New" w:cs="Courier New" w:eastAsia="Courier New" w:hAnsi="Courier New"/>
                <w:sz w:val="15"/>
                <w:szCs w:val="15"/>
                <w:color w:val="auto"/>
              </w:rPr>
              <w:t>No</w:t>
            </w:r>
          </w:p>
        </w:tc>
      </w:tr>
      <w:tr>
        <w:trPr>
          <w:trHeight w:val="175"/>
        </w:trPr>
        <w:tc>
          <w:tcPr>
            <w:tcW w:w="5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ind w:left="136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80" w:type="dxa"/>
            <w:vAlign w:val="bottom"/>
          </w:tcPr>
          <w:p>
            <w:pPr>
              <w:spacing w:after="0"/>
              <w:rPr>
                <w:sz w:val="20"/>
                <w:szCs w:val="20"/>
                <w:color w:val="auto"/>
              </w:rPr>
            </w:pPr>
            <w:r>
              <w:rPr>
                <w:rFonts w:ascii="Courier New" w:cs="Courier New" w:eastAsia="Courier New" w:hAnsi="Courier New"/>
                <w:sz w:val="15"/>
                <w:szCs w:val="15"/>
                <w:color w:val="auto"/>
              </w:rPr>
              <w:t>At May</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1995, 14,087,654  shares of common stock</w:t>
            </w:r>
          </w:p>
        </w:tc>
        <w:tc>
          <w:tcPr>
            <w:tcW w:w="10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of the Registrant</w:t>
            </w:r>
          </w:p>
        </w:tc>
      </w:tr>
      <w:tr>
        <w:trPr>
          <w:trHeight w:val="175"/>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were outstanding.</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080"/>
        <w:spacing w:after="0"/>
        <w:tabs>
          <w:tab w:leader="none" w:pos="4060" w:val="left"/>
        </w:tabs>
        <w:rPr>
          <w:sz w:val="20"/>
          <w:szCs w:val="20"/>
          <w:color w:val="auto"/>
        </w:rPr>
      </w:pPr>
      <w:r>
        <w:rPr>
          <w:rFonts w:ascii="Courier New" w:cs="Courier New" w:eastAsia="Courier New" w:hAnsi="Courier New"/>
          <w:sz w:val="15"/>
          <w:szCs w:val="15"/>
          <w:color w:val="auto"/>
        </w:rPr>
        <w:t>Page 1 of</w:t>
        <w:tab/>
        <w:t>9</w:t>
      </w:r>
    </w:p>
    <w:p>
      <w:pPr>
        <w:sectPr>
          <w:pgSz w:w="11900" w:h="16838" w:orient="portrait"/>
          <w:cols w:equalWidth="0" w:num="1">
            <w:col w:w="10219"/>
          </w:cols>
          <w:pgMar w:left="240"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PART I - FINANCIAL INFORMATION</w:t>
      </w:r>
    </w:p>
    <w:p>
      <w:pPr>
        <w:spacing w:after="0" w:line="5"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gridSpan w:val="3"/>
          </w:tcPr>
          <w:p>
            <w:pPr>
              <w:jc w:val="right"/>
              <w:ind w:right="784"/>
              <w:spacing w:after="0"/>
              <w:rPr>
                <w:sz w:val="20"/>
                <w:szCs w:val="20"/>
                <w:color w:val="auto"/>
              </w:rPr>
            </w:pPr>
            <w:r>
              <w:rPr>
                <w:rFonts w:ascii="Courier New" w:cs="Courier New" w:eastAsia="Courier New" w:hAnsi="Courier New"/>
                <w:sz w:val="15"/>
                <w:szCs w:val="15"/>
                <w:color w:val="auto"/>
              </w:rPr>
              <w:t>CONDENSED CONSOLIDATED STATEMENT OF INCOME AND RETAINED EARNINGS - UNAUDITED</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99"/>
        </w:trPr>
        <w:tc>
          <w:tcPr>
            <w:tcW w:w="5040" w:type="dxa"/>
            <w:vAlign w:val="bottom"/>
          </w:tcPr>
          <w:p>
            <w:pPr>
              <w:spacing w:after="0"/>
              <w:rPr>
                <w:sz w:val="24"/>
                <w:szCs w:val="24"/>
                <w:color w:val="auto"/>
              </w:rPr>
            </w:pPr>
          </w:p>
        </w:tc>
        <w:tc>
          <w:tcPr>
            <w:tcW w:w="29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SIX MONTHS ENDED MAY 31,</w:t>
            </w:r>
          </w:p>
        </w:tc>
        <w:tc>
          <w:tcPr>
            <w:tcW w:w="2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 MAY 31,</w:t>
            </w:r>
          </w:p>
        </w:tc>
      </w:tr>
      <w:tr>
        <w:trPr>
          <w:trHeight w:val="175"/>
        </w:trPr>
        <w:tc>
          <w:tcPr>
            <w:tcW w:w="5040" w:type="dxa"/>
            <w:vAlign w:val="bottom"/>
          </w:tcPr>
          <w:p>
            <w:pPr>
              <w:spacing w:after="0"/>
              <w:rPr>
                <w:sz w:val="15"/>
                <w:szCs w:val="15"/>
                <w:color w:val="auto"/>
              </w:rPr>
            </w:pPr>
          </w:p>
        </w:tc>
        <w:tc>
          <w:tcPr>
            <w:tcW w:w="29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1994</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$242,568,556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$256,303,646</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$119,018,005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$134,639,355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Cost of sales</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202,624,957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210,669,159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99,696,395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108,841,705</w:t>
            </w: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32,506,437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32,627,185</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16,490,093</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17,156,766</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235,131,394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243,296,344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116,186,488</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125,998,471</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from operations</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7,437,162</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13,007,302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2,831,517</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8,640,884</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6,498,934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4,643,509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4,185,733</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2,316,514</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before income taxes and cumulative</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13,936,096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17,650,811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7,017,250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10,957,398</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(4,063,000)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(5,241,000)</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(2,040,500)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(3,278,000)</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before cumulative effect of</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 change in accounting principle</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9,873,096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12,409,811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4,976,750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7,679,398</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(510,200)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9,873,096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11,899,611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4,976,750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7,679,398</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221,949,817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216,211,676</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224,028,800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217,542,249</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231,822,913</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228,111,287</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229,005,550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225,221,647</w:t>
            </w: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Cash dividends</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(5,634,893)</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(5,756,080)</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(2,817,530)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(2,866,440)</w:t>
            </w: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Retirement of purchased common stock</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(2,340,298)</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(2,340,298)</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$226,188,020</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$220,014,909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$226,188,020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$220,014,909</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699"/>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EARNINGS PER SHARE:</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Income before cumulative effect</w:t>
            </w:r>
          </w:p>
        </w:tc>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of a change in accounting principle</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.70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.86</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.53</w:t>
            </w:r>
          </w:p>
        </w:tc>
      </w:tr>
      <w:tr>
        <w:trPr>
          <w:trHeight w:val="350"/>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 change</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 accounting principle</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(.04)</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.70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.82</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.35</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.53</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DIVIDENDS PER SHARE</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.40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.40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.20</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.20</w:t>
            </w:r>
          </w:p>
        </w:tc>
      </w:tr>
      <w:tr>
        <w:trPr>
          <w:trHeight w:val="175"/>
        </w:trPr>
        <w:tc>
          <w:tcPr>
            <w:tcW w:w="5040" w:type="dxa"/>
            <w:vAlign w:val="bottom"/>
          </w:tcPr>
          <w:p>
            <w:pPr>
              <w:spacing w:after="0"/>
              <w:rPr>
                <w:sz w:val="15"/>
                <w:szCs w:val="15"/>
                <w:color w:val="auto"/>
              </w:rPr>
            </w:pP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400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175" w:lineRule="exact"/>
        <w:rPr>
          <w:sz w:val="20"/>
          <w:szCs w:val="20"/>
          <w:color w:val="auto"/>
        </w:rPr>
      </w:pPr>
    </w:p>
    <w:p>
      <w:pPr>
        <w:ind w:left="3080"/>
        <w:spacing w:after="0"/>
        <w:tabs>
          <w:tab w:leader="none" w:pos="4060" w:val="left"/>
        </w:tabs>
        <w:rPr>
          <w:sz w:val="20"/>
          <w:szCs w:val="20"/>
          <w:color w:val="auto"/>
        </w:rPr>
      </w:pPr>
      <w:r>
        <w:rPr>
          <w:rFonts w:ascii="Courier New" w:cs="Courier New" w:eastAsia="Courier New" w:hAnsi="Courier New"/>
          <w:sz w:val="15"/>
          <w:szCs w:val="15"/>
          <w:color w:val="auto"/>
        </w:rPr>
        <w:t>Page 2 of</w:t>
        <w:tab/>
        <w:t>9</w:t>
      </w:r>
    </w:p>
    <w:p>
      <w:pPr>
        <w:sectPr>
          <w:pgSz w:w="11900" w:h="16838" w:orient="portrait"/>
          <w:cols w:equalWidth="0" w:num="1">
            <w:col w:w="10620"/>
          </w:cols>
          <w:pgMar w:left="240" w:top="293" w:right="10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gridSpan w:val="2"/>
          </w:tcPr>
          <w:p>
            <w:pPr>
              <w:jc w:val="right"/>
              <w:ind w:right="1744"/>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1920" w:type="dxa"/>
            <w:vAlign w:val="bottom"/>
          </w:tcPr>
          <w:p>
            <w:pPr>
              <w:spacing w:after="0"/>
              <w:rPr>
                <w:sz w:val="14"/>
                <w:szCs w:val="14"/>
                <w:color w:val="auto"/>
              </w:rPr>
            </w:pPr>
          </w:p>
        </w:tc>
      </w:tr>
      <w:tr>
        <w:trPr>
          <w:trHeight w:val="699"/>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May 31, 1995</w:t>
            </w: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November 30, 1994</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$ 50,355,811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$ 42,314,957</w:t>
            </w:r>
          </w:p>
        </w:tc>
      </w:tr>
      <w:tr>
        <w:trPr>
          <w:trHeight w:val="175"/>
        </w:trPr>
        <w:tc>
          <w:tcPr>
            <w:tcW w:w="7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1920" w:type="dxa"/>
            <w:vAlign w:val="bottom"/>
          </w:tcPr>
          <w:p>
            <w:pPr>
              <w:spacing w:after="0"/>
              <w:rPr>
                <w:sz w:val="15"/>
                <w:szCs w:val="15"/>
                <w:color w:val="auto"/>
              </w:rPr>
            </w:pPr>
          </w:p>
        </w:tc>
      </w:tr>
      <w:tr>
        <w:trPr>
          <w:trHeight w:val="175"/>
        </w:trPr>
        <w:tc>
          <w:tcPr>
            <w:tcW w:w="4000" w:type="dxa"/>
            <w:vAlign w:val="bottom"/>
          </w:tcPr>
          <w:p>
            <w:pPr>
              <w:ind w:left="620"/>
              <w:spacing w:after="0"/>
              <w:rPr>
                <w:sz w:val="20"/>
                <w:szCs w:val="20"/>
                <w:color w:val="auto"/>
              </w:rPr>
            </w:pPr>
            <w:r>
              <w:rPr>
                <w:rFonts w:ascii="Courier New" w:cs="Courier New" w:eastAsia="Courier New" w:hAnsi="Courier New"/>
                <w:sz w:val="15"/>
                <w:szCs w:val="15"/>
                <w:color w:val="auto"/>
              </w:rPr>
              <w:t>for doubtful accounts and discounts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63,880,769</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71,936,750</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Finished goods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47,102,902</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45,243,596</w:t>
            </w:r>
          </w:p>
        </w:tc>
      </w:tr>
      <w:tr>
        <w:trPr>
          <w:trHeight w:val="175"/>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Work in process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15,300,067</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15,588,696</w:t>
            </w:r>
          </w:p>
        </w:tc>
      </w:tr>
      <w:tr>
        <w:trPr>
          <w:trHeight w:val="175"/>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Raw materials and supplies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44,327,012</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44,588,519</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106,729,981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105,420,811</w:t>
            </w:r>
          </w:p>
        </w:tc>
      </w:tr>
      <w:tr>
        <w:trPr>
          <w:trHeight w:val="175"/>
        </w:trPr>
        <w:tc>
          <w:tcPr>
            <w:tcW w:w="4000" w:type="dxa"/>
            <w:vAlign w:val="bottom"/>
          </w:tcPr>
          <w:p>
            <w:pPr>
              <w:ind w:left="720"/>
              <w:spacing w:after="0"/>
              <w:rPr>
                <w:sz w:val="20"/>
                <w:szCs w:val="20"/>
                <w:color w:val="auto"/>
              </w:rPr>
            </w:pPr>
            <w:r>
              <w:rPr>
                <w:rFonts w:ascii="Courier New" w:cs="Courier New" w:eastAsia="Courier New" w:hAnsi="Courier New"/>
                <w:sz w:val="15"/>
                <w:szCs w:val="15"/>
                <w:color w:val="auto"/>
              </w:rPr>
              <w:t>Less LIFO adjustment</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26,246,000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25,346,000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80,483,981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80,074,811</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291,328</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2,206,736</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Prepaid income taxes</w:t>
            </w:r>
          </w:p>
        </w:tc>
        <w:tc>
          <w:tcPr>
            <w:tcW w:w="36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274,675</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1,883,000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1,823,000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196,894,889</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198,630,929</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Cost</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212,440,583</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207,227,241</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Less allowances for depreciation</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157,352,365</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152,673,335</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55,088,218</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54,553,906</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Investment in securities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47,222,805</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43,638,983</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Investment in affiliated companies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37,298,655</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35,080,525</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7,329,214</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8,593,887</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91,850,674</w:t>
            </w:r>
          </w:p>
        </w:tc>
        <w:tc>
          <w:tcPr>
            <w:tcW w:w="1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87,313,395</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$343,833,781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$340,498,230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$ 23,379,736</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$ 29,786,395</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Accrued compensation</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6,102,782</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5,215,159</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Income taxes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1,041,794</w:t>
            </w: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30,524,312</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35,001,554</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Deferred liabilities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9,844,181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9,529,784</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2,008,000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774,000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11,852,181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10,303,784</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70,438,270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70,434,075</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Additional capital</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18,539</w:t>
            </w: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226,188,020</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221,949,817</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Unrealized holding gains, net of tax</w:t>
            </w: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4,812,459</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2,809,000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301,457,288</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295,192,892</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$343,833,781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$340,498,230</w:t>
            </w:r>
          </w:p>
        </w:tc>
      </w:tr>
      <w:tr>
        <w:trPr>
          <w:trHeight w:val="175"/>
        </w:trPr>
        <w:tc>
          <w:tcPr>
            <w:tcW w:w="4000" w:type="dxa"/>
            <w:vAlign w:val="bottom"/>
          </w:tcPr>
          <w:p>
            <w:pPr>
              <w:spacing w:after="0"/>
              <w:rPr>
                <w:sz w:val="15"/>
                <w:szCs w:val="15"/>
                <w:color w:val="auto"/>
              </w:rPr>
            </w:pPr>
          </w:p>
        </w:tc>
        <w:tc>
          <w:tcPr>
            <w:tcW w:w="3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699"/>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0"/>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The accompanying notes are an integral part of the condensed consolidated</w:t>
            </w:r>
          </w:p>
        </w:tc>
        <w:tc>
          <w:tcPr>
            <w:tcW w:w="1920" w:type="dxa"/>
            <w:vAlign w:val="bottom"/>
          </w:tcPr>
          <w:p>
            <w:pPr>
              <w:spacing w:after="0"/>
              <w:rPr>
                <w:sz w:val="24"/>
                <w:szCs w:val="24"/>
                <w:color w:val="auto"/>
              </w:rPr>
            </w:pP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50"/>
        </w:trPr>
        <w:tc>
          <w:tcPr>
            <w:tcW w:w="4000" w:type="dxa"/>
            <w:vAlign w:val="bottom"/>
          </w:tcPr>
          <w:p>
            <w:pPr>
              <w:ind w:left="3080"/>
              <w:spacing w:after="0"/>
              <w:rPr>
                <w:sz w:val="20"/>
                <w:szCs w:val="20"/>
                <w:color w:val="auto"/>
              </w:rPr>
            </w:pPr>
            <w:r>
              <w:rPr>
                <w:rFonts w:ascii="Courier New" w:cs="Courier New" w:eastAsia="Courier New" w:hAnsi="Courier New"/>
                <w:sz w:val="15"/>
                <w:szCs w:val="15"/>
                <w:color w:val="auto"/>
              </w:rPr>
              <w:t>Page 3 of</w:t>
            </w:r>
          </w:p>
        </w:tc>
        <w:tc>
          <w:tcPr>
            <w:tcW w:w="3620" w:type="dxa"/>
            <w:vAlign w:val="bottom"/>
          </w:tcPr>
          <w:p>
            <w:pPr>
              <w:jc w:val="right"/>
              <w:ind w:right="3364"/>
              <w:spacing w:after="0"/>
              <w:rPr>
                <w:sz w:val="20"/>
                <w:szCs w:val="20"/>
                <w:color w:val="auto"/>
              </w:rPr>
            </w:pPr>
            <w:r>
              <w:rPr>
                <w:rFonts w:ascii="Courier New" w:cs="Courier New" w:eastAsia="Courier New" w:hAnsi="Courier New"/>
                <w:sz w:val="15"/>
                <w:szCs w:val="15"/>
                <w:color w:val="auto"/>
              </w:rPr>
              <w:t>9</w:t>
            </w:r>
          </w:p>
        </w:tc>
        <w:tc>
          <w:tcPr>
            <w:tcW w:w="19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 w:name="page4"/>
    <w:bookmarkEnd w:id="3"/>
    <w:p>
      <w:pPr>
        <w:ind w:left="26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874"/>
        </w:trPr>
        <w:tc>
          <w:tcPr>
            <w:tcW w:w="6260" w:type="dxa"/>
            <w:vAlign w:val="bottom"/>
          </w:tcPr>
          <w:p>
            <w:pPr>
              <w:spacing w:after="0"/>
              <w:rPr>
                <w:sz w:val="24"/>
                <w:szCs w:val="24"/>
                <w:color w:val="auto"/>
              </w:rPr>
            </w:pPr>
          </w:p>
        </w:tc>
        <w:tc>
          <w:tcPr>
            <w:tcW w:w="3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 May 31,</w:t>
            </w:r>
          </w:p>
        </w:tc>
      </w:tr>
      <w:tr>
        <w:trPr>
          <w:trHeight w:val="175"/>
        </w:trPr>
        <w:tc>
          <w:tcPr>
            <w:tcW w:w="6260" w:type="dxa"/>
            <w:vAlign w:val="bottom"/>
          </w:tcPr>
          <w:p>
            <w:pPr>
              <w:spacing w:after="0"/>
              <w:rPr>
                <w:sz w:val="15"/>
                <w:szCs w:val="15"/>
                <w:color w:val="auto"/>
              </w:rPr>
            </w:pPr>
          </w:p>
        </w:tc>
        <w:tc>
          <w:tcPr>
            <w:tcW w:w="3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$16,920,923</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$ 6,624,090</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Changes (net) in  investment securities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1,010,153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(1,002,511)</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(5,323,407)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(4,587,558)</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164,622</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Dividends from affiliated company</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544,753</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544,753</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450,592</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209,538</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(3,267,909)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(4,671,156)</w:t>
            </w: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48,733</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-0-</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Purchase of common stock</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(26,000)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(3,423,177)</w:t>
            </w:r>
          </w:p>
        </w:tc>
      </w:tr>
      <w:tr>
        <w:trPr>
          <w:trHeight w:val="175"/>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Cash dividends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(5,634,893)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(5,756,080)</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(5,612,160)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(9,179,257)</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8,040,854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(7,226,323)</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42,314,957</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52,957,556</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$50,355,811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$45,731,233</w:t>
            </w:r>
          </w:p>
        </w:tc>
      </w:tr>
      <w:tr>
        <w:trPr>
          <w:trHeight w:val="175"/>
        </w:trPr>
        <w:tc>
          <w:tcPr>
            <w:tcW w:w="626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80" w:lineRule="exact"/>
        <w:rPr>
          <w:sz w:val="20"/>
          <w:szCs w:val="20"/>
          <w:color w:val="auto"/>
        </w:rPr>
      </w:pPr>
    </w:p>
    <w:p>
      <w:pPr>
        <w:ind w:left="827" w:right="3499" w:hanging="827"/>
        <w:spacing w:after="0" w:line="247"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amounts are based on 14,087,540 and 14,432,751 weighted average number of shares outstanding at May 31, 1995 and 1994, respectively.</w:t>
      </w:r>
    </w:p>
    <w:p>
      <w:pPr>
        <w:spacing w:after="0" w:line="174"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1993, the Company adopted the provisions of FASB Statement No. 109 and reported the cumulative effect of the change in the method of accounting for income taxes in the financial statements for 1994 in the amount of $510,200. The principal cause of this adjustment was due to the basis difference of an acquisition made in prior years which was accounted for as a purchase transaction.</w:t>
      </w:r>
    </w:p>
    <w:p>
      <w:pPr>
        <w:spacing w:after="0" w:line="178"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1993, the Company adopted the provisions of FASB Statement No. 115 "Accounting for Certain Investments in Debt and Equity Securities" and initially reported the effects thereof in the 1994 financial statements. Under Statement No. 115 the Company classifies its investment in securities as available-for-sale, which is reported at fair value. Unrealized holding gains and losses (net of tax effect) are reported as a separate component of stockholders' equity. The fair value and cost of the investment in securities was $47.2 million and $39.5 million at May 31, 1995,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87"/>
        <w:spacing w:after="0"/>
        <w:tabs>
          <w:tab w:leader="none" w:pos="4066" w:val="left"/>
        </w:tabs>
        <w:rPr>
          <w:sz w:val="20"/>
          <w:szCs w:val="20"/>
          <w:color w:val="auto"/>
        </w:rPr>
      </w:pPr>
      <w:r>
        <w:rPr>
          <w:rFonts w:ascii="Courier New" w:cs="Courier New" w:eastAsia="Courier New" w:hAnsi="Courier New"/>
          <w:sz w:val="15"/>
          <w:szCs w:val="15"/>
          <w:color w:val="auto"/>
        </w:rPr>
        <w:t>Page 4 of</w:t>
        <w:tab/>
        <w:t>9</w:t>
      </w:r>
    </w:p>
    <w:p>
      <w:pPr>
        <w:sectPr>
          <w:pgSz w:w="11900" w:h="16838" w:orient="portrait"/>
          <w:cols w:equalWidth="0" w:num="1">
            <w:col w:w="10226"/>
          </w:cols>
          <w:pgMar w:left="233" w:top="29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80"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78"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Major components of net income expressed as a percentage of net sales are reflected below:</w:t>
      </w:r>
    </w:p>
    <w:p>
      <w:pPr>
        <w:spacing w:after="0" w:line="200" w:lineRule="exact"/>
        <w:rPr>
          <w:sz w:val="20"/>
          <w:szCs w:val="20"/>
          <w:color w:val="auto"/>
        </w:rPr>
      </w:pPr>
    </w:p>
    <w:p>
      <w:pPr>
        <w:spacing w:after="0" w:line="324"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Six Months Ended May 31,</w:t>
            </w:r>
          </w:p>
        </w:tc>
        <w:tc>
          <w:tcPr>
            <w:tcW w:w="3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 May 31,</w:t>
            </w:r>
          </w:p>
        </w:tc>
      </w:tr>
      <w:tr>
        <w:trPr>
          <w:trHeight w:val="175"/>
        </w:trPr>
        <w:tc>
          <w:tcPr>
            <w:tcW w:w="2640" w:type="dxa"/>
            <w:vAlign w:val="bottom"/>
          </w:tcPr>
          <w:p>
            <w:pPr>
              <w:spacing w:after="0"/>
              <w:rPr>
                <w:sz w:val="15"/>
                <w:szCs w:val="15"/>
                <w:color w:val="auto"/>
              </w:rPr>
            </w:pPr>
          </w:p>
        </w:tc>
        <w:tc>
          <w:tcPr>
            <w:tcW w:w="28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3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640" w:type="dxa"/>
            <w:vAlign w:val="bottom"/>
          </w:tcPr>
          <w:p>
            <w:pPr>
              <w:spacing w:after="0"/>
              <w:rPr>
                <w:sz w:val="15"/>
                <w:szCs w:val="15"/>
                <w:color w:val="auto"/>
              </w:rPr>
            </w:pP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1995</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2640" w:type="dxa"/>
            <w:vAlign w:val="bottom"/>
          </w:tcPr>
          <w:p>
            <w:pPr>
              <w:spacing w:after="0"/>
              <w:rPr>
                <w:sz w:val="15"/>
                <w:szCs w:val="15"/>
                <w:color w:val="auto"/>
              </w:rPr>
            </w:pP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83.53%</w:t>
            </w:r>
          </w:p>
        </w:tc>
        <w:tc>
          <w:tcPr>
            <w:tcW w:w="15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82.20%</w:t>
            </w:r>
          </w:p>
        </w:tc>
        <w:tc>
          <w:tcPr>
            <w:tcW w:w="176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83.76%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80.84%</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Selling, general and admin.</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13.40</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12.73</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13.86</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12.74</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3.07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5.07</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2.67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1.81</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5.74</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6.88</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5.89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1.67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2.04</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1.71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2.44</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4.07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4.64</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4.18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rate of incoming orders fell during the 1995 second quarter leading to reductions in both shipments and production schedules. Net sales in the second quarter decreased 12% from 1994 levels, from $135 million to $119 million; net sales in the six months period decreased 5% from 1994, from $256 million to $243 million. The fall off in net sales was pronounced in all Divisions.</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retail household furniture industry, as a whole, has suffered a slowdown in the first half of 1995, both at the retail and manufacturing levels.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Cost of sales, as a percentage of net sales, increased to 83.76% in the second quarter of 1995 up from 80.84% in 1994 and 83.31% in the 1995 first quarter. The deterioration in the second quarter brought about an increase in the percentage to 83.53% for the six months period up from 82.20% in 1994.</w:t>
      </w:r>
    </w:p>
    <w:p>
      <w:pPr>
        <w:spacing w:after="0" w:line="177"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components of cost of sales, expressed as a percentage of net sales, are reflected below:</w:t>
      </w:r>
    </w:p>
    <w:p>
      <w:pPr>
        <w:spacing w:after="0" w:line="200" w:lineRule="exact"/>
        <w:rPr>
          <w:sz w:val="20"/>
          <w:szCs w:val="20"/>
          <w:color w:val="auto"/>
        </w:rPr>
      </w:pPr>
    </w:p>
    <w:p>
      <w:pPr>
        <w:spacing w:after="0" w:line="324"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36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Six Months Ended May 31,</w:t>
            </w:r>
          </w:p>
        </w:tc>
        <w:tc>
          <w:tcPr>
            <w:tcW w:w="3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Three Months Ended May 31,</w:t>
            </w:r>
          </w:p>
        </w:tc>
      </w:tr>
      <w:tr>
        <w:trPr>
          <w:trHeight w:val="175"/>
        </w:trPr>
        <w:tc>
          <w:tcPr>
            <w:tcW w:w="1820" w:type="dxa"/>
            <w:vAlign w:val="bottom"/>
          </w:tcPr>
          <w:p>
            <w:pPr>
              <w:spacing w:after="0"/>
              <w:rPr>
                <w:sz w:val="15"/>
                <w:szCs w:val="15"/>
                <w:color w:val="auto"/>
              </w:rPr>
            </w:pPr>
          </w:p>
        </w:tc>
        <w:tc>
          <w:tcPr>
            <w:tcW w:w="36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15"/>
                <w:szCs w:val="15"/>
                <w:color w:val="auto"/>
              </w:rPr>
            </w:pP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1995</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17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1820" w:type="dxa"/>
            <w:vAlign w:val="bottom"/>
          </w:tcPr>
          <w:p>
            <w:pPr>
              <w:spacing w:after="0"/>
              <w:rPr>
                <w:sz w:val="15"/>
                <w:szCs w:val="15"/>
                <w:color w:val="auto"/>
              </w:rPr>
            </w:pP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49.36%</w:t>
            </w:r>
          </w:p>
        </w:tc>
        <w:tc>
          <w:tcPr>
            <w:tcW w:w="15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48.55%</w:t>
            </w:r>
          </w:p>
        </w:tc>
        <w:tc>
          <w:tcPr>
            <w:tcW w:w="17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49.33%</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w w:val="96"/>
              </w:rPr>
              <w:t>47.54%</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21.56</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21.60</w:t>
            </w:r>
          </w:p>
        </w:tc>
        <w:tc>
          <w:tcPr>
            <w:tcW w:w="17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21.60</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21.78</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12.61</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12.05</w:t>
            </w:r>
          </w:p>
        </w:tc>
        <w:tc>
          <w:tcPr>
            <w:tcW w:w="17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12.83</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11.52</w:t>
            </w:r>
          </w:p>
        </w:tc>
      </w:tr>
      <w:tr>
        <w:trPr>
          <w:trHeight w:val="175"/>
        </w:trPr>
        <w:tc>
          <w:tcPr>
            <w:tcW w:w="1820" w:type="dxa"/>
            <w:vAlign w:val="bottom"/>
          </w:tcPr>
          <w:p>
            <w:pPr>
              <w:spacing w:after="0"/>
              <w:rPr>
                <w:sz w:val="15"/>
                <w:szCs w:val="15"/>
                <w:color w:val="auto"/>
              </w:rPr>
            </w:pP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15"/>
                <w:szCs w:val="15"/>
                <w:color w:val="auto"/>
              </w:rPr>
            </w:pPr>
          </w:p>
        </w:tc>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83.53%</w:t>
            </w:r>
          </w:p>
        </w:tc>
        <w:tc>
          <w:tcPr>
            <w:tcW w:w="15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82.20%</w:t>
            </w:r>
          </w:p>
        </w:tc>
        <w:tc>
          <w:tcPr>
            <w:tcW w:w="17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83.76%</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w w:val="96"/>
              </w:rPr>
              <w:t>80.84%</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increase in the material cost component percentage was due to (i) inability to raise selling prices to cover increased raw material costs (ii) inefficiencies caused by small cutting (job order) sizes and (iii) increased costs related to new market introductions.</w:t>
      </w:r>
    </w:p>
    <w:p>
      <w:pPr>
        <w:spacing w:after="0" w:line="177" w:lineRule="exact"/>
        <w:rPr>
          <w:sz w:val="20"/>
          <w:szCs w:val="20"/>
          <w:color w:val="auto"/>
        </w:rPr>
      </w:pPr>
    </w:p>
    <w:p>
      <w:pPr>
        <w:ind w:left="3080"/>
        <w:spacing w:after="0"/>
        <w:tabs>
          <w:tab w:leader="none" w:pos="4060" w:val="left"/>
        </w:tabs>
        <w:rPr>
          <w:sz w:val="20"/>
          <w:szCs w:val="20"/>
          <w:color w:val="auto"/>
        </w:rPr>
      </w:pPr>
      <w:r>
        <w:rPr>
          <w:rFonts w:ascii="Courier New" w:cs="Courier New" w:eastAsia="Courier New" w:hAnsi="Courier New"/>
          <w:sz w:val="15"/>
          <w:szCs w:val="15"/>
          <w:color w:val="auto"/>
        </w:rPr>
        <w:t>Page 5 of</w:t>
        <w:tab/>
        <w:t>9</w:t>
      </w:r>
    </w:p>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80" w:lineRule="exact"/>
        <w:rPr>
          <w:sz w:val="20"/>
          <w:szCs w:val="20"/>
          <w:color w:val="auto"/>
        </w:rPr>
      </w:pPr>
    </w:p>
    <w:p>
      <w:pPr>
        <w:ind w:right="460"/>
        <w:spacing w:after="0" w:line="24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 continued</w:t>
      </w:r>
    </w:p>
    <w:p>
      <w:pPr>
        <w:spacing w:after="0" w:line="180" w:lineRule="exact"/>
        <w:rPr>
          <w:sz w:val="20"/>
          <w:szCs w:val="20"/>
          <w:color w:val="auto"/>
        </w:rPr>
      </w:pPr>
    </w:p>
    <w:p>
      <w:pPr>
        <w:ind w:right="100"/>
        <w:spacing w:after="0" w:line="247" w:lineRule="auto"/>
        <w:rPr>
          <w:sz w:val="20"/>
          <w:szCs w:val="20"/>
          <w:color w:val="auto"/>
        </w:rPr>
      </w:pPr>
      <w:r>
        <w:rPr>
          <w:rFonts w:ascii="Courier New" w:cs="Courier New" w:eastAsia="Courier New" w:hAnsi="Courier New"/>
          <w:sz w:val="15"/>
          <w:szCs w:val="15"/>
          <w:color w:val="auto"/>
        </w:rPr>
        <w:t>The increase in the overhead cost component percentage is due to the fact that a significant portion of the overhead costs are fixed.</w:t>
      </w:r>
    </w:p>
    <w:p>
      <w:pPr>
        <w:spacing w:after="0" w:line="175" w:lineRule="exact"/>
        <w:rPr>
          <w:sz w:val="20"/>
          <w:szCs w:val="20"/>
          <w:color w:val="auto"/>
        </w:rPr>
      </w:pPr>
    </w:p>
    <w:p>
      <w:pPr>
        <w:spacing w:after="0" w:line="246" w:lineRule="auto"/>
        <w:rPr>
          <w:sz w:val="20"/>
          <w:szCs w:val="20"/>
          <w:color w:val="auto"/>
        </w:rPr>
      </w:pPr>
      <w:r>
        <w:rPr>
          <w:rFonts w:ascii="Courier New" w:cs="Courier New" w:eastAsia="Courier New" w:hAnsi="Courier New"/>
          <w:sz w:val="15"/>
          <w:szCs w:val="15"/>
          <w:color w:val="auto"/>
        </w:rPr>
        <w:t>Selling, general and administration expenses, expressed as a percentage of net sales, increased to 13.86% in the 1995 second quarter from 12.74% in 1994, causing a rise to 13.40% for six months in 1995, compared to 12.73% in 1994. The cost elements included in SG&amp;A expenses that are considered to be fixed costs remained level during the 1995 periods presented and those costs elements that are considered to be variable decreased during the 1995 periods presented, compared to the same periods in 1994.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sources of other income are shown below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May 31,</w:t>
            </w:r>
          </w:p>
        </w:tc>
      </w:tr>
      <w:tr>
        <w:trPr>
          <w:trHeight w:val="175"/>
        </w:trPr>
        <w:tc>
          <w:tcPr>
            <w:tcW w:w="310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310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00" w:type="dxa"/>
            <w:vAlign w:val="bottom"/>
          </w:tcPr>
          <w:p>
            <w:pPr>
              <w:spacing w:after="0"/>
              <w:rPr>
                <w:sz w:val="20"/>
                <w:szCs w:val="20"/>
                <w:color w:val="auto"/>
              </w:rPr>
            </w:pPr>
            <w:r>
              <w:rPr>
                <w:rFonts w:ascii="Courier New" w:cs="Courier New" w:eastAsia="Courier New" w:hAnsi="Courier New"/>
                <w:sz w:val="15"/>
                <w:szCs w:val="15"/>
                <w:color w:val="auto"/>
              </w:rPr>
              <w:t>Equity in unremitted income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of affiliated companies</w:t>
            </w: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$2,441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$2,067</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Interest (principally tax exempt)</w:t>
            </w: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1,123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812</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1,210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1,167</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Gain from sales of securities</w:t>
            </w: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1,364</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w:t>
            </w:r>
          </w:p>
        </w:tc>
      </w:tr>
      <w:tr>
        <w:trPr>
          <w:trHeight w:val="175"/>
        </w:trPr>
        <w:tc>
          <w:tcPr>
            <w:tcW w:w="310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$6,499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$4,644</w:t>
            </w:r>
          </w:p>
        </w:tc>
      </w:tr>
      <w:tr>
        <w:trPr>
          <w:trHeight w:val="175"/>
        </w:trPr>
        <w:tc>
          <w:tcPr>
            <w:tcW w:w="3100" w:type="dxa"/>
            <w:vAlign w:val="bottom"/>
          </w:tcPr>
          <w:p>
            <w:pPr>
              <w:spacing w:after="0"/>
              <w:rPr>
                <w:sz w:val="15"/>
                <w:szCs w:val="15"/>
                <w:color w:val="auto"/>
              </w:rPr>
            </w:pPr>
          </w:p>
        </w:tc>
        <w:tc>
          <w:tcPr>
            <w:tcW w:w="12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The effective income tax rate remained approximately the same in the periods presented : 1995 - 29.15% (6 months), 29.08% (second quarter); 1994 - 29.69% (6 months), 29.92% (second quarter).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spacing w:after="0" w:line="246" w:lineRule="auto"/>
        <w:rPr>
          <w:sz w:val="20"/>
          <w:szCs w:val="20"/>
          <w:color w:val="auto"/>
        </w:rPr>
      </w:pPr>
      <w:r>
        <w:rPr>
          <w:rFonts w:ascii="Courier New" w:cs="Courier New" w:eastAsia="Courier New" w:hAnsi="Courier New"/>
          <w:sz w:val="15"/>
          <w:szCs w:val="15"/>
          <w:color w:val="auto"/>
        </w:rPr>
        <w:t>The current ratio was 6.5 to 1 at May 31, 1995, 5.9 to 1 at February 28, 1995 and 5.7 to 1 at November 30, 1994. Working capital has remained stable in the past year; varying between $169 million at May 31, 1994, to $163 million at February 28, 1995 ($166 million at May 31, 1995). Cash provided by operations increased to $17 million for the six months of 1995 compared to $7 million in the same period of 1994; this compares favorably to $11 million provided in the 1995 second quarter compared to $2 million in the 1994 second quarter. Cash provided by operating activities is expected to be adequate for normal future cash requirements. There were no significant commitments for capital expenditures at May 31, 1995. Capital expenditures that will be made in the future for normal requirements are expected to be made from funds generated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Three Months Ended May 31,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$1,420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$1,114</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573</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395</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667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624</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1,394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132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$4,186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$2,317</w:t>
            </w:r>
          </w:p>
        </w:tc>
      </w:tr>
      <w:tr>
        <w:trPr>
          <w:trHeight w:val="175"/>
        </w:trPr>
        <w:tc>
          <w:tcPr>
            <w:tcW w:w="13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4217" w:lineRule="exact"/>
        <w:rPr>
          <w:sz w:val="20"/>
          <w:szCs w:val="20"/>
          <w:color w:val="auto"/>
        </w:rPr>
      </w:pPr>
    </w:p>
    <w:p>
      <w:pPr>
        <w:sectPr>
          <w:pgSz w:w="11900" w:h="16838" w:orient="portrait"/>
          <w:cols w:equalWidth="0" w:num="2">
            <w:col w:w="7180" w:space="180"/>
            <w:col w:w="2859"/>
          </w:cols>
          <w:pgMar w:left="240" w:top="293" w:right="1440" w:bottom="1440" w:gutter="0" w:footer="0" w:header="0"/>
        </w:sectPr>
      </w:pPr>
    </w:p>
    <w:p>
      <w:pPr>
        <w:spacing w:after="0" w:line="332" w:lineRule="exact"/>
        <w:rPr>
          <w:sz w:val="20"/>
          <w:szCs w:val="20"/>
          <w:color w:val="auto"/>
        </w:rPr>
      </w:pPr>
    </w:p>
    <w:p>
      <w:pPr>
        <w:ind w:left="3080"/>
        <w:spacing w:after="0"/>
        <w:tabs>
          <w:tab w:leader="none" w:pos="4060" w:val="left"/>
        </w:tabs>
        <w:rPr>
          <w:sz w:val="20"/>
          <w:szCs w:val="20"/>
          <w:color w:val="auto"/>
        </w:rPr>
      </w:pPr>
      <w:r>
        <w:rPr>
          <w:rFonts w:ascii="Courier New" w:cs="Courier New" w:eastAsia="Courier New" w:hAnsi="Courier New"/>
          <w:sz w:val="15"/>
          <w:szCs w:val="15"/>
          <w:color w:val="auto"/>
        </w:rPr>
        <w:t>Page 6 of</w:t>
        <w:tab/>
        <w:t>9</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67"/>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PART II - OTHER INFORMATION</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5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rFonts w:ascii="Courier New" w:cs="Courier New" w:eastAsia="Courier New" w:hAnsi="Courier New"/>
          <w:sz w:val="15"/>
          <w:szCs w:val="15"/>
          <w:color w:val="auto"/>
        </w:rPr>
      </w:pPr>
    </w:p>
    <w:p>
      <w:pPr>
        <w:ind w:left="827" w:hanging="463"/>
        <w:spacing w:after="0"/>
        <w:tabs>
          <w:tab w:leader="none" w:pos="8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jc w:val="both"/>
        <w:ind w:left="7"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Chairman of the Board, and Chief Executive Officer</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 E. Booker, Vice President, Controller (Chief Accounting Officer)</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7 of 9</w:t>
      </w:r>
    </w:p>
    <w:p>
      <w:pPr>
        <w:sectPr>
          <w:pgSz w:w="11900" w:h="16838" w:orient="portrait"/>
          <w:cols w:equalWidth="0" w:num="1">
            <w:col w:w="10226"/>
          </w:cols>
          <w:pgMar w:left="233" w:top="2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9959"/>
          </w:cols>
          <w:pgMar w:left="50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For the quarter ended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May 31,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Commission File Number</w:t>
      </w:r>
    </w:p>
    <w:p>
      <w:pPr>
        <w:spacing w:after="0" w:line="5"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740" w:space="720"/>
            <w:col w:w="5499"/>
          </w:cols>
          <w:pgMar w:left="500" w:top="293" w:right="1440" w:bottom="1440" w:gutter="0" w:footer="0" w:header="0"/>
          <w:type w:val="continuous"/>
        </w:sectPr>
      </w:pPr>
    </w:p>
    <w:p>
      <w:pPr>
        <w:spacing w:after="0" w:line="15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640" w:space="720"/>
            <w:col w:w="3460" w:space="720"/>
            <w:col w:w="2419"/>
          </w:cols>
          <w:pgMar w:left="500" w:top="293"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- 9</w:t>
      </w:r>
    </w:p>
    <w:p>
      <w:pPr>
        <w:spacing w:after="0" w:line="211" w:lineRule="exact"/>
        <w:rPr>
          <w:sz w:val="20"/>
          <w:szCs w:val="20"/>
          <w:color w:val="auto"/>
        </w:rPr>
      </w:pPr>
    </w:p>
    <w:p>
      <w:pPr>
        <w:sectPr>
          <w:pgSz w:w="11900" w:h="16838" w:orient="portrait"/>
          <w:cols w:equalWidth="0" w:num="3">
            <w:col w:w="3020" w:space="720"/>
            <w:col w:w="3180" w:space="720"/>
            <w:col w:w="2319"/>
          </w:cols>
          <w:pgMar w:left="50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20"/>
        <w:spacing w:after="0"/>
        <w:tabs>
          <w:tab w:leader="none" w:pos="3800" w:val="left"/>
        </w:tabs>
        <w:rPr>
          <w:sz w:val="20"/>
          <w:szCs w:val="20"/>
          <w:color w:val="auto"/>
        </w:rPr>
      </w:pPr>
      <w:r>
        <w:rPr>
          <w:rFonts w:ascii="Courier New" w:cs="Courier New" w:eastAsia="Courier New" w:hAnsi="Courier New"/>
          <w:sz w:val="15"/>
          <w:szCs w:val="15"/>
          <w:color w:val="auto"/>
        </w:rPr>
        <w:t>Page 8 of</w:t>
        <w:tab/>
        <w:t>9</w:t>
      </w:r>
    </w:p>
    <w:p>
      <w:pPr>
        <w:sectPr>
          <w:pgSz w:w="11900" w:h="16838" w:orient="portrait"/>
          <w:cols w:equalWidth="0" w:num="1">
            <w:col w:w="9959"/>
          </w:cols>
          <w:pgMar w:left="500" w:top="293"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6-MOS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NOV-30-1995</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DEC-01-1994</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MAY-31-1995</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50,356</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47,223</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63,881</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80,484</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196,895</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212,440</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157,352</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343,834</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30,524</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70,438</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231,019</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343,834</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242,569</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249,067</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202,625</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235,131</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367</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13,936</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4,063</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9,873</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9,873</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.70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2019-12-12T05:35:13Z</dcterms:created>
  <dcterms:modified xsi:type="dcterms:W3CDTF">2019-12-12T05:35:13Z</dcterms:modified>
</cp:coreProperties>
</file>