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225"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94"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2"/>
          <w:szCs w:val="22"/>
          <w:b w:val="1"/>
          <w:bCs w:val="1"/>
          <w:color w:val="auto"/>
        </w:rPr>
        <w:t>Bassett Furniture Industries, Incorporated</w:t>
      </w:r>
    </w:p>
    <w:p>
      <w:pPr>
        <w:spacing w:after="0" w:line="23"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7" w:lineRule="exact"/>
        <w:rPr>
          <w:sz w:val="24"/>
          <w:szCs w:val="24"/>
          <w:color w:val="auto"/>
        </w:rPr>
      </w:pPr>
    </w:p>
    <w:tbl>
      <w:tblPr>
        <w:tblLayout w:type="fixed"/>
        <w:tblInd w:w="680" w:type="dxa"/>
        <w:tblCellMar>
          <w:top w:w="0" w:type="dxa"/>
          <w:left w:w="0" w:type="dxa"/>
          <w:bottom w:w="0" w:type="dxa"/>
          <w:right w:w="0" w:type="dxa"/>
        </w:tblCellMar>
      </w:tblPr>
      <w:tr>
        <w:trPr>
          <w:trHeight w:val="216"/>
        </w:trPr>
        <w:tc>
          <w:tcPr>
            <w:tcW w:w="30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6"/>
              </w:rPr>
              <w:t>Virginia</w:t>
            </w:r>
          </w:p>
        </w:tc>
        <w:tc>
          <w:tcPr>
            <w:tcW w:w="1700" w:type="dxa"/>
            <w:vAlign w:val="bottom"/>
          </w:tcPr>
          <w:p>
            <w:pPr>
              <w:spacing w:after="0"/>
              <w:rPr>
                <w:sz w:val="18"/>
                <w:szCs w:val="18"/>
                <w:color w:val="auto"/>
              </w:rPr>
            </w:pPr>
          </w:p>
        </w:tc>
        <w:tc>
          <w:tcPr>
            <w:tcW w:w="244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0-209</w:t>
            </w:r>
          </w:p>
        </w:tc>
        <w:tc>
          <w:tcPr>
            <w:tcW w:w="2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54-0135270</w:t>
            </w:r>
          </w:p>
        </w:tc>
      </w:tr>
      <w:tr>
        <w:trPr>
          <w:trHeight w:val="216"/>
        </w:trPr>
        <w:tc>
          <w:tcPr>
            <w:tcW w:w="30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1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color w:val="auto"/>
              </w:rPr>
              <w:t>(Commission</w:t>
            </w:r>
          </w:p>
        </w:tc>
        <w:tc>
          <w:tcPr>
            <w:tcW w:w="22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41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color w:val="auto"/>
              </w:rPr>
              <w:t>File Number)</w:t>
            </w:r>
          </w:p>
        </w:tc>
        <w:tc>
          <w:tcPr>
            <w:tcW w:w="22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7140" w:type="dxa"/>
            <w:vAlign w:val="bottom"/>
            <w:gridSpan w:val="3"/>
          </w:tcPr>
          <w:p>
            <w:pPr>
              <w:jc w:val="right"/>
              <w:ind w:right="1850"/>
              <w:spacing w:after="0"/>
              <w:rPr>
                <w:sz w:val="20"/>
                <w:szCs w:val="20"/>
                <w:color w:val="auto"/>
              </w:rPr>
            </w:pPr>
            <w:r>
              <w:rPr>
                <w:rFonts w:ascii="Times New Roman" w:cs="Times New Roman" w:eastAsia="Times New Roman" w:hAnsi="Times New Roman"/>
                <w:sz w:val="18"/>
                <w:szCs w:val="18"/>
                <w:color w:val="auto"/>
              </w:rPr>
              <w:t>3525 Fairystone Park Highway, P.O. Box 626, Bassett, VA</w:t>
            </w:r>
          </w:p>
        </w:tc>
        <w:tc>
          <w:tcPr>
            <w:tcW w:w="2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24055</w:t>
            </w:r>
          </w:p>
        </w:tc>
      </w:tr>
      <w:tr>
        <w:trPr>
          <w:trHeight w:val="234"/>
        </w:trPr>
        <w:tc>
          <w:tcPr>
            <w:tcW w:w="470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40" w:type="dxa"/>
            <w:vAlign w:val="bottom"/>
          </w:tcPr>
          <w:p>
            <w:pPr>
              <w:spacing w:after="0"/>
              <w:rPr>
                <w:sz w:val="20"/>
                <w:szCs w:val="20"/>
                <w:color w:val="auto"/>
              </w:rPr>
            </w:pPr>
          </w:p>
        </w:tc>
        <w:tc>
          <w:tcPr>
            <w:tcW w:w="22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32"/>
        </w:trPr>
        <w:tc>
          <w:tcPr>
            <w:tcW w:w="3000" w:type="dxa"/>
            <w:vAlign w:val="bottom"/>
          </w:tcPr>
          <w:p>
            <w:pPr>
              <w:spacing w:after="0"/>
              <w:rPr>
                <w:sz w:val="24"/>
                <w:szCs w:val="24"/>
                <w:color w:val="auto"/>
              </w:rPr>
            </w:pPr>
          </w:p>
        </w:tc>
        <w:tc>
          <w:tcPr>
            <w:tcW w:w="17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Jay R. Hervey</w:t>
            </w:r>
          </w:p>
        </w:tc>
        <w:tc>
          <w:tcPr>
            <w:tcW w:w="244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(276)629-6000</w:t>
            </w:r>
          </w:p>
        </w:tc>
        <w:tc>
          <w:tcPr>
            <w:tcW w:w="2240" w:type="dxa"/>
            <w:vAlign w:val="bottom"/>
          </w:tcPr>
          <w:p>
            <w:pPr>
              <w:spacing w:after="0"/>
              <w:rPr>
                <w:sz w:val="24"/>
                <w:szCs w:val="24"/>
                <w:color w:val="auto"/>
              </w:rPr>
            </w:pPr>
          </w:p>
        </w:tc>
      </w:tr>
    </w:tbl>
    <w:p>
      <w:pPr>
        <w:jc w:val="center"/>
        <w:ind w:right="-49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________________________________</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left="5220" w:right="1120" w:hanging="5212"/>
        <w:spacing w:after="0" w:line="532" w:lineRule="auto"/>
        <w:tabs>
          <w:tab w:leader="none" w:pos="21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13p-1 under the Securities Exchange Act (17 CFR 240.13p-1) for the reporting period from January 1 to December 31, </w:t>
      </w:r>
      <w:r>
        <w:rPr>
          <w:rFonts w:ascii="Times New Roman" w:cs="Times New Roman" w:eastAsia="Times New Roman" w:hAnsi="Times New Roman"/>
          <w:sz w:val="18"/>
          <w:szCs w:val="18"/>
          <w:u w:val="single" w:color="auto"/>
          <w:color w:val="auto"/>
        </w:rPr>
        <w:t>2025</w:t>
      </w:r>
      <w:r>
        <w:rPr>
          <w:rFonts w:ascii="Times New Roman" w:cs="Times New Roman" w:eastAsia="Times New Roman" w:hAnsi="Times New Roman"/>
          <w:sz w:val="18"/>
          <w:szCs w:val="18"/>
          <w:color w:val="auto"/>
        </w:rPr>
        <w:t>. Page 1 of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459"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Reasonable Country of Origin Inquiry Related to SEC Conflict Minerals Rule</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Please refer to Rule 13p-1 (Rule 13p-1) under the Securities Exchange Act of 1934 (1934 Act) and the 1934 Act Release No. 34-67716 for definitions of terms used herein, unless otherwise defined herein. In accordance with Rule 13p-1 regarding ‘conflict minerals’ contained in its products for calendar year 2025, Bassett Furniture Industries, Incorporated (“BFI” or the “Company”):</w:t>
      </w:r>
    </w:p>
    <w:p>
      <w:pPr>
        <w:spacing w:after="0" w:line="176" w:lineRule="exact"/>
        <w:rPr>
          <w:sz w:val="20"/>
          <w:szCs w:val="20"/>
          <w:color w:val="auto"/>
        </w:rPr>
      </w:pPr>
    </w:p>
    <w:p>
      <w:pPr>
        <w:jc w:val="both"/>
        <w:ind w:left="980" w:right="10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in 2013, a six point compliance policy for all suppliers of products or components to the Company. Among other requirements, this policy prohibits the use of materials originating in the Democratic Republic of the Congo (DRC) or any adjoining countries and requires all suppliers to fully cooperate in conducting a reasonable country of origin inquiry.</w:t>
      </w:r>
    </w:p>
    <w:p>
      <w:pPr>
        <w:spacing w:after="0" w:line="173" w:lineRule="exact"/>
        <w:rPr>
          <w:rFonts w:ascii="Times New Roman" w:cs="Times New Roman" w:eastAsia="Times New Roman" w:hAnsi="Times New Roman"/>
          <w:sz w:val="18"/>
          <w:szCs w:val="18"/>
          <w:color w:val="auto"/>
        </w:rPr>
      </w:pPr>
    </w:p>
    <w:p>
      <w:pPr>
        <w:ind w:left="980" w:right="380" w:hanging="324"/>
        <w:spacing w:after="0" w:line="26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Specifically, the policy provides that- </w:t>
      </w:r>
      <w:r>
        <w:rPr>
          <w:rFonts w:ascii="Times New Roman" w:cs="Times New Roman" w:eastAsia="Times New Roman" w:hAnsi="Times New Roman"/>
          <w:sz w:val="18"/>
          <w:szCs w:val="18"/>
          <w:i w:val="1"/>
          <w:iCs w:val="1"/>
          <w:color w:val="auto"/>
        </w:rPr>
        <w:t>[p]ursuant to and in accordance with existing corporate disclosure policies, and in response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obligations imposed by the 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Conflict Minerals Rule, BFI has established the following compliance policy:</w:t>
      </w:r>
    </w:p>
    <w:p>
      <w:pPr>
        <w:ind w:left="1620" w:right="340" w:hanging="316"/>
        <w:spacing w:after="0" w:line="250" w:lineRule="auto"/>
        <w:tabs>
          <w:tab w:leader="none" w:pos="1620" w:val="left"/>
        </w:tabs>
        <w:numPr>
          <w:ilvl w:val="1"/>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BFI will undertake all necessary and appropriate measures to address due diligence and reasonable inquiries for its products in accordance with the requirements of the Conflict Minerals Rule.</w:t>
      </w:r>
    </w:p>
    <w:p>
      <w:pPr>
        <w:ind w:left="1620" w:right="40" w:hanging="316"/>
        <w:spacing w:after="0" w:line="250" w:lineRule="auto"/>
        <w:tabs>
          <w:tab w:leader="none" w:pos="1620" w:val="left"/>
        </w:tabs>
        <w:numPr>
          <w:ilvl w:val="1"/>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addition to all other diligence and data compilation efforts, BFI will establish an internal program to coordinate thorough review of its supply chain on at least an annual basis.</w:t>
      </w:r>
    </w:p>
    <w:p>
      <w:pPr>
        <w:ind w:left="1620" w:right="20" w:hanging="316"/>
        <w:spacing w:after="0" w:line="250" w:lineRule="auto"/>
        <w:tabs>
          <w:tab w:leader="none" w:pos="1620" w:val="left"/>
        </w:tabs>
        <w:numPr>
          <w:ilvl w:val="1"/>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 part of such internal program and consistent with the standards and requirements of the final Conflict Minerals Rule, all BFI furniture suppliers and contractors will be required to (A) conduct a reasonable country of origin inquiry of any materials, products, or components sold or delivered to BFI under any supply agreement, and (B) provide reasonable evidence to BFI certifying (i) that no conflict minerals originating from the DRC or any adjacent country were used in the products sold to BFI, or, (ii) that conflict minerals are included or contained in such materials, products, or components.</w:t>
      </w:r>
    </w:p>
    <w:p>
      <w:pPr>
        <w:spacing w:after="0" w:line="1" w:lineRule="exact"/>
        <w:rPr>
          <w:rFonts w:ascii="Times New Roman" w:cs="Times New Roman" w:eastAsia="Times New Roman" w:hAnsi="Times New Roman"/>
          <w:sz w:val="18"/>
          <w:szCs w:val="18"/>
          <w:i w:val="1"/>
          <w:iCs w:val="1"/>
          <w:color w:val="auto"/>
        </w:rPr>
      </w:pPr>
    </w:p>
    <w:p>
      <w:pPr>
        <w:ind w:left="1620" w:right="180" w:hanging="316"/>
        <w:spacing w:after="0" w:line="250" w:lineRule="auto"/>
        <w:tabs>
          <w:tab w:leader="none" w:pos="1620" w:val="left"/>
        </w:tabs>
        <w:numPr>
          <w:ilvl w:val="1"/>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Upon request, all suppliers will be required to provide (A) a detailed description of the materials, products, or components sold or delivered to BFI that contain conflict minerals, and (B) a detailed narrative explanation and all relevant documentation evidence supporting the specific due diligence methods and standards utilized by the supplier to determine the original market source and country of origin of such conflict minerals.</w:t>
      </w:r>
    </w:p>
    <w:p>
      <w:pPr>
        <w:spacing w:after="0" w:line="1" w:lineRule="exact"/>
        <w:rPr>
          <w:rFonts w:ascii="Times New Roman" w:cs="Times New Roman" w:eastAsia="Times New Roman" w:hAnsi="Times New Roman"/>
          <w:sz w:val="18"/>
          <w:szCs w:val="18"/>
          <w:i w:val="1"/>
          <w:iCs w:val="1"/>
          <w:color w:val="auto"/>
        </w:rPr>
      </w:pPr>
    </w:p>
    <w:p>
      <w:pPr>
        <w:ind w:left="1620" w:right="360" w:hanging="316"/>
        <w:spacing w:after="0" w:line="265" w:lineRule="auto"/>
        <w:tabs>
          <w:tab w:leader="none" w:pos="1620" w:val="left"/>
        </w:tabs>
        <w:numPr>
          <w:ilvl w:val="1"/>
          <w:numId w:val="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All suppliers will be required to fully cooperate with BFI at all times to coordinate and execute all necessary and appropriate measures to compile and disclose information in furtherance of BFI</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compliance obligations under the Conflict Minerals Rule.</w:t>
      </w:r>
    </w:p>
    <w:p>
      <w:pPr>
        <w:ind w:left="1620" w:hanging="316"/>
        <w:spacing w:after="0" w:line="260" w:lineRule="auto"/>
        <w:tabs>
          <w:tab w:leader="none" w:pos="1620" w:val="left"/>
        </w:tabs>
        <w:numPr>
          <w:ilvl w:val="1"/>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suppliers to BFI are required to develop policies for the reasonable prevention of any conflict minerals originating from the DRC and surrounding countries to be contained in any materials, products, or components sold or delivered to BFI.</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 w:name="page3"/>
    <w:bookmarkEnd w:id="2"/>
    <w:p>
      <w:pPr>
        <w:ind w:left="980" w:right="16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was distributed to suppliers of products contracted by the Company for manufacture or of component items used in products manufactured by the Company that may contain conflict minerals.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forms for CY 2025 were provided to each vendor described above. The vendor was to declare ‘no conflict minerals present’ or ‘conflict minerals present’ with additional information provided.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responses of the majority of the vendors whose declaration forms indicated no conflict materials are present.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responses of the few vendors whose declaration forms indicated that some conflict minerals are present.</w:t>
      </w:r>
    </w:p>
    <w:p>
      <w:pPr>
        <w:spacing w:after="0" w:line="36"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material identified was tin as used in solder.</w:t>
      </w:r>
    </w:p>
    <w:p>
      <w:pPr>
        <w:spacing w:after="0" w:line="36"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vendor identified the DRC or any adjoining countries as a country of origin for any conflict mineral(s).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 reason to believe that any necessary conflict minerals may have originated in the DRC or any adjoining country.</w:t>
      </w:r>
    </w:p>
    <w:p>
      <w:pPr>
        <w:spacing w:after="0" w:line="200" w:lineRule="exact"/>
        <w:rPr>
          <w:sz w:val="20"/>
          <w:szCs w:val="20"/>
          <w:color w:val="auto"/>
        </w:rPr>
      </w:pPr>
    </w:p>
    <w:p>
      <w:pPr>
        <w:spacing w:after="0" w:line="26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/s/ J. Michael Daniel - Senior Vice President and Chief Financial Officer</w:t>
            </w:r>
          </w:p>
        </w:tc>
        <w:tc>
          <w:tcPr>
            <w:tcW w:w="2420" w:type="dxa"/>
            <w:vAlign w:val="bottom"/>
          </w:tcPr>
          <w:p>
            <w:pPr>
              <w:spacing w:after="0"/>
              <w:rPr>
                <w:sz w:val="18"/>
                <w:szCs w:val="18"/>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By (Signature and Title)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05/28/2026</w:t>
            </w:r>
          </w:p>
        </w:tc>
      </w:tr>
    </w:tbl>
    <w:p>
      <w:pPr>
        <w:spacing w:after="0" w:line="19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Page 3 of 3</w:t>
      </w:r>
    </w:p>
    <w:sectPr>
      <w:pgSz w:w="11900" w:h="16838" w:orient="portrait"/>
      <w:cols w:equalWidth="0" w:num="1">
        <w:col w:w="10960"/>
      </w:cols>
      <w:pgMar w:left="320" w:top="58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upperLetter"/>
      <w:start w:val="1"/>
    </w:lvl>
    <w:lvl w:ilvl="1">
      <w:lvlJc w:val="left"/>
      <w:lvlText w:val="%2."/>
      <w:numFmt w:val="decimal"/>
      <w:start w:val="1"/>
    </w:lvl>
  </w:abstractNum>
  <w:abstractNum w:abstractNumId="2">
    <w:nsid w:val="19495CFF"/>
    <w:multiLevelType w:val="hybridMultilevel"/>
    <w:lvl w:ilvl="0">
      <w:lvlJc w:val="left"/>
      <w:lvlText w:val="%1."/>
      <w:numFmt w:val="upperLetter"/>
      <w:start w:val="3"/>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2026-05-28T12:43:01Z</dcterms:created>
  <dcterms:modified xsi:type="dcterms:W3CDTF">2026-05-28T12:43:01Z</dcterms:modified>
</cp:coreProperties>
</file>