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59"/>
        <w:spacing w:after="0" w:line="238" w:lineRule="auto"/>
        <w:rPr>
          <w:sz w:val="20"/>
          <w:szCs w:val="20"/>
          <w:color w:val="auto"/>
        </w:rPr>
      </w:pPr>
      <w:r>
        <w:rPr>
          <w:rFonts w:ascii="Courier New" w:cs="Courier New" w:eastAsia="Courier New" w:hAnsi="Courier New"/>
          <w:sz w:val="18"/>
          <w:szCs w:val="18"/>
          <w:color w:val="auto"/>
        </w:rPr>
        <w:t>FORM 8-K/A-1</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spacing w:after="0" w:line="5" w:lineRule="exact"/>
        <w:rPr>
          <w:sz w:val="24"/>
          <w:szCs w:val="24"/>
          <w:color w:val="auto"/>
        </w:rPr>
      </w:pPr>
    </w:p>
    <w:p>
      <w:pPr>
        <w:ind w:right="4199" w:firstLine="2318"/>
        <w:spacing w:after="0" w:line="470" w:lineRule="auto"/>
        <w:rPr>
          <w:sz w:val="20"/>
          <w:szCs w:val="20"/>
          <w:color w:val="auto"/>
        </w:rPr>
      </w:pPr>
      <w:r>
        <w:rPr>
          <w:rFonts w:ascii="Courier New" w:cs="Courier New" w:eastAsia="Courier New" w:hAnsi="Courier New"/>
          <w:sz w:val="18"/>
          <w:szCs w:val="18"/>
          <w:color w:val="auto"/>
        </w:rPr>
        <w:t>THE SECURITIES EXCHANGE ACT OF 1934 DATE OF REPORT DECEMBER 1, 1997</w:t>
      </w:r>
    </w:p>
    <w:p>
      <w:pPr>
        <w:spacing w:after="0" w:line="20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320" w:right="3039" w:hanging="1048"/>
        <w:spacing w:after="0" w:line="235" w:lineRule="auto"/>
        <w:tabs>
          <w:tab w:leader="none" w:pos="147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 to 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 0-209</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BASSETT FURNITURE INDUSTRIES,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Virginia</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(State or other jurisdiction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54-0135270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18" w:lineRule="exact"/>
        <w:rPr>
          <w:sz w:val="24"/>
          <w:szCs w:val="24"/>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Bassett, Virginia</w:t>
      </w:r>
      <w:r>
        <w:rPr>
          <w:sz w:val="20"/>
          <w:szCs w:val="20"/>
          <w:color w:val="auto"/>
        </w:rPr>
        <w:tab/>
      </w:r>
      <w:r>
        <w:rPr>
          <w:rFonts w:ascii="Courier New" w:cs="Courier New" w:eastAsia="Courier New" w:hAnsi="Courier New"/>
          <w:sz w:val="16"/>
          <w:szCs w:val="16"/>
          <w:color w:val="auto"/>
        </w:rPr>
        <w:t>24055</w:t>
      </w:r>
    </w:p>
    <w:p>
      <w:pPr>
        <w:sectPr>
          <w:pgSz w:w="11900" w:h="16838" w:orient="portrait"/>
          <w:cols w:equalWidth="0" w:num="1">
            <w:col w:w="10219"/>
          </w:cols>
          <w:pgMar w:left="240" w:top="244" w:right="1440" w:bottom="1440" w:gutter="0" w:footer="0" w:header="0"/>
          <w:type w:val="continuous"/>
        </w:sectPr>
      </w:pPr>
    </w:p>
    <w:p>
      <w:pPr>
        <w:ind w:left="29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(540) 629-6000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 IN REGISTRANT'S CERTIFIED ACCOUNTANT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new management team at Bassett Furniture Industries, since taking charge in August, has changed the Company's management focus and philosophy to more of a strategic focus and emphasis on return on assets employed. We believe that Arthur Andersen's "business risk" audit approach is directly aligned with our new philosophy and will provide this Company's management team with invaluable information towards managing the Company better and planning for the future. Therefore, Bassett Furniture Industries has decided to change its independent Certified Public Accountants from KPMG Peat Marwick (KPMG)to Arthur Andersen effective immediately. This decision was made on November 21, and KPMG Peat Marwick was notified on that date that we were changing auditors effective November 21, 1997. This decision was approved unanimously by the Board of Directors.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Company's most recent fiscal years ended November 30, 1996 and November 30, 1995, and the subsequent interim period through November 21, 1997, there were no disagreements with KPMG on any matter of accounting principles or practices, financial statement disclosure, or auditing scope or procedures, which if not resolved to their satisfaction would have caused them to make reference to the subject matter of the disagreements in connection with their opinion.</w:t>
      </w:r>
    </w:p>
    <w:p>
      <w:pPr>
        <w:spacing w:after="0" w:line="211"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audit reports of KPMG on the consolidated financial statements of the Company for the fiscal years ended November 30, 1996 and November 30, 1995 did not contain any adverse opinion or disclaimer of opinion, nor were they qualified or modified as to uncertainty, audit scope or accounting principles.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1 - Letter from KPMG Peat Marwick LLP regarding change in certified public accountants to be filed within 10 business days after the filing of this Form 8-K.</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DOUGLAS W. MILLER</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DOUGLAS W. MILLER, VICE-PRESIDENT AND CHIEF FINANCIAL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1997</w:t>
      </w:r>
    </w:p>
    <w:p>
      <w:pPr>
        <w:ind w:left="5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2019-12-20T04:35:01Z</dcterms:created>
  <dcterms:modified xsi:type="dcterms:W3CDTF">2019-12-20T04:35:01Z</dcterms:modified>
</cp:coreProperties>
</file>