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4"/>
          <w:szCs w:val="24"/>
          <w:color w:val="auto"/>
        </w:rPr>
      </w:pPr>
    </w:p>
    <w:p>
      <w:pPr>
        <w:ind w:left="3760" w:right="2820" w:hanging="928"/>
        <w:spacing w:after="0" w:line="282" w:lineRule="auto"/>
        <w:tabs>
          <w:tab w:leader="none" w:pos="3038"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February 27, 2021</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21" w:lineRule="exact"/>
        <w:rPr>
          <w:sz w:val="24"/>
          <w:szCs w:val="24"/>
          <w:color w:val="auto"/>
        </w:rPr>
      </w:pPr>
    </w:p>
    <w:p>
      <w:pPr>
        <w:ind w:left="3760" w:right="2820" w:hanging="934"/>
        <w:spacing w:after="0" w:line="282" w:lineRule="auto"/>
        <w:tabs>
          <w:tab w:leader="none" w:pos="3031"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166" w:lineRule="exact"/>
        <w:rPr>
          <w:sz w:val="24"/>
          <w:szCs w:val="24"/>
          <w:color w:val="auto"/>
        </w:rPr>
      </w:pPr>
    </w:p>
    <w:p>
      <w:pPr>
        <w:ind w:left="2080"/>
        <w:spacing w:after="0"/>
        <w:rPr>
          <w:sz w:val="20"/>
          <w:szCs w:val="20"/>
          <w:color w:val="auto"/>
        </w:rPr>
      </w:pPr>
      <w:r>
        <w:rPr>
          <w:rFonts w:ascii="Arial" w:cs="Arial" w:eastAsia="Arial" w:hAnsi="Arial"/>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Commission File No. 000-00209</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BASSETT FURNITURE INDUSTRIES, INCORPORATED</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11" w:lineRule="exact"/>
        <w:rPr>
          <w:sz w:val="24"/>
          <w:szCs w:val="24"/>
          <w:color w:val="auto"/>
        </w:rPr>
      </w:pPr>
    </w:p>
    <w:tbl>
      <w:tblPr>
        <w:tblLayout w:type="fixed"/>
        <w:tblInd w:w="300" w:type="dxa"/>
        <w:tblCellMar>
          <w:top w:w="0" w:type="dxa"/>
          <w:left w:w="0" w:type="dxa"/>
          <w:bottom w:w="0" w:type="dxa"/>
          <w:right w:w="0" w:type="dxa"/>
        </w:tblCellMar>
      </w:tblPr>
      <w:tr>
        <w:trPr>
          <w:trHeight w:val="230"/>
        </w:trPr>
        <w:tc>
          <w:tcPr>
            <w:tcW w:w="19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560" w:type="dxa"/>
            <w:vAlign w:val="bottom"/>
            <w:gridSpan w:val="7"/>
          </w:tcPr>
          <w:p>
            <w:pPr>
              <w:jc w:val="center"/>
              <w:ind w:right="2940"/>
              <w:spacing w:after="0"/>
              <w:rPr>
                <w:sz w:val="20"/>
                <w:szCs w:val="20"/>
                <w:color w:val="auto"/>
              </w:rPr>
            </w:pPr>
            <w:r>
              <w:rPr>
                <w:rFonts w:ascii="Arial" w:cs="Arial" w:eastAsia="Arial" w:hAnsi="Arial"/>
                <w:sz w:val="18"/>
                <w:szCs w:val="18"/>
                <w:color w:val="auto"/>
                <w:w w:val="96"/>
              </w:rPr>
              <w:t>Virginia</w:t>
            </w:r>
          </w:p>
        </w:tc>
        <w:tc>
          <w:tcPr>
            <w:tcW w:w="2080" w:type="dxa"/>
            <w:vAlign w:val="bottom"/>
            <w:gridSpan w:val="2"/>
          </w:tcPr>
          <w:p>
            <w:pPr>
              <w:jc w:val="center"/>
              <w:ind w:right="650"/>
              <w:spacing w:after="0"/>
              <w:rPr>
                <w:sz w:val="20"/>
                <w:szCs w:val="20"/>
                <w:color w:val="auto"/>
              </w:rPr>
            </w:pPr>
            <w:r>
              <w:rPr>
                <w:rFonts w:ascii="Arial" w:cs="Arial" w:eastAsia="Arial" w:hAnsi="Arial"/>
                <w:sz w:val="18"/>
                <w:szCs w:val="18"/>
                <w:color w:val="auto"/>
                <w:w w:val="89"/>
              </w:rPr>
              <w:t>54-0135270</w:t>
            </w:r>
          </w:p>
        </w:tc>
        <w:tc>
          <w:tcPr>
            <w:tcW w:w="1960" w:type="dxa"/>
            <w:vAlign w:val="bottom"/>
          </w:tcPr>
          <w:p>
            <w:pPr>
              <w:spacing w:after="0"/>
              <w:rPr>
                <w:sz w:val="20"/>
                <w:szCs w:val="20"/>
                <w:color w:val="auto"/>
              </w:rPr>
            </w:pPr>
          </w:p>
        </w:tc>
      </w:tr>
      <w:tr>
        <w:trPr>
          <w:trHeight w:val="195"/>
        </w:trPr>
        <w:tc>
          <w:tcPr>
            <w:tcW w:w="1960" w:type="dxa"/>
            <w:vAlign w:val="bottom"/>
          </w:tcPr>
          <w:p>
            <w:pPr>
              <w:spacing w:after="0"/>
              <w:rPr>
                <w:sz w:val="16"/>
                <w:szCs w:val="16"/>
                <w:color w:val="auto"/>
              </w:rPr>
            </w:pPr>
          </w:p>
        </w:tc>
        <w:tc>
          <w:tcPr>
            <w:tcW w:w="2820" w:type="dxa"/>
            <w:vAlign w:val="bottom"/>
            <w:tcBorders>
              <w:top w:val="single" w:sz="8" w:color="auto"/>
            </w:tcBorders>
            <w:gridSpan w:val="5"/>
          </w:tcPr>
          <w:p>
            <w:pPr>
              <w:jc w:val="center"/>
              <w:spacing w:after="0" w:line="195" w:lineRule="exact"/>
              <w:rPr>
                <w:sz w:val="20"/>
                <w:szCs w:val="20"/>
                <w:color w:val="auto"/>
              </w:rPr>
            </w:pPr>
            <w:r>
              <w:rPr>
                <w:rFonts w:ascii="Arial" w:cs="Arial" w:eastAsia="Arial" w:hAnsi="Arial"/>
                <w:sz w:val="18"/>
                <w:szCs w:val="18"/>
                <w:color w:val="auto"/>
                <w:w w:val="92"/>
              </w:rPr>
              <w:t>(State or other jurisdiction</w:t>
            </w:r>
          </w:p>
        </w:tc>
        <w:tc>
          <w:tcPr>
            <w:tcW w:w="112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2080" w:type="dxa"/>
            <w:vAlign w:val="bottom"/>
            <w:tcBorders>
              <w:top w:val="single" w:sz="8" w:color="auto"/>
            </w:tcBorders>
            <w:gridSpan w:val="2"/>
          </w:tcPr>
          <w:p>
            <w:pPr>
              <w:jc w:val="center"/>
              <w:ind w:right="650"/>
              <w:spacing w:after="0" w:line="195" w:lineRule="exact"/>
              <w:rPr>
                <w:sz w:val="20"/>
                <w:szCs w:val="20"/>
                <w:color w:val="auto"/>
              </w:rPr>
            </w:pPr>
            <w:r>
              <w:rPr>
                <w:rFonts w:ascii="Arial" w:cs="Arial" w:eastAsia="Arial" w:hAnsi="Arial"/>
                <w:sz w:val="18"/>
                <w:szCs w:val="18"/>
                <w:color w:val="auto"/>
                <w:w w:val="92"/>
              </w:rPr>
              <w:t>(I.R.S. Employer</w:t>
            </w:r>
          </w:p>
        </w:tc>
        <w:tc>
          <w:tcPr>
            <w:tcW w:w="1960" w:type="dxa"/>
            <w:vAlign w:val="bottom"/>
          </w:tcPr>
          <w:p>
            <w:pPr>
              <w:spacing w:after="0"/>
              <w:rPr>
                <w:sz w:val="16"/>
                <w:szCs w:val="16"/>
                <w:color w:val="auto"/>
              </w:rPr>
            </w:pPr>
          </w:p>
        </w:tc>
      </w:tr>
      <w:tr>
        <w:trPr>
          <w:trHeight w:val="230"/>
        </w:trPr>
        <w:tc>
          <w:tcPr>
            <w:tcW w:w="1960" w:type="dxa"/>
            <w:vAlign w:val="bottom"/>
          </w:tcPr>
          <w:p>
            <w:pPr>
              <w:spacing w:after="0"/>
              <w:rPr>
                <w:sz w:val="20"/>
                <w:szCs w:val="20"/>
                <w:color w:val="auto"/>
              </w:rPr>
            </w:pPr>
          </w:p>
        </w:tc>
        <w:tc>
          <w:tcPr>
            <w:tcW w:w="4660" w:type="dxa"/>
            <w:vAlign w:val="bottom"/>
            <w:gridSpan w:val="8"/>
          </w:tcPr>
          <w:p>
            <w:pPr>
              <w:jc w:val="center"/>
              <w:ind w:right="1860"/>
              <w:spacing w:after="0"/>
              <w:rPr>
                <w:sz w:val="20"/>
                <w:szCs w:val="20"/>
                <w:color w:val="auto"/>
              </w:rPr>
            </w:pPr>
            <w:r>
              <w:rPr>
                <w:rFonts w:ascii="Arial" w:cs="Arial" w:eastAsia="Arial" w:hAnsi="Arial"/>
                <w:sz w:val="18"/>
                <w:szCs w:val="18"/>
                <w:color w:val="auto"/>
                <w:w w:val="92"/>
              </w:rPr>
              <w:t>of incorporation or organization)</w:t>
            </w:r>
          </w:p>
        </w:tc>
        <w:tc>
          <w:tcPr>
            <w:tcW w:w="4040" w:type="dxa"/>
            <w:vAlign w:val="bottom"/>
            <w:gridSpan w:val="3"/>
          </w:tcPr>
          <w:p>
            <w:pPr>
              <w:jc w:val="center"/>
              <w:ind w:right="270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19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560" w:type="dxa"/>
            <w:vAlign w:val="bottom"/>
            <w:gridSpan w:val="5"/>
          </w:tcPr>
          <w:p>
            <w:pPr>
              <w:jc w:val="center"/>
              <w:ind w:right="40"/>
              <w:spacing w:after="0"/>
              <w:rPr>
                <w:sz w:val="20"/>
                <w:szCs w:val="20"/>
                <w:color w:val="auto"/>
              </w:rPr>
            </w:pPr>
            <w:r>
              <w:rPr>
                <w:rFonts w:ascii="Arial" w:cs="Arial" w:eastAsia="Arial" w:hAnsi="Arial"/>
                <w:sz w:val="18"/>
                <w:szCs w:val="18"/>
                <w:color w:val="auto"/>
                <w:w w:val="91"/>
              </w:rPr>
              <w:t>3525 Fairystone Park Highway</w:t>
            </w:r>
          </w:p>
        </w:tc>
        <w:tc>
          <w:tcPr>
            <w:tcW w:w="3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0"/>
        </w:trPr>
        <w:tc>
          <w:tcPr>
            <w:tcW w:w="19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140" w:type="dxa"/>
            <w:vAlign w:val="bottom"/>
            <w:gridSpan w:val="4"/>
          </w:tcPr>
          <w:p>
            <w:pPr>
              <w:jc w:val="center"/>
              <w:ind w:right="460"/>
              <w:spacing w:after="0" w:line="190" w:lineRule="exact"/>
              <w:rPr>
                <w:sz w:val="20"/>
                <w:szCs w:val="20"/>
                <w:color w:val="auto"/>
              </w:rPr>
            </w:pPr>
            <w:r>
              <w:rPr>
                <w:rFonts w:ascii="Arial" w:cs="Arial" w:eastAsia="Arial" w:hAnsi="Arial"/>
                <w:sz w:val="18"/>
                <w:szCs w:val="18"/>
                <w:color w:val="auto"/>
                <w:w w:val="90"/>
              </w:rPr>
              <w:t>Bassett, Virginia 24055</w:t>
            </w:r>
          </w:p>
        </w:tc>
        <w:tc>
          <w:tcPr>
            <w:tcW w:w="32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1960" w:type="dxa"/>
            <w:vAlign w:val="bottom"/>
          </w:tcPr>
          <w:p>
            <w:pPr>
              <w:spacing w:after="0"/>
              <w:rPr>
                <w:sz w:val="16"/>
                <w:szCs w:val="16"/>
                <w:color w:val="auto"/>
              </w:rPr>
            </w:pPr>
          </w:p>
        </w:tc>
      </w:tr>
      <w:tr>
        <w:trPr>
          <w:trHeight w:val="20"/>
        </w:trPr>
        <w:tc>
          <w:tcPr>
            <w:tcW w:w="19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680" w:type="dxa"/>
            <w:vAlign w:val="bottom"/>
            <w:gridSpan w:val="3"/>
            <w:shd w:val="clear" w:color="auto" w:fill="000000"/>
          </w:tcPr>
          <w:p>
            <w:pPr>
              <w:spacing w:after="0" w:line="20" w:lineRule="exact"/>
              <w:rPr>
                <w:sz w:val="1"/>
                <w:szCs w:val="1"/>
                <w:color w:val="auto"/>
              </w:rPr>
            </w:pPr>
          </w:p>
        </w:tc>
        <w:tc>
          <w:tcPr>
            <w:tcW w:w="4500" w:type="dxa"/>
            <w:vAlign w:val="bottom"/>
            <w:gridSpan w:val="4"/>
          </w:tcPr>
          <w:p>
            <w:pPr>
              <w:spacing w:after="0" w:line="20" w:lineRule="exact"/>
              <w:rPr>
                <w:sz w:val="1"/>
                <w:szCs w:val="1"/>
                <w:color w:val="auto"/>
              </w:rPr>
            </w:pPr>
          </w:p>
        </w:tc>
      </w:tr>
      <w:tr>
        <w:trPr>
          <w:trHeight w:val="222"/>
        </w:trPr>
        <w:tc>
          <w:tcPr>
            <w:tcW w:w="19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920" w:type="dxa"/>
            <w:vAlign w:val="bottom"/>
            <w:gridSpan w:val="9"/>
          </w:tcPr>
          <w:p>
            <w:pPr>
              <w:jc w:val="center"/>
              <w:ind w:right="3740"/>
              <w:spacing w:after="0"/>
              <w:rPr>
                <w:sz w:val="20"/>
                <w:szCs w:val="20"/>
                <w:color w:val="auto"/>
              </w:rPr>
            </w:pPr>
            <w:r>
              <w:rPr>
                <w:rFonts w:ascii="Arial" w:cs="Arial" w:eastAsia="Arial" w:hAnsi="Arial"/>
                <w:sz w:val="18"/>
                <w:szCs w:val="18"/>
                <w:color w:val="auto"/>
                <w:w w:val="92"/>
              </w:rPr>
              <w:t>(Address of principal executive offices)</w:t>
            </w:r>
          </w:p>
        </w:tc>
      </w:tr>
      <w:tr>
        <w:trPr>
          <w:trHeight w:val="230"/>
        </w:trPr>
        <w:tc>
          <w:tcPr>
            <w:tcW w:w="19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40" w:type="dxa"/>
            <w:vAlign w:val="bottom"/>
            <w:gridSpan w:val="3"/>
          </w:tcPr>
          <w:p>
            <w:pPr>
              <w:jc w:val="center"/>
              <w:ind w:right="760"/>
              <w:spacing w:after="0"/>
              <w:rPr>
                <w:sz w:val="20"/>
                <w:szCs w:val="20"/>
                <w:color w:val="auto"/>
              </w:rPr>
            </w:pPr>
            <w:r>
              <w:rPr>
                <w:rFonts w:ascii="Arial" w:cs="Arial" w:eastAsia="Arial" w:hAnsi="Arial"/>
                <w:sz w:val="18"/>
                <w:szCs w:val="18"/>
                <w:color w:val="auto"/>
                <w:w w:val="94"/>
              </w:rPr>
              <w:t>(Zip Code)</w:t>
            </w:r>
          </w:p>
        </w:tc>
        <w:tc>
          <w:tcPr>
            <w:tcW w:w="3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960" w:type="dxa"/>
            <w:vAlign w:val="bottom"/>
          </w:tcPr>
          <w:p>
            <w:pPr>
              <w:spacing w:after="0"/>
              <w:rPr>
                <w:sz w:val="20"/>
                <w:szCs w:val="20"/>
                <w:color w:val="auto"/>
              </w:rPr>
            </w:pPr>
          </w:p>
        </w:tc>
      </w:tr>
      <w:tr>
        <w:trPr>
          <w:trHeight w:val="418"/>
        </w:trPr>
        <w:tc>
          <w:tcPr>
            <w:tcW w:w="19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840" w:type="dxa"/>
            <w:vAlign w:val="bottom"/>
            <w:gridSpan w:val="5"/>
          </w:tcPr>
          <w:p>
            <w:pPr>
              <w:jc w:val="center"/>
              <w:ind w:left="1590"/>
              <w:spacing w:after="0"/>
              <w:rPr>
                <w:sz w:val="20"/>
                <w:szCs w:val="20"/>
                <w:color w:val="auto"/>
              </w:rPr>
            </w:pPr>
            <w:r>
              <w:rPr>
                <w:rFonts w:ascii="Arial" w:cs="Arial" w:eastAsia="Arial" w:hAnsi="Arial"/>
                <w:sz w:val="18"/>
                <w:szCs w:val="18"/>
                <w:color w:val="auto"/>
                <w:w w:val="90"/>
              </w:rPr>
              <w:t>(276) 629-6000</w:t>
            </w: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230"/>
        </w:trPr>
        <w:tc>
          <w:tcPr>
            <w:tcW w:w="19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7600" w:type="dxa"/>
            <w:vAlign w:val="bottom"/>
            <w:gridSpan w:val="10"/>
          </w:tcPr>
          <w:p>
            <w:pPr>
              <w:jc w:val="center"/>
              <w:ind w:right="3080"/>
              <w:spacing w:after="0"/>
              <w:rPr>
                <w:sz w:val="20"/>
                <w:szCs w:val="20"/>
                <w:color w:val="auto"/>
              </w:rPr>
            </w:pPr>
            <w:r>
              <w:rPr>
                <w:rFonts w:ascii="Arial" w:cs="Arial" w:eastAsia="Arial" w:hAnsi="Arial"/>
                <w:sz w:val="18"/>
                <w:szCs w:val="18"/>
                <w:color w:val="auto"/>
                <w:w w:val="89"/>
              </w:rPr>
              <w:t>(Registrant's telephone number, including area code)</w:t>
            </w:r>
          </w:p>
        </w:tc>
      </w:tr>
      <w:tr>
        <w:trPr>
          <w:trHeight w:val="432"/>
        </w:trPr>
        <w:tc>
          <w:tcPr>
            <w:tcW w:w="19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600" w:type="dxa"/>
            <w:vAlign w:val="bottom"/>
            <w:gridSpan w:val="10"/>
          </w:tcPr>
          <w:p>
            <w:pPr>
              <w:jc w:val="center"/>
              <w:ind w:right="3060"/>
              <w:spacing w:after="0"/>
              <w:rPr>
                <w:sz w:val="20"/>
                <w:szCs w:val="20"/>
                <w:color w:val="auto"/>
              </w:rPr>
            </w:pPr>
            <w:r>
              <w:rPr>
                <w:rFonts w:ascii="Arial" w:cs="Arial" w:eastAsia="Arial" w:hAnsi="Arial"/>
                <w:sz w:val="18"/>
                <w:szCs w:val="18"/>
                <w:color w:val="auto"/>
                <w:w w:val="90"/>
              </w:rPr>
              <w:t>Securities registered pursuant to Section 12(b) of the Act:</w:t>
            </w:r>
          </w:p>
        </w:tc>
      </w:tr>
      <w:tr>
        <w:trPr>
          <w:trHeight w:val="432"/>
        </w:trPr>
        <w:tc>
          <w:tcPr>
            <w:tcW w:w="3060" w:type="dxa"/>
            <w:vAlign w:val="bottom"/>
            <w:tcBorders>
              <w:bottom w:val="single" w:sz="8" w:color="auto"/>
            </w:tcBorders>
            <w:gridSpan w:val="2"/>
          </w:tcPr>
          <w:p>
            <w:pPr>
              <w:jc w:val="center"/>
              <w:ind w:left="550"/>
              <w:spacing w:after="0"/>
              <w:rPr>
                <w:sz w:val="20"/>
                <w:szCs w:val="20"/>
                <w:color w:val="auto"/>
              </w:rPr>
            </w:pPr>
            <w:r>
              <w:rPr>
                <w:rFonts w:ascii="Arial" w:cs="Arial" w:eastAsia="Arial" w:hAnsi="Arial"/>
                <w:sz w:val="18"/>
                <w:szCs w:val="18"/>
                <w:color w:val="auto"/>
                <w:w w:val="90"/>
              </w:rPr>
              <w:t>Title of each class</w:t>
            </w:r>
          </w:p>
        </w:tc>
        <w:tc>
          <w:tcPr>
            <w:tcW w:w="68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gridSpan w:val="4"/>
          </w:tcPr>
          <w:p>
            <w:pPr>
              <w:jc w:val="center"/>
              <w:ind w:right="420"/>
              <w:spacing w:after="0"/>
              <w:rPr>
                <w:sz w:val="20"/>
                <w:szCs w:val="20"/>
                <w:color w:val="auto"/>
              </w:rPr>
            </w:pPr>
            <w:r>
              <w:rPr>
                <w:rFonts w:ascii="Arial" w:cs="Arial" w:eastAsia="Arial" w:hAnsi="Arial"/>
                <w:sz w:val="18"/>
                <w:szCs w:val="18"/>
                <w:color w:val="auto"/>
                <w:w w:val="91"/>
              </w:rPr>
              <w:t>Trading Symbol</w:t>
            </w:r>
          </w:p>
        </w:tc>
        <w:tc>
          <w:tcPr>
            <w:tcW w:w="320" w:type="dxa"/>
            <w:vAlign w:val="bottom"/>
          </w:tcPr>
          <w:p>
            <w:pPr>
              <w:spacing w:after="0"/>
              <w:rPr>
                <w:sz w:val="24"/>
                <w:szCs w:val="24"/>
                <w:color w:val="auto"/>
              </w:rPr>
            </w:pPr>
          </w:p>
        </w:tc>
        <w:tc>
          <w:tcPr>
            <w:tcW w:w="372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3060" w:type="dxa"/>
            <w:vAlign w:val="bottom"/>
            <w:gridSpan w:val="2"/>
          </w:tcPr>
          <w:p>
            <w:pPr>
              <w:jc w:val="center"/>
              <w:ind w:left="570"/>
              <w:spacing w:after="0"/>
              <w:rPr>
                <w:sz w:val="20"/>
                <w:szCs w:val="20"/>
                <w:color w:val="auto"/>
              </w:rPr>
            </w:pPr>
            <w:r>
              <w:rPr>
                <w:rFonts w:ascii="Arial" w:cs="Arial" w:eastAsia="Arial" w:hAnsi="Arial"/>
                <w:sz w:val="18"/>
                <w:szCs w:val="18"/>
                <w:color w:val="auto"/>
                <w:w w:val="90"/>
              </w:rPr>
              <w:t>Common Stock ($5.00 par value)</w:t>
            </w: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40" w:type="dxa"/>
            <w:vAlign w:val="bottom"/>
            <w:gridSpan w:val="3"/>
          </w:tcPr>
          <w:p>
            <w:pPr>
              <w:jc w:val="center"/>
              <w:ind w:right="720"/>
              <w:spacing w:after="0"/>
              <w:rPr>
                <w:sz w:val="20"/>
                <w:szCs w:val="20"/>
                <w:color w:val="auto"/>
              </w:rPr>
            </w:pPr>
            <w:r>
              <w:rPr>
                <w:rFonts w:ascii="Arial" w:cs="Arial" w:eastAsia="Arial" w:hAnsi="Arial"/>
                <w:sz w:val="18"/>
                <w:szCs w:val="18"/>
                <w:color w:val="auto"/>
                <w:w w:val="93"/>
              </w:rPr>
              <w:t>BSET</w:t>
            </w:r>
          </w:p>
        </w:tc>
        <w:tc>
          <w:tcPr>
            <w:tcW w:w="320" w:type="dxa"/>
            <w:vAlign w:val="bottom"/>
          </w:tcPr>
          <w:p>
            <w:pPr>
              <w:spacing w:after="0"/>
              <w:rPr>
                <w:sz w:val="19"/>
                <w:szCs w:val="19"/>
                <w:color w:val="auto"/>
              </w:rPr>
            </w:pPr>
          </w:p>
        </w:tc>
        <w:tc>
          <w:tcPr>
            <w:tcW w:w="3720" w:type="dxa"/>
            <w:vAlign w:val="bottom"/>
            <w:gridSpan w:val="2"/>
          </w:tcPr>
          <w:p>
            <w:pPr>
              <w:jc w:val="center"/>
              <w:ind w:right="20"/>
              <w:spacing w:after="0"/>
              <w:rPr>
                <w:sz w:val="20"/>
                <w:szCs w:val="20"/>
                <w:color w:val="auto"/>
              </w:rPr>
            </w:pPr>
            <w:r>
              <w:rPr>
                <w:rFonts w:ascii="Arial" w:cs="Arial" w:eastAsia="Arial" w:hAnsi="Arial"/>
                <w:sz w:val="18"/>
                <w:szCs w:val="18"/>
                <w:color w:val="auto"/>
                <w:w w:val="97"/>
              </w:rPr>
              <w:t>NASDAQ</w:t>
            </w:r>
          </w:p>
        </w:tc>
      </w:tr>
    </w:tbl>
    <w:p>
      <w:pPr>
        <w:spacing w:after="0" w:line="187"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5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28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204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4600" w:type="dxa"/>
            <w:vAlign w:val="bottom"/>
          </w:tcPr>
          <w:p>
            <w:pPr>
              <w:ind w:left="1320"/>
              <w:spacing w:after="0"/>
              <w:rPr>
                <w:sz w:val="20"/>
                <w:szCs w:val="20"/>
                <w:color w:val="auto"/>
              </w:rPr>
            </w:pPr>
            <w:r>
              <w:rPr>
                <w:rFonts w:ascii="Arial" w:cs="Arial" w:eastAsia="Arial" w:hAnsi="Arial"/>
                <w:sz w:val="18"/>
                <w:szCs w:val="18"/>
                <w:color w:val="auto"/>
              </w:rPr>
              <w:t>Accelerated Filer</w:t>
            </w:r>
          </w:p>
        </w:tc>
        <w:tc>
          <w:tcPr>
            <w:tcW w:w="1360" w:type="dxa"/>
            <w:vAlign w:val="bottom"/>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280" w:type="dxa"/>
            <w:vAlign w:val="bottom"/>
          </w:tcPr>
          <w:p>
            <w:pPr>
              <w:spacing w:after="0"/>
              <w:rPr>
                <w:sz w:val="20"/>
                <w:szCs w:val="20"/>
                <w:color w:val="auto"/>
              </w:rPr>
            </w:pPr>
            <w:r>
              <w:rPr>
                <w:rFonts w:ascii="Arial" w:cs="Arial" w:eastAsia="Arial" w:hAnsi="Arial"/>
                <w:sz w:val="18"/>
                <w:szCs w:val="18"/>
                <w:color w:val="auto"/>
              </w:rPr>
              <w:t>Non-accelerated Filer</w:t>
            </w:r>
          </w:p>
        </w:tc>
        <w:tc>
          <w:tcPr>
            <w:tcW w:w="204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4600" w:type="dxa"/>
            <w:vAlign w:val="bottom"/>
          </w:tcPr>
          <w:p>
            <w:pPr>
              <w:ind w:left="1320"/>
              <w:spacing w:after="0"/>
              <w:rPr>
                <w:sz w:val="20"/>
                <w:szCs w:val="20"/>
                <w:color w:val="auto"/>
              </w:rPr>
            </w:pPr>
            <w:r>
              <w:rPr>
                <w:rFonts w:ascii="Arial" w:cs="Arial" w:eastAsia="Arial" w:hAnsi="Arial"/>
                <w:sz w:val="18"/>
                <w:szCs w:val="18"/>
                <w:color w:val="auto"/>
              </w:rPr>
              <w:t>Smaller Reporting Company</w:t>
            </w:r>
          </w:p>
        </w:tc>
        <w:tc>
          <w:tcPr>
            <w:tcW w:w="1360" w:type="dxa"/>
            <w:vAlign w:val="bottom"/>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2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4600" w:type="dxa"/>
            <w:vAlign w:val="bottom"/>
          </w:tcPr>
          <w:p>
            <w:pPr>
              <w:ind w:left="1320"/>
              <w:spacing w:after="0"/>
              <w:rPr>
                <w:sz w:val="20"/>
                <w:szCs w:val="20"/>
                <w:color w:val="auto"/>
              </w:rPr>
            </w:pPr>
            <w:r>
              <w:rPr>
                <w:rFonts w:ascii="Arial" w:cs="Arial" w:eastAsia="Arial" w:hAnsi="Arial"/>
                <w:sz w:val="18"/>
                <w:szCs w:val="18"/>
                <w:color w:val="auto"/>
              </w:rPr>
              <w:t>Emerging Growth Company</w:t>
            </w:r>
          </w:p>
        </w:tc>
        <w:tc>
          <w:tcPr>
            <w:tcW w:w="1360" w:type="dxa"/>
            <w:vAlign w:val="bottom"/>
          </w:tcPr>
          <w:p>
            <w:pPr>
              <w:ind w:left="120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At March 26, 2021, 9,909,596 shares of common stock of the Registrant were outstanding.</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 of 32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OF CONTENTS</w:t>
      </w:r>
    </w:p>
    <w:p>
      <w:pPr>
        <w:spacing w:after="0" w:line="225" w:lineRule="exact"/>
        <w:rPr>
          <w:sz w:val="20"/>
          <w:szCs w:val="20"/>
          <w:color w:val="auto"/>
        </w:rPr>
      </w:pPr>
    </w:p>
    <w:p>
      <w:pPr>
        <w:spacing w:after="0"/>
        <w:tabs>
          <w:tab w:leader="none" w:pos="10100" w:val="left"/>
        </w:tabs>
        <w:rPr>
          <w:sz w:val="20"/>
          <w:szCs w:val="20"/>
          <w:color w:val="auto"/>
        </w:rPr>
      </w:pPr>
      <w:r>
        <w:rPr>
          <w:rFonts w:ascii="Arial" w:cs="Arial" w:eastAsia="Arial" w:hAnsi="Arial"/>
          <w:sz w:val="18"/>
          <w:szCs w:val="18"/>
          <w:color w:val="auto"/>
        </w:rPr>
        <w:t>ITEM</w:t>
      </w:r>
      <w:r>
        <w:rPr>
          <w:sz w:val="20"/>
          <w:szCs w:val="20"/>
          <w:color w:val="auto"/>
        </w:rPr>
        <w:tab/>
      </w:r>
      <w:r>
        <w:rPr>
          <w:rFonts w:ascii="Arial" w:cs="Arial" w:eastAsia="Arial" w:hAnsi="Arial"/>
          <w:sz w:val="18"/>
          <w:szCs w:val="18"/>
          <w:color w:val="auto"/>
        </w:rPr>
        <w:t>PAGE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left="580" w:right="1680" w:hanging="572"/>
        <w:spacing w:after="0" w:line="277" w:lineRule="auto"/>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Condensed Consolidated Financial Statements as of February 27, 2021 (unaudited) and November 28, 2020 and for the three months ended February 27, 2021 (unaudited) and February 29, 2020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-293370</wp:posOffset>
            </wp:positionV>
            <wp:extent cx="7132320" cy="274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274320"/>
                    </a:xfrm>
                    <a:prstGeom prst="rect">
                      <a:avLst/>
                    </a:prstGeom>
                    <a:noFill/>
                  </pic:spPr>
                </pic:pic>
              </a:graphicData>
            </a:graphic>
          </wp:anchor>
        </w:drawing>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Income</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3</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Comprehensive Income</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4</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Balance Sheets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5</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Cash Flows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6</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540"/>
              <w:spacing w:after="0"/>
              <w:rPr>
                <w:sz w:val="20"/>
                <w:szCs w:val="20"/>
                <w:color w:val="auto"/>
              </w:rPr>
            </w:pPr>
            <w:r>
              <w:rPr>
                <w:rFonts w:ascii="Arial" w:cs="Arial" w:eastAsia="Arial" w:hAnsi="Arial"/>
                <w:sz w:val="18"/>
                <w:szCs w:val="18"/>
                <w:color w:val="auto"/>
              </w:rPr>
              <w:t>Notes to Condensed Consolidated Financial Statements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7</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2.</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20</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3.</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Quantitative and Qualitative Disclosures About Market Risk</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28</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4.</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Controls and Procedures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29</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540" w:type="dxa"/>
            <w:vAlign w:val="bottom"/>
            <w:shd w:val="clear" w:color="auto" w:fill="CCEEFF"/>
          </w:tcPr>
          <w:p>
            <w:pPr>
              <w:ind w:left="3940"/>
              <w:spacing w:after="0"/>
              <w:rPr>
                <w:sz w:val="20"/>
                <w:szCs w:val="20"/>
                <w:color w:val="auto"/>
              </w:rPr>
            </w:pPr>
            <w:r>
              <w:rPr>
                <w:rFonts w:ascii="Arial" w:cs="Arial" w:eastAsia="Arial" w:hAnsi="Arial"/>
                <w:sz w:val="18"/>
                <w:szCs w:val="18"/>
                <w:color w:val="auto"/>
              </w:rPr>
              <w:t>PART II - OTHER INFORMATION</w:t>
            </w:r>
          </w:p>
        </w:tc>
        <w:tc>
          <w:tcPr>
            <w:tcW w:w="2340" w:type="dxa"/>
            <w:vAlign w:val="bottom"/>
            <w:shd w:val="clear" w:color="auto" w:fill="CCEEFF"/>
          </w:tcPr>
          <w:p>
            <w:pPr>
              <w:spacing w:after="0"/>
              <w:rPr>
                <w:sz w:val="18"/>
                <w:szCs w:val="18"/>
                <w:color w:val="auto"/>
              </w:rPr>
            </w:pP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1.</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Legal Proceedings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30</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2.</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Unregistered Sales of Equity Securities, Use of Proceeds and Issuer Purchases of Equity Securities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30</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3.</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Defaults Upon Senior Securities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30</w:t>
            </w:r>
          </w:p>
        </w:tc>
      </w:tr>
      <w:tr>
        <w:trPr>
          <w:trHeight w:val="216"/>
        </w:trPr>
        <w:tc>
          <w:tcPr>
            <w:tcW w:w="36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234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6.</w:t>
            </w:r>
          </w:p>
        </w:tc>
        <w:tc>
          <w:tcPr>
            <w:tcW w:w="8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Exhibits</w:t>
            </w:r>
          </w:p>
        </w:tc>
        <w:tc>
          <w:tcPr>
            <w:tcW w:w="2340" w:type="dxa"/>
            <w:vAlign w:val="bottom"/>
            <w:shd w:val="clear" w:color="auto" w:fill="CCEEFF"/>
          </w:tcPr>
          <w:p>
            <w:pPr>
              <w:ind w:left="1220"/>
              <w:spacing w:after="0"/>
              <w:rPr>
                <w:sz w:val="20"/>
                <w:szCs w:val="20"/>
                <w:color w:val="auto"/>
              </w:rPr>
            </w:pPr>
            <w:r>
              <w:rPr>
                <w:rFonts w:ascii="Arial" w:cs="Arial" w:eastAsia="Arial" w:hAnsi="Arial"/>
                <w:sz w:val="18"/>
                <w:szCs w:val="18"/>
                <w:color w:val="auto"/>
              </w:rPr>
              <w:t>30</w:t>
            </w:r>
          </w:p>
        </w:tc>
      </w:tr>
      <w:tr>
        <w:trPr>
          <w:trHeight w:val="432"/>
        </w:trPr>
        <w:tc>
          <w:tcPr>
            <w:tcW w:w="360" w:type="dxa"/>
            <w:vAlign w:val="bottom"/>
          </w:tcPr>
          <w:p>
            <w:pPr>
              <w:spacing w:after="0"/>
              <w:rPr>
                <w:sz w:val="24"/>
                <w:szCs w:val="24"/>
                <w:color w:val="auto"/>
              </w:rPr>
            </w:pPr>
          </w:p>
        </w:tc>
        <w:tc>
          <w:tcPr>
            <w:tcW w:w="8540" w:type="dxa"/>
            <w:vAlign w:val="bottom"/>
          </w:tcPr>
          <w:p>
            <w:pPr>
              <w:ind w:left="5000"/>
              <w:spacing w:after="0"/>
              <w:rPr>
                <w:sz w:val="20"/>
                <w:szCs w:val="20"/>
                <w:color w:val="auto"/>
              </w:rPr>
            </w:pPr>
            <w:r>
              <w:rPr>
                <w:rFonts w:ascii="Arial" w:cs="Arial" w:eastAsia="Arial" w:hAnsi="Arial"/>
                <w:sz w:val="18"/>
                <w:szCs w:val="18"/>
                <w:color w:val="auto"/>
              </w:rPr>
              <w:t>2 of 32</w:t>
            </w:r>
          </w:p>
        </w:tc>
        <w:tc>
          <w:tcPr>
            <w:tcW w:w="2340" w:type="dxa"/>
            <w:vAlign w:val="bottom"/>
          </w:tcPr>
          <w:p>
            <w:pPr>
              <w:spacing w:after="0"/>
              <w:rPr>
                <w:sz w:val="24"/>
                <w:szCs w:val="24"/>
                <w:color w:val="auto"/>
              </w:rPr>
            </w:pPr>
          </w:p>
        </w:tc>
      </w:tr>
      <w:tr>
        <w:trPr>
          <w:trHeight w:val="115"/>
        </w:trPr>
        <w:tc>
          <w:tcPr>
            <w:tcW w:w="360" w:type="dxa"/>
            <w:vAlign w:val="bottom"/>
            <w:tcBorders>
              <w:bottom w:val="single" w:sz="8" w:color="auto"/>
            </w:tcBorders>
          </w:tcPr>
          <w:p>
            <w:pPr>
              <w:spacing w:after="0"/>
              <w:rPr>
                <w:sz w:val="10"/>
                <w:szCs w:val="10"/>
                <w:color w:val="auto"/>
              </w:rPr>
            </w:pPr>
          </w:p>
        </w:tc>
        <w:tc>
          <w:tcPr>
            <w:tcW w:w="854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827"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u w:val="single" w:color="auto"/>
          <w:color w:val="auto"/>
        </w:rPr>
        <w:t>PART I - FINANCIAL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ITEM 1. FINANCIAL STATEMENTS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FOR THE PERIODS ENDED FEBRUARY 27, 2021 AND FEBRUARY 29, 2020</w:t>
      </w:r>
      <w:r>
        <w:rPr>
          <w:rFonts w:ascii="Arial" w:cs="Arial" w:eastAsia="Arial" w:hAnsi="Arial"/>
          <w:sz w:val="18"/>
          <w:szCs w:val="18"/>
          <w:color w:val="auto"/>
        </w:rPr>
        <w:t xml:space="preserve"> – </w:t>
      </w:r>
      <w:r>
        <w:rPr>
          <w:rFonts w:ascii="Arial" w:cs="Arial" w:eastAsia="Arial" w:hAnsi="Arial"/>
          <w:sz w:val="18"/>
          <w:szCs w:val="18"/>
          <w:u w:val="single" w:color="auto"/>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5"/>
          </w:tcPr>
          <w:p>
            <w:pPr>
              <w:jc w:val="right"/>
              <w:ind w:right="890"/>
              <w:spacing w:after="0"/>
              <w:rPr>
                <w:sz w:val="20"/>
                <w:szCs w:val="20"/>
                <w:color w:val="auto"/>
              </w:rPr>
            </w:pPr>
            <w:r>
              <w:rPr>
                <w:rFonts w:ascii="Arial" w:cs="Arial" w:eastAsia="Arial" w:hAnsi="Arial"/>
                <w:sz w:val="18"/>
                <w:szCs w:val="18"/>
                <w:b w:val="1"/>
                <w:bCs w:val="1"/>
                <w:color w:val="auto"/>
              </w:rPr>
              <w:t>Quarter Ended</w:t>
            </w:r>
          </w:p>
        </w:tc>
        <w:tc>
          <w:tcPr>
            <w:tcW w:w="100" w:type="dxa"/>
            <w:vAlign w:val="bottom"/>
          </w:tcPr>
          <w:p>
            <w:pPr>
              <w:spacing w:after="0"/>
              <w:rPr>
                <w:sz w:val="20"/>
                <w:szCs w:val="20"/>
                <w:color w:val="auto"/>
              </w:rPr>
            </w:pPr>
          </w:p>
        </w:tc>
      </w:tr>
      <w:tr>
        <w:trPr>
          <w:trHeight w:val="407"/>
        </w:trPr>
        <w:tc>
          <w:tcPr>
            <w:tcW w:w="8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8"/>
              </w:rPr>
              <w:t>February 27,</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7"/>
              </w:rPr>
              <w:t>February 29,</w:t>
            </w:r>
          </w:p>
        </w:tc>
      </w:tr>
      <w:tr>
        <w:trPr>
          <w:trHeight w:val="234"/>
        </w:trPr>
        <w:tc>
          <w:tcPr>
            <w:tcW w:w="80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r>
      <w:tr>
        <w:trPr>
          <w:trHeight w:val="209"/>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180"/>
              <w:spacing w:after="0"/>
              <w:rPr>
                <w:sz w:val="20"/>
                <w:szCs w:val="20"/>
                <w:color w:val="auto"/>
              </w:rPr>
            </w:pPr>
            <w:r>
              <w:rPr>
                <w:rFonts w:ascii="Arial" w:cs="Arial" w:eastAsia="Arial" w:hAnsi="Arial"/>
                <w:sz w:val="18"/>
                <w:szCs w:val="18"/>
                <w:color w:val="auto"/>
              </w:rPr>
              <w:t>Furniture and accessories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101,655</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98,942</w:t>
            </w:r>
          </w:p>
        </w:tc>
      </w:tr>
      <w:tr>
        <w:trPr>
          <w:trHeight w:val="216"/>
        </w:trPr>
        <w:tc>
          <w:tcPr>
            <w:tcW w:w="8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12,018</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13,178</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800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113,673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112,120</w:t>
            </w:r>
          </w:p>
        </w:tc>
      </w:tr>
      <w:tr>
        <w:trPr>
          <w:trHeight w:val="216"/>
        </w:trPr>
        <w:tc>
          <w:tcPr>
            <w:tcW w:w="8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Cost of furniture and accessories sold</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48,252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45,270</w:t>
            </w:r>
          </w:p>
        </w:tc>
      </w:tr>
      <w:tr>
        <w:trPr>
          <w:trHeight w:val="216"/>
        </w:trPr>
        <w:tc>
          <w:tcPr>
            <w:tcW w:w="8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Selling, general and administrative expenses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59,400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64,640</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 from operations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2,210</w:t>
            </w:r>
          </w:p>
        </w:tc>
      </w:tr>
      <w:tr>
        <w:trPr>
          <w:trHeight w:val="216"/>
        </w:trPr>
        <w:tc>
          <w:tcPr>
            <w:tcW w:w="8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Other loss, net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(337)</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(362)</w:t>
            </w:r>
          </w:p>
        </w:tc>
      </w:tr>
      <w:tr>
        <w:trPr>
          <w:trHeight w:val="209"/>
        </w:trPr>
        <w:tc>
          <w:tcPr>
            <w:tcW w:w="80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Income before income taxes</w:t>
            </w: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5,684</w:t>
            </w: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1,848</w:t>
            </w: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180"/>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1,673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638</w:t>
            </w:r>
          </w:p>
        </w:tc>
      </w:tr>
      <w:tr>
        <w:trPr>
          <w:trHeight w:val="210"/>
        </w:trPr>
        <w:tc>
          <w:tcPr>
            <w:tcW w:w="80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4,011</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1,210</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8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Basic earnings per share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0.40</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0.12</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Diluted earnings per share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0.40</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0.12</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Regular dividends per share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0.125</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0.125</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Special dividend per share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0.25</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CONDENSED 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FOR THE PERIODS ENDED FEBRUARY 27, 2021 AND FEBRUARY 29, 2020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5"/>
          </w:tcPr>
          <w:p>
            <w:pPr>
              <w:jc w:val="right"/>
              <w:ind w:right="890"/>
              <w:spacing w:after="0"/>
              <w:rPr>
                <w:sz w:val="20"/>
                <w:szCs w:val="20"/>
                <w:color w:val="auto"/>
              </w:rPr>
            </w:pPr>
            <w:r>
              <w:rPr>
                <w:rFonts w:ascii="Arial" w:cs="Arial" w:eastAsia="Arial" w:hAnsi="Arial"/>
                <w:sz w:val="18"/>
                <w:szCs w:val="18"/>
                <w:b w:val="1"/>
                <w:bCs w:val="1"/>
                <w:color w:val="auto"/>
              </w:rPr>
              <w:t>Quarter Ended</w:t>
            </w:r>
          </w:p>
        </w:tc>
        <w:tc>
          <w:tcPr>
            <w:tcW w:w="100" w:type="dxa"/>
            <w:vAlign w:val="bottom"/>
          </w:tcPr>
          <w:p>
            <w:pPr>
              <w:spacing w:after="0"/>
              <w:rPr>
                <w:sz w:val="20"/>
                <w:szCs w:val="20"/>
                <w:color w:val="auto"/>
              </w:rPr>
            </w:pPr>
          </w:p>
        </w:tc>
      </w:tr>
      <w:tr>
        <w:trPr>
          <w:trHeight w:val="407"/>
        </w:trPr>
        <w:tc>
          <w:tcPr>
            <w:tcW w:w="8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8"/>
              </w:rPr>
              <w:t>February 27,</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7"/>
              </w:rPr>
              <w:t>February 29,</w:t>
            </w:r>
          </w:p>
        </w:tc>
      </w:tr>
      <w:tr>
        <w:trPr>
          <w:trHeight w:val="234"/>
        </w:trPr>
        <w:tc>
          <w:tcPr>
            <w:tcW w:w="80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r>
      <w:tr>
        <w:trPr>
          <w:trHeight w:val="209"/>
        </w:trPr>
        <w:tc>
          <w:tcPr>
            <w:tcW w:w="8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4,011</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1,210</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 associated with Long Term Cash Awards (LTCA)</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Income taxes related to LTCA</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 associated with supplemental executive retirement defined benefit plan (SERP)</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Income taxes related to SERP</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80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Other comprehensive income, net of tax</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25</w:t>
            </w:r>
          </w:p>
        </w:tc>
      </w:tr>
      <w:tr>
        <w:trPr>
          <w:trHeight w:val="209"/>
        </w:trPr>
        <w:tc>
          <w:tcPr>
            <w:tcW w:w="80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Total comprehensive income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4,046</w:t>
            </w:r>
          </w:p>
        </w:tc>
        <w:tc>
          <w:tcPr>
            <w:tcW w:w="12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1,235</w:t>
            </w:r>
          </w:p>
        </w:tc>
      </w:tr>
      <w:tr>
        <w:trPr>
          <w:trHeight w:val="20"/>
        </w:trPr>
        <w:tc>
          <w:tcPr>
            <w:tcW w:w="8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 AND NOVEMBER 28, 2020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(Unaudited)</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3"/>
              </w:rPr>
              <w:t>February 27,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3"/>
              </w:rPr>
              <w:t>November 28,</w:t>
            </w:r>
          </w:p>
        </w:tc>
      </w:tr>
      <w:tr>
        <w:trPr>
          <w:trHeight w:val="234"/>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9"/>
              </w:rPr>
              <w:t>2021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r>
      <w:tr>
        <w:trPr>
          <w:trHeight w:val="169"/>
        </w:trPr>
        <w:tc>
          <w:tcPr>
            <w:tcW w:w="800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1"/>
        </w:trPr>
        <w:tc>
          <w:tcPr>
            <w:tcW w:w="48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800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45,033</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45,799</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Short-term investments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17,715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17,715</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24,720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22,340</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Inventories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62,936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54,886</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Recoverable income taxes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9,666</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Other current assets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11,798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10,272</w:t>
            </w:r>
          </w:p>
        </w:tc>
        <w:tc>
          <w:tcPr>
            <w:tcW w:w="100" w:type="dxa"/>
            <w:vAlign w:val="bottom"/>
          </w:tcPr>
          <w:p>
            <w:pPr>
              <w:spacing w:after="0"/>
              <w:rPr>
                <w:sz w:val="18"/>
                <w:szCs w:val="18"/>
                <w:color w:val="auto"/>
              </w:rPr>
            </w:pPr>
          </w:p>
        </w:tc>
      </w:tr>
      <w:tr>
        <w:trPr>
          <w:trHeight w:val="210"/>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assets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171,033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160,678</w:t>
            </w:r>
          </w:p>
        </w:tc>
      </w:tr>
      <w:tr>
        <w:trPr>
          <w:trHeight w:val="209"/>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92,772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90,917</w:t>
            </w: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4,587</w:t>
            </w:r>
          </w:p>
        </w:tc>
      </w:tr>
      <w:tr>
        <w:trPr>
          <w:trHeight w:val="216"/>
        </w:trPr>
        <w:tc>
          <w:tcPr>
            <w:tcW w:w="8000" w:type="dxa"/>
            <w:vAlign w:val="bottom"/>
            <w:gridSpan w:val="3"/>
          </w:tcPr>
          <w:p>
            <w:pPr>
              <w:spacing w:after="0"/>
              <w:rPr>
                <w:sz w:val="20"/>
                <w:szCs w:val="20"/>
                <w:color w:val="auto"/>
              </w:rPr>
            </w:pPr>
            <w:r>
              <w:rPr>
                <w:rFonts w:ascii="Arial" w:cs="Arial" w:eastAsia="Arial" w:hAnsi="Arial"/>
                <w:sz w:val="18"/>
                <w:szCs w:val="18"/>
                <w:color w:val="auto"/>
              </w:rPr>
              <w:t>Goodwill and other intangible assets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23,732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23,827</w:t>
            </w: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Right of use assets under operating leases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111,700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116,903</w:t>
            </w:r>
          </w:p>
        </w:tc>
      </w:tr>
      <w:tr>
        <w:trPr>
          <w:trHeight w:val="216"/>
        </w:trPr>
        <w:tc>
          <w:tcPr>
            <w:tcW w:w="8000" w:type="dxa"/>
            <w:vAlign w:val="bottom"/>
            <w:gridSpan w:val="3"/>
          </w:tcPr>
          <w:p>
            <w:pPr>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5,637</w:t>
            </w:r>
          </w:p>
        </w:tc>
        <w:tc>
          <w:tcPr>
            <w:tcW w:w="100" w:type="dxa"/>
            <w:vAlign w:val="bottom"/>
          </w:tcPr>
          <w:p>
            <w:pPr>
              <w:spacing w:after="0"/>
              <w:rPr>
                <w:sz w:val="18"/>
                <w:szCs w:val="18"/>
                <w:color w:val="auto"/>
              </w:rPr>
            </w:pPr>
          </w:p>
        </w:tc>
      </w:tr>
      <w:tr>
        <w:trPr>
          <w:trHeight w:val="210"/>
        </w:trPr>
        <w:tc>
          <w:tcPr>
            <w:tcW w:w="80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long-term assets</w:t>
            </w: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145,156</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150,954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408,961</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402,549</w:t>
            </w:r>
          </w:p>
        </w:tc>
      </w:tr>
      <w:tr>
        <w:trPr>
          <w:trHeight w:val="20"/>
        </w:trPr>
        <w:tc>
          <w:tcPr>
            <w:tcW w:w="4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8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c>
          <w:tcPr>
            <w:tcW w:w="5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175"/>
        </w:trPr>
        <w:tc>
          <w:tcPr>
            <w:tcW w:w="8000" w:type="dxa"/>
            <w:vAlign w:val="bottom"/>
            <w:gridSpan w:val="3"/>
          </w:tcPr>
          <w:p>
            <w:pPr>
              <w:spacing w:after="0" w:line="176" w:lineRule="exact"/>
              <w:rPr>
                <w:sz w:val="20"/>
                <w:szCs w:val="20"/>
                <w:color w:val="auto"/>
              </w:rPr>
            </w:pPr>
            <w:r>
              <w:rPr>
                <w:rFonts w:ascii="Arial" w:cs="Arial" w:eastAsia="Arial" w:hAnsi="Arial"/>
                <w:sz w:val="18"/>
                <w:szCs w:val="18"/>
                <w:b w:val="1"/>
                <w:bCs w:val="1"/>
                <w:color w:val="auto"/>
              </w:rPr>
              <w:t>Liabilities and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16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480" w:type="dxa"/>
            <w:vAlign w:val="bottom"/>
            <w:tcBorders>
              <w:top w:val="single" w:sz="8" w:color="auto"/>
            </w:tcBorders>
          </w:tcPr>
          <w:p>
            <w:pPr>
              <w:spacing w:after="0" w:line="20" w:lineRule="exact"/>
              <w:rPr>
                <w:sz w:val="1"/>
                <w:szCs w:val="1"/>
                <w:color w:val="auto"/>
              </w:rPr>
            </w:pPr>
          </w:p>
        </w:tc>
        <w:tc>
          <w:tcPr>
            <w:tcW w:w="2300" w:type="dxa"/>
            <w:vAlign w:val="bottom"/>
            <w:tcBorders>
              <w:top w:val="single" w:sz="8" w:color="auto"/>
            </w:tcBorders>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28,172</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23,426</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14,418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16,964</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Customer deposits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44,674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39,762</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Current portion operating lease obligations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27,088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27,078</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Other current liabilites and accrued expenses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13,088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11,141</w:t>
            </w:r>
          </w:p>
        </w:tc>
        <w:tc>
          <w:tcPr>
            <w:tcW w:w="100" w:type="dxa"/>
            <w:vAlign w:val="bottom"/>
          </w:tcPr>
          <w:p>
            <w:pPr>
              <w:spacing w:after="0"/>
              <w:rPr>
                <w:sz w:val="18"/>
                <w:szCs w:val="18"/>
                <w:color w:val="auto"/>
              </w:rPr>
            </w:pPr>
          </w:p>
        </w:tc>
      </w:tr>
      <w:tr>
        <w:trPr>
          <w:trHeight w:val="209"/>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127,440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118,371</w:t>
            </w:r>
          </w:p>
        </w:tc>
      </w:tr>
      <w:tr>
        <w:trPr>
          <w:trHeight w:val="210"/>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Post employment benefit obligations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12,347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12,089</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Long-term portion of operating lease obligations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105,990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111,972</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Other long-term liabilities</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5,483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2,087</w:t>
            </w:r>
          </w:p>
        </w:tc>
        <w:tc>
          <w:tcPr>
            <w:tcW w:w="100" w:type="dxa"/>
            <w:vAlign w:val="bottom"/>
          </w:tcPr>
          <w:p>
            <w:pPr>
              <w:spacing w:after="0"/>
              <w:rPr>
                <w:sz w:val="18"/>
                <w:szCs w:val="18"/>
                <w:color w:val="auto"/>
              </w:rPr>
            </w:pPr>
          </w:p>
        </w:tc>
      </w:tr>
      <w:tr>
        <w:trPr>
          <w:trHeight w:val="209"/>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long-term liabilities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123,820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126,148</w:t>
            </w:r>
          </w:p>
        </w:tc>
      </w:tr>
      <w:tr>
        <w:trPr>
          <w:trHeight w:val="210"/>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Common stock</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49,567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49,714</w:t>
            </w:r>
          </w:p>
        </w:tc>
      </w:tr>
      <w:tr>
        <w:trPr>
          <w:trHeight w:val="216"/>
        </w:trPr>
        <w:tc>
          <w:tcPr>
            <w:tcW w:w="80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Retained earnings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109,493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109,710</w:t>
            </w:r>
          </w:p>
        </w:tc>
      </w:tr>
      <w:tr>
        <w:trPr>
          <w:trHeight w:val="216"/>
        </w:trPr>
        <w:tc>
          <w:tcPr>
            <w:tcW w:w="8000" w:type="dxa"/>
            <w:vAlign w:val="bottom"/>
            <w:gridSpan w:val="3"/>
          </w:tcPr>
          <w:p>
            <w:pPr>
              <w:ind w:left="18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(1,359)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Arial" w:cs="Arial" w:eastAsia="Arial" w:hAnsi="Arial"/>
                <w:sz w:val="18"/>
                <w:szCs w:val="18"/>
                <w:color w:val="auto"/>
              </w:rPr>
              <w:t>(1,394)</w:t>
            </w:r>
          </w:p>
        </w:tc>
      </w:tr>
      <w:tr>
        <w:trPr>
          <w:trHeight w:val="209"/>
        </w:trPr>
        <w:tc>
          <w:tcPr>
            <w:tcW w:w="80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157,701</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158,030</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408,961</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402,549</w:t>
            </w:r>
          </w:p>
        </w:tc>
      </w:tr>
      <w:tr>
        <w:trPr>
          <w:trHeight w:val="20"/>
        </w:trPr>
        <w:tc>
          <w:tcPr>
            <w:tcW w:w="4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FOR THE PERIODS ENDED FEBRUARY 27, 2021 AND FEBRUARY 29, 2020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0" w:type="dxa"/>
            <w:vAlign w:val="bottom"/>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1860" w:type="dxa"/>
            <w:vAlign w:val="bottom"/>
            <w:tcBorders>
              <w:bottom w:val="single" w:sz="8" w:color="auto"/>
            </w:tcBorders>
            <w:gridSpan w:val="4"/>
          </w:tcPr>
          <w:p>
            <w:pPr>
              <w:ind w:left="440"/>
              <w:spacing w:after="0"/>
              <w:rPr>
                <w:sz w:val="20"/>
                <w:szCs w:val="20"/>
                <w:color w:val="auto"/>
              </w:rPr>
            </w:pPr>
            <w:r>
              <w:rPr>
                <w:rFonts w:ascii="Arial" w:cs="Arial" w:eastAsia="Arial" w:hAnsi="Arial"/>
                <w:sz w:val="18"/>
                <w:szCs w:val="18"/>
                <w:b w:val="1"/>
                <w:bCs w:val="1"/>
                <w:color w:val="auto"/>
              </w:rPr>
              <w:t>Quarter Ended</w:t>
            </w:r>
          </w:p>
        </w:tc>
        <w:tc>
          <w:tcPr>
            <w:tcW w:w="7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8000" w:type="dxa"/>
            <w:vAlign w:val="bottom"/>
          </w:tcPr>
          <w:p>
            <w:pPr>
              <w:spacing w:after="0"/>
              <w:rPr>
                <w:sz w:val="18"/>
                <w:szCs w:val="18"/>
                <w:color w:val="auto"/>
              </w:rPr>
            </w:pPr>
          </w:p>
        </w:tc>
        <w:tc>
          <w:tcPr>
            <w:tcW w:w="16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3"/>
              </w:rPr>
              <w:t>February 27, 2021</w:t>
            </w:r>
          </w:p>
        </w:tc>
        <w:tc>
          <w:tcPr>
            <w:tcW w:w="80" w:type="dxa"/>
            <w:vAlign w:val="bottom"/>
          </w:tcPr>
          <w:p>
            <w:pPr>
              <w:spacing w:after="0"/>
              <w:rPr>
                <w:sz w:val="18"/>
                <w:szCs w:val="18"/>
                <w:color w:val="auto"/>
              </w:rPr>
            </w:pPr>
          </w:p>
        </w:tc>
        <w:tc>
          <w:tcPr>
            <w:tcW w:w="1460" w:type="dxa"/>
            <w:vAlign w:val="bottom"/>
            <w:gridSpan w:val="2"/>
          </w:tcPr>
          <w:p>
            <w:pPr>
              <w:ind w:left="20"/>
              <w:spacing w:after="0"/>
              <w:rPr>
                <w:sz w:val="20"/>
                <w:szCs w:val="20"/>
                <w:color w:val="auto"/>
              </w:rPr>
            </w:pPr>
            <w:r>
              <w:rPr>
                <w:rFonts w:ascii="Arial" w:cs="Arial" w:eastAsia="Arial" w:hAnsi="Arial"/>
                <w:sz w:val="18"/>
                <w:szCs w:val="18"/>
                <w:b w:val="1"/>
                <w:bCs w:val="1"/>
                <w:color w:val="auto"/>
                <w:w w:val="93"/>
              </w:rPr>
              <w:t>February 29, 2020</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5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Net income</w:t>
            </w:r>
          </w:p>
        </w:tc>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4,011</w:t>
            </w:r>
          </w:p>
        </w:tc>
        <w:tc>
          <w:tcPr>
            <w:tcW w:w="120" w:type="dxa"/>
            <w:vAlign w:val="bottom"/>
          </w:tcPr>
          <w:p>
            <w:pPr>
              <w:spacing w:after="0"/>
              <w:rPr>
                <w:sz w:val="18"/>
                <w:szCs w:val="18"/>
                <w:color w:val="auto"/>
              </w:rPr>
            </w:pPr>
          </w:p>
        </w:tc>
        <w:tc>
          <w:tcPr>
            <w:tcW w:w="8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1,210</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Depreciation and amortization</w:t>
            </w:r>
          </w:p>
        </w:tc>
        <w:tc>
          <w:tcPr>
            <w:tcW w:w="5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3,331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3,623</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Gain on lease modification</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(152)</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(Gain) loss on sale of property and equipment</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(4)</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(58)</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(125)</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Other, net</w:t>
            </w:r>
          </w:p>
        </w:tc>
        <w:tc>
          <w:tcPr>
            <w:tcW w:w="5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274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321</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Accounts receivable</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(2,380)</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(1,873)</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Inventories</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(8,050)</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(1,213)</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Other current assets</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(768)</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(536)</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Right of use assets under operating leases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6,340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6,721</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Customer deposits</w:t>
            </w:r>
          </w:p>
        </w:tc>
        <w:tc>
          <w:tcPr>
            <w:tcW w:w="5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4,912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(1,292)</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Accounts payable and other liabilities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(2,266)</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Obligations under operating leases</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(7,072)</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(9,603)</w:t>
            </w:r>
          </w:p>
        </w:tc>
      </w:tr>
      <w:tr>
        <w:trPr>
          <w:trHeight w:val="20"/>
        </w:trPr>
        <w:tc>
          <w:tcPr>
            <w:tcW w:w="80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(5,243)</w:t>
            </w:r>
          </w:p>
        </w:tc>
      </w:tr>
      <w:tr>
        <w:trPr>
          <w:trHeight w:val="210"/>
        </w:trPr>
        <w:tc>
          <w:tcPr>
            <w:tcW w:w="8000" w:type="dxa"/>
            <w:vAlign w:val="bottom"/>
            <w:tcBorders>
              <w:top w:val="single" w:sz="8" w:color="CCEEFF"/>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(895)</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(1,340)</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sales of property and equipment</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1,697</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Purchases of investments</w:t>
            </w:r>
          </w:p>
        </w:tc>
        <w:tc>
          <w:tcPr>
            <w:tcW w:w="5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(241)</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(302)</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(193)</w:t>
            </w:r>
          </w:p>
        </w:tc>
      </w:tr>
      <w:tr>
        <w:trPr>
          <w:trHeight w:val="20"/>
        </w:trPr>
        <w:tc>
          <w:tcPr>
            <w:tcW w:w="800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8000" w:type="dxa"/>
            <w:vAlign w:val="bottom"/>
          </w:tcPr>
          <w:p>
            <w:pPr>
              <w:ind w:left="340"/>
              <w:spacing w:after="0"/>
              <w:rPr>
                <w:sz w:val="20"/>
                <w:szCs w:val="20"/>
                <w:color w:val="auto"/>
              </w:rPr>
            </w:pPr>
            <w:r>
              <w:rPr>
                <w:rFonts w:ascii="Arial" w:cs="Arial" w:eastAsia="Arial" w:hAnsi="Arial"/>
                <w:sz w:val="18"/>
                <w:szCs w:val="18"/>
                <w:b w:val="1"/>
                <w:bCs w:val="1"/>
                <w:color w:val="auto"/>
              </w:rPr>
              <w:t>Net cash used in investing activities</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(1,189)</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(77)</w:t>
            </w:r>
          </w:p>
        </w:tc>
      </w:tr>
      <w:tr>
        <w:trPr>
          <w:trHeight w:val="210"/>
        </w:trPr>
        <w:tc>
          <w:tcPr>
            <w:tcW w:w="800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5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Cash dividends</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(3,718)</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(1,260)</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 issuance of common stock</w:t>
            </w:r>
          </w:p>
        </w:tc>
        <w:tc>
          <w:tcPr>
            <w:tcW w:w="5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75</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(534)</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(766)</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(219)</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(215)</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Repayments of finance lease obligations</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(173)</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Repayments of notes payable</w:t>
            </w:r>
          </w:p>
        </w:tc>
        <w:tc>
          <w:tcPr>
            <w:tcW w:w="5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used in financing activities</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(4,561)</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(2,178)</w:t>
            </w:r>
          </w:p>
        </w:tc>
      </w:tr>
      <w:tr>
        <w:trPr>
          <w:trHeight w:val="20"/>
        </w:trPr>
        <w:tc>
          <w:tcPr>
            <w:tcW w:w="800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54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(766)</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(7,498)</w:t>
            </w:r>
          </w:p>
        </w:tc>
      </w:tr>
      <w:tr>
        <w:trPr>
          <w:trHeight w:val="216"/>
        </w:trPr>
        <w:tc>
          <w:tcPr>
            <w:tcW w:w="8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beginning of period</w:t>
            </w:r>
          </w:p>
        </w:tc>
        <w:tc>
          <w:tcPr>
            <w:tcW w:w="5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45,799</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19,687</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8000" w:type="dxa"/>
            <w:vAlign w:val="bottom"/>
          </w:tcPr>
          <w:p>
            <w:pPr>
              <w:spacing w:after="0"/>
              <w:rPr>
                <w:sz w:val="20"/>
                <w:szCs w:val="20"/>
                <w:color w:val="auto"/>
              </w:rPr>
            </w:pPr>
            <w:r>
              <w:rPr>
                <w:rFonts w:ascii="Arial" w:cs="Arial" w:eastAsia="Arial" w:hAnsi="Arial"/>
                <w:sz w:val="18"/>
                <w:szCs w:val="18"/>
                <w:b w:val="1"/>
                <w:bCs w:val="1"/>
                <w:color w:val="auto"/>
              </w:rPr>
              <w:t>Cash and cash equivalents - end of period</w:t>
            </w:r>
          </w:p>
        </w:tc>
        <w:tc>
          <w:tcPr>
            <w:tcW w:w="540" w:type="dxa"/>
            <w:vAlign w:val="bottom"/>
          </w:tcPr>
          <w:p>
            <w:pPr>
              <w:jc w:val="right"/>
              <w:ind w:right="35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45,033</w:t>
            </w:r>
          </w:p>
        </w:tc>
        <w:tc>
          <w:tcPr>
            <w:tcW w:w="120" w:type="dxa"/>
            <w:vAlign w:val="bottom"/>
          </w:tcPr>
          <w:p>
            <w:pPr>
              <w:spacing w:after="0"/>
              <w:rPr>
                <w:sz w:val="18"/>
                <w:szCs w:val="18"/>
                <w:color w:val="auto"/>
              </w:rPr>
            </w:pPr>
          </w:p>
        </w:tc>
        <w:tc>
          <w:tcPr>
            <w:tcW w:w="8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12,189</w:t>
            </w:r>
          </w:p>
        </w:tc>
      </w:tr>
      <w:tr>
        <w:trPr>
          <w:trHeight w:val="20"/>
        </w:trPr>
        <w:tc>
          <w:tcPr>
            <w:tcW w:w="80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References to “ASC” included hereinafter refer to the Accounting Standards Codification established by the Financial Accounting Standards Board (“FASB”) as the source of authoritative GAAP.</w:t>
      </w:r>
    </w:p>
    <w:p>
      <w:pPr>
        <w:spacing w:after="0" w:line="170"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nor any other of our counterparties represent VIEs.</w:t>
      </w:r>
    </w:p>
    <w:p>
      <w:pPr>
        <w:spacing w:after="0" w:line="15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Revenue from the sale of furniture and accessories is reported in the accompanying condensed consolidated statements of income net of estimates for returns and allowances.</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Revenues from logistical services are generated by our wholly-owned subsidiary, Zenith Freight Lines, LLC (“Zenith”). Sales of logistical services from Zenith to our wholesale and retail segments have been eliminated in consolidation, and Zenith’s operating costs and expenses are included in selling, general and administrative expenses in our condensed consolidated statements of income.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Effective as of the beginning of fiscal 2021, we have adopted Accounting Standards Update No. 2016-13, Financial Instruments – Credit Losses (Topic 326): Measurement of Credit Losses on Financial Instruments (“ASU 2016-13”). The guidance in ASU 2016-13 replaces the incurred loss impairment methodology under current GAAP. The new impairment model requires immediate recognition of estimated credit losses expected to occur for most financial assets and certain other instruments. We determined that the guidance in ASU 2016-13 applied to our trade receivables and contract assets, and that there was no material impact to our financial condition or results of operations as a result of the adoption.</w:t>
      </w:r>
    </w:p>
    <w:p>
      <w:pPr>
        <w:spacing w:after="0" w:line="176"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Effective as of the beginning of fiscal 2021, we have adopted Accounting Standards Update No. 2018-15, Accounting Standards Update No. 2018-15 – Intangibles - Goodwill and Other - Internal-Use Software (Subtopic 350-40): Customer's Accounting for Implementation Costs Incurred in a Cloud Computing Arrangement That Is a Service Contract, to help entities evaluate the accounting for fees paid by a customer in a cloud computing arrangement (hosting arrangement) by providing guidance for determining when the arrangement includes a software license. The amendments in ASU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 for the service element of a hosting arrangement that is a service contract is not affected by the amendments in ASU 2018-15. We adopted ASU 2018-15 on a prospective basis and the adoption did not have a material impact upon our financial position or results of operations.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COVID-19 Pandemic Upon our Financial Condition and Results of Operations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 March 11, 2020, the World Health Organization declared the current coronavirus (“COVID-19”) outbreak to be a global pandemic. In response to this declaration and the rapid spread of COVID-19 within the United States, federal, state and local governments throughout the country imposed varying degrees of restrictions on social and commercial activity to promote social distancing in an effort to slow the spread of the illness. These measures had a significant adverse impact upon many sectors of the economy, including non-essential retail commerce, beginning in our second fiscal quarter of 2020. Therefore, our results of operations for the quarter ended February 29, 2020 were not impacted by COVID-19.</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fiscal 2020, in response to the restrictive measures imposed by governmental authorities and for the protection of our employees and customers, we temporarily closed our dedicated stores, our manufacturing locations and many of our warehouses for several weeks primarily during the second fiscal quarter. This extended period of suspended operations had had a material adverse impact upon our results of operations during the second fiscal quarter and resulted in a significant net loss for the year ended November 28, 2020. However, since restarting our manufacturing operations and reopening stores, we have seen a significant improvement in business conditions which allowed us to return to overall profitability for the third and fourth fiscal quarters of 2020 continuing into the first quarter of fiscal 2021. Tempering these improvements are the continuing logistical challenges faced by the entire home furnishings industry resulting from COVID-related labor shortages and supply chain disruptions creating significant delays in order fulfillment and increasing backlogs.</w:t>
      </w:r>
    </w:p>
    <w:p>
      <w:pPr>
        <w:spacing w:after="0" w:line="192"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Whereas most state and local governments have eased restrictions on commercial retail activity and mass vaccination programs in the U.S. are underway, it is nevertheless possible that a resurgence in COVID-19 cases could prompt a return to tighter restrictions in certain areas of the country. Furthermore, while the home furnishings industry has fared much better during the pandemic than certain other sectors of the economy, continued economic weakness may eventually have an adverse impact upon our business, and order cancellations could result if the present delays in order fulfillment continue for an extended period of time. Therefore, significant uncertainty remains regarding the ongoing impact of the COVID-19 outbreak upon our financial condition and future results of operations, as well as upon the significant estimates and assumptions we utilize in reporting certain assets and liabilities.</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Interim Financial Presentation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All intercompany accounts and transactions have been eliminated in the condensed consolidated financial statements. The results of operations for the three months ended February 27, 2021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28, 2020.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effective tax rates for the quarters ended February 27, 2021 and February 29, 2020 of 29.4% and 34.5%, respectively, differ from the federal statutory rate of 21% primarily due to the effects of state income taxes and various permanent differences, including tax deficiencies of $135 and $114 during the quarters ended February 27, 2021 and February 29, 2020, respectively, arising from stock-based compensation.</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Financial Instruments and Fair Value Measurements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financial instruments include cash and cash equivalents, short-term investments in certificates of deposit (CDs), accounts receivable, and accounts payable. Because of their short maturities, the carrying amounts of cash and cash equivalents, short-term investments in CDs, accounts receivable, and accounts payable approximate fair value.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Investments</w:t>
      </w:r>
    </w:p>
    <w:p>
      <w:pPr>
        <w:spacing w:after="0" w:line="22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Our short-term investments of $17,715 at February 27, 2021 and November 28, 2020 consisted of CDs. At February 27, 2021, the CDs had original terms averaging eight months, bearing interest at rates ranging from 0.05% to 1.20%. At February 27, 2021, the weighted average remaining time to maturity of the CDs was approximately five months and the weighted average yield of the CDs was approximately 0.12%. Each CD is placed with a federally insured financial institution and all deposits are within federal deposit insurance limits. Due to the nature of these investments and their relatively short maturities, the carrying amount of the short-term investments at February 27, 2021 and November 28, 2020 approximates their fair value.</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Measurement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The Company accounts for items measured at fair value in accordance with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1 Inputs</w:t>
      </w:r>
      <w:r>
        <w:rPr>
          <w:rFonts w:ascii="Arial" w:cs="Arial" w:eastAsia="Arial" w:hAnsi="Arial"/>
          <w:sz w:val="18"/>
          <w:szCs w:val="18"/>
          <w:color w:val="auto"/>
        </w:rPr>
        <w:t>– Quoted prices for identical instruments in active markets.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Level 2 Inputs</w:t>
      </w:r>
      <w:r>
        <w:rPr>
          <w:rFonts w:ascii="Arial" w:cs="Arial" w:eastAsia="Arial" w:hAnsi="Arial"/>
          <w:sz w:val="18"/>
          <w:szCs w:val="18"/>
          <w:color w:val="auto"/>
        </w:rPr>
        <w:t>– Quoted prices for similar instruments in active markets; quoted prices for identical or similar instruments in markets that are not active;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model-derived valuations whose inputs are observable or whose significant value drivers are observable.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3 Inputs</w:t>
      </w:r>
      <w:r>
        <w:rPr>
          <w:rFonts w:ascii="Arial" w:cs="Arial" w:eastAsia="Arial" w:hAnsi="Arial"/>
          <w:sz w:val="18"/>
          <w:szCs w:val="18"/>
          <w:color w:val="auto"/>
        </w:rPr>
        <w:t>– Instruments with primarily unobservable value drivers.</w:t>
      </w:r>
    </w:p>
    <w:p>
      <w:pPr>
        <w:spacing w:after="0" w:line="200" w:lineRule="exact"/>
        <w:rPr>
          <w:sz w:val="20"/>
          <w:szCs w:val="20"/>
          <w:color w:val="auto"/>
        </w:rPr>
      </w:pPr>
    </w:p>
    <w:p>
      <w:pPr>
        <w:spacing w:after="0" w:line="241"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We believe that the carrying amounts of our current assets and current liabilities approximate fair value due to the short-term nature of these items. Our primary non-recurring fair value estimates typically involve business acquisitions or the impairment of long-lived assets which involve a combination of Level 2 and Level 3 inputs.</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80" w:type="dxa"/>
            <w:vAlign w:val="bottom"/>
            <w:gridSpan w:val="2"/>
          </w:tcPr>
          <w:p>
            <w:pPr>
              <w:spacing w:after="0"/>
              <w:rPr>
                <w:sz w:val="20"/>
                <w:szCs w:val="20"/>
                <w:color w:val="auto"/>
              </w:rPr>
            </w:pPr>
            <w:r>
              <w:rPr>
                <w:rFonts w:ascii="Arial" w:cs="Arial" w:eastAsia="Arial" w:hAnsi="Arial"/>
                <w:sz w:val="18"/>
                <w:szCs w:val="18"/>
                <w:b w:val="1"/>
                <w:bCs w:val="1"/>
                <w:color w:val="auto"/>
              </w:rPr>
              <w:t>4. Accounts Receivable</w:t>
            </w: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7280" w:type="dxa"/>
            <w:vAlign w:val="bottom"/>
            <w:gridSpan w:val="2"/>
          </w:tcPr>
          <w:p>
            <w:pPr>
              <w:spacing w:after="0"/>
              <w:rPr>
                <w:sz w:val="20"/>
                <w:szCs w:val="20"/>
                <w:color w:val="auto"/>
              </w:rPr>
            </w:pPr>
            <w:r>
              <w:rPr>
                <w:rFonts w:ascii="Arial" w:cs="Arial" w:eastAsia="Arial" w:hAnsi="Arial"/>
                <w:sz w:val="18"/>
                <w:szCs w:val="18"/>
                <w:color w:val="auto"/>
              </w:rPr>
              <w:t>Accounts receivable consists of the following:</w:t>
            </w: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500" w:type="dxa"/>
            <w:vAlign w:val="bottom"/>
          </w:tcPr>
          <w:p>
            <w:pPr>
              <w:spacing w:after="0"/>
              <w:rPr>
                <w:sz w:val="24"/>
                <w:szCs w:val="24"/>
                <w:color w:val="auto"/>
              </w:rPr>
            </w:pPr>
          </w:p>
        </w:tc>
        <w:tc>
          <w:tcPr>
            <w:tcW w:w="6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2"/>
          </w:tcPr>
          <w:p>
            <w:pPr>
              <w:jc w:val="right"/>
              <w:ind w:right="500"/>
              <w:spacing w:after="0"/>
              <w:rPr>
                <w:sz w:val="20"/>
                <w:szCs w:val="20"/>
                <w:color w:val="auto"/>
              </w:rPr>
            </w:pPr>
            <w:r>
              <w:rPr>
                <w:rFonts w:ascii="Arial" w:cs="Arial" w:eastAsia="Arial" w:hAnsi="Arial"/>
                <w:sz w:val="18"/>
                <w:szCs w:val="18"/>
                <w:color w:val="auto"/>
                <w:w w:val="99"/>
              </w:rPr>
              <w:t>February 27,</w:t>
            </w:r>
          </w:p>
        </w:tc>
        <w:tc>
          <w:tcPr>
            <w:tcW w:w="160" w:type="dxa"/>
            <w:vAlign w:val="bottom"/>
          </w:tcPr>
          <w:p>
            <w:pPr>
              <w:spacing w:after="0"/>
              <w:rPr>
                <w:sz w:val="24"/>
                <w:szCs w:val="24"/>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color w:val="auto"/>
                <w:w w:val="95"/>
              </w:rPr>
              <w:t>November 28,</w:t>
            </w:r>
          </w:p>
        </w:tc>
      </w:tr>
      <w:tr>
        <w:trPr>
          <w:trHeight w:val="230"/>
        </w:trPr>
        <w:tc>
          <w:tcPr>
            <w:tcW w:w="500" w:type="dxa"/>
            <w:vAlign w:val="bottom"/>
          </w:tcPr>
          <w:p>
            <w:pPr>
              <w:spacing w:after="0"/>
              <w:rPr>
                <w:sz w:val="20"/>
                <w:szCs w:val="20"/>
                <w:color w:val="auto"/>
              </w:rPr>
            </w:pPr>
          </w:p>
        </w:tc>
        <w:tc>
          <w:tcPr>
            <w:tcW w:w="67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r>
      <w:tr>
        <w:trPr>
          <w:trHeight w:val="209"/>
        </w:trPr>
        <w:tc>
          <w:tcPr>
            <w:tcW w:w="50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Gross accounts receivable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25,914</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23,551</w:t>
            </w:r>
          </w:p>
        </w:tc>
      </w:tr>
      <w:tr>
        <w:trPr>
          <w:trHeight w:val="216"/>
        </w:trPr>
        <w:tc>
          <w:tcPr>
            <w:tcW w:w="50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Allowance for doubtful accounts</w:t>
            </w:r>
          </w:p>
        </w:tc>
        <w:tc>
          <w:tcPr>
            <w:tcW w:w="1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(1,194)</w:t>
            </w:r>
          </w:p>
        </w:tc>
        <w:tc>
          <w:tcPr>
            <w:tcW w:w="16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(1,211)</w:t>
            </w:r>
          </w:p>
        </w:tc>
      </w:tr>
      <w:tr>
        <w:trPr>
          <w:trHeight w:val="249"/>
        </w:trPr>
        <w:tc>
          <w:tcPr>
            <w:tcW w:w="500" w:type="dxa"/>
            <w:vAlign w:val="bottom"/>
          </w:tcPr>
          <w:p>
            <w:pPr>
              <w:spacing w:after="0"/>
              <w:rPr>
                <w:sz w:val="21"/>
                <w:szCs w:val="21"/>
                <w:color w:val="auto"/>
              </w:rPr>
            </w:pPr>
          </w:p>
        </w:tc>
        <w:tc>
          <w:tcPr>
            <w:tcW w:w="6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Accounts receivable, net</w:t>
            </w: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24,720</w:t>
            </w:r>
          </w:p>
        </w:tc>
        <w:tc>
          <w:tcPr>
            <w:tcW w:w="2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22,340</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We maintain an allowance for doubtful accounts for estimated losses resulting from the inability of our customers to make required payments. The allowance for doubtful accounts is based on a review of specifically identified accounts in addition to an overall aging analysis which is applied to accounts pooled on the basis of similar risk characteristics. Judgments are made with respect to the collectibility of accounts receivable within each pool based on historical experience, current payment practices and current economic trends based on our expectations over the expected life of the receivables, which is generally ninety days or less. Actual credit losses could differ from those estimates.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allowance for doubtful accounts for the three months ended February 27, 2021 was as follows:</w:t>
      </w:r>
    </w:p>
    <w:p>
      <w:pPr>
        <w:sectPr>
          <w:pgSz w:w="11900" w:h="16838" w:orient="portrait"/>
          <w:cols w:equalWidth="0" w:num="1">
            <w:col w:w="11240"/>
          </w:cols>
          <w:pgMar w:left="320" w:top="584" w:right="339" w:bottom="1440" w:gutter="0" w:footer="0" w:header="0"/>
        </w:sectPr>
      </w:pPr>
    </w:p>
    <w:p>
      <w:pPr>
        <w:spacing w:after="0" w:line="225" w:lineRule="exact"/>
        <w:rPr>
          <w:sz w:val="20"/>
          <w:szCs w:val="20"/>
          <w:color w:val="auto"/>
        </w:rPr>
      </w:pPr>
    </w:p>
    <w:p>
      <w:pPr>
        <w:ind w:left="500"/>
        <w:spacing w:after="0"/>
        <w:rPr>
          <w:sz w:val="20"/>
          <w:szCs w:val="20"/>
          <w:color w:val="auto"/>
        </w:rPr>
      </w:pPr>
      <w:r>
        <w:rPr>
          <w:rFonts w:ascii="Arial" w:cs="Arial" w:eastAsia="Arial" w:hAnsi="Arial"/>
          <w:sz w:val="16"/>
          <w:szCs w:val="16"/>
          <w:color w:val="auto"/>
        </w:rPr>
        <w:t>Balance at November 28,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-107315</wp:posOffset>
            </wp:positionV>
            <wp:extent cx="5700395"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26" w:lineRule="exact"/>
        <w:rPr>
          <w:sz w:val="20"/>
          <w:szCs w:val="20"/>
          <w:color w:val="auto"/>
        </w:rPr>
      </w:pPr>
    </w:p>
    <w:p>
      <w:pPr>
        <w:ind w:left="500"/>
        <w:spacing w:after="0"/>
        <w:rPr>
          <w:sz w:val="20"/>
          <w:szCs w:val="20"/>
          <w:color w:val="auto"/>
        </w:rPr>
      </w:pPr>
      <w:r>
        <w:rPr>
          <w:rFonts w:ascii="Arial" w:cs="Arial" w:eastAsia="Arial" w:hAnsi="Arial"/>
          <w:sz w:val="16"/>
          <w:szCs w:val="16"/>
          <w:color w:val="auto"/>
        </w:rPr>
        <w:t>Additions charged to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20320</wp:posOffset>
            </wp:positionV>
            <wp:extent cx="5700395" cy="1454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00395" cy="145415"/>
                    </a:xfrm>
                    <a:prstGeom prst="rect">
                      <a:avLst/>
                    </a:prstGeom>
                    <a:noFill/>
                  </pic:spPr>
                </pic:pic>
              </a:graphicData>
            </a:graphic>
          </wp:anchor>
        </w:drawing>
      </w:r>
    </w:p>
    <w:p>
      <w:pPr>
        <w:spacing w:after="0" w:line="12" w:lineRule="exact"/>
        <w:rPr>
          <w:sz w:val="20"/>
          <w:szCs w:val="20"/>
          <w:color w:val="auto"/>
        </w:rPr>
      </w:pPr>
    </w:p>
    <w:p>
      <w:pPr>
        <w:ind w:left="500"/>
        <w:spacing w:after="0"/>
        <w:rPr>
          <w:sz w:val="20"/>
          <w:szCs w:val="20"/>
          <w:color w:val="auto"/>
        </w:rPr>
      </w:pPr>
      <w:r>
        <w:rPr>
          <w:rFonts w:ascii="Arial" w:cs="Arial" w:eastAsia="Arial" w:hAnsi="Arial"/>
          <w:sz w:val="17"/>
          <w:szCs w:val="17"/>
          <w:color w:val="auto"/>
        </w:rPr>
        <w:t>Write-offs against allowance</w:t>
      </w:r>
    </w:p>
    <w:p>
      <w:pPr>
        <w:spacing w:after="0" w:line="60" w:lineRule="exact"/>
        <w:rPr>
          <w:sz w:val="20"/>
          <w:szCs w:val="20"/>
          <w:color w:val="auto"/>
        </w:rPr>
      </w:pPr>
    </w:p>
    <w:p>
      <w:pPr>
        <w:ind w:left="500"/>
        <w:spacing w:after="0"/>
        <w:rPr>
          <w:sz w:val="20"/>
          <w:szCs w:val="20"/>
          <w:color w:val="auto"/>
        </w:rPr>
      </w:pPr>
      <w:r>
        <w:rPr>
          <w:rFonts w:ascii="Arial" w:cs="Arial" w:eastAsia="Arial" w:hAnsi="Arial"/>
          <w:sz w:val="16"/>
          <w:szCs w:val="16"/>
          <w:color w:val="auto"/>
        </w:rPr>
        <w:t>Balance at February 27, 2021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ind w:left="1140" w:hanging="1135"/>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1,211</w:t>
      </w:r>
    </w:p>
    <w:p>
      <w:pPr>
        <w:spacing w:after="0" w:line="23" w:lineRule="exact"/>
        <w:rPr>
          <w:rFonts w:ascii="Arial" w:cs="Arial" w:eastAsia="Arial" w:hAnsi="Arial"/>
          <w:sz w:val="18"/>
          <w:szCs w:val="18"/>
          <w:color w:val="auto"/>
        </w:rPr>
      </w:pPr>
    </w:p>
    <w:p>
      <w:pPr>
        <w:ind w:left="1360"/>
        <w:spacing w:after="0"/>
        <w:rPr>
          <w:rFonts w:ascii="Arial" w:cs="Arial" w:eastAsia="Arial" w:hAnsi="Arial"/>
          <w:sz w:val="18"/>
          <w:szCs w:val="18"/>
          <w:color w:val="auto"/>
        </w:rPr>
      </w:pPr>
      <w:r>
        <w:rPr>
          <w:rFonts w:ascii="Arial" w:cs="Arial" w:eastAsia="Arial" w:hAnsi="Arial"/>
          <w:sz w:val="18"/>
          <w:szCs w:val="18"/>
          <w:color w:val="auto"/>
        </w:rPr>
        <w:t>53</w:t>
      </w:r>
    </w:p>
    <w:p>
      <w:pPr>
        <w:spacing w:after="0" w:line="9" w:lineRule="exact"/>
        <w:rPr>
          <w:sz w:val="20"/>
          <w:szCs w:val="20"/>
          <w:color w:val="auto"/>
        </w:rPr>
      </w:pPr>
    </w:p>
    <w:p>
      <w:pPr>
        <w:jc w:val="right"/>
        <w:ind w:right="1780"/>
        <w:spacing w:after="0"/>
        <w:rPr>
          <w:sz w:val="20"/>
          <w:szCs w:val="20"/>
          <w:color w:val="auto"/>
        </w:rPr>
      </w:pPr>
      <w:r>
        <w:rPr>
          <w:rFonts w:ascii="Arial" w:cs="Arial" w:eastAsia="Arial" w:hAnsi="Arial"/>
          <w:sz w:val="18"/>
          <w:szCs w:val="18"/>
          <w:color w:val="auto"/>
        </w:rPr>
        <w:t>(70)</w:t>
      </w:r>
    </w:p>
    <w:p>
      <w:pPr>
        <w:spacing w:after="0" w:line="9" w:lineRule="exact"/>
        <w:rPr>
          <w:sz w:val="20"/>
          <w:szCs w:val="20"/>
          <w:color w:val="auto"/>
        </w:rPr>
      </w:pPr>
    </w:p>
    <w:p>
      <w:pPr>
        <w:ind w:left="1120" w:hanging="1115"/>
        <w:spacing w:after="0"/>
        <w:tabs>
          <w:tab w:leader="none" w:pos="1120" w:val="left"/>
        </w:tabs>
        <w:numPr>
          <w:ilvl w:val="0"/>
          <w:numId w:val="5"/>
        </w:numPr>
        <w:rPr>
          <w:rFonts w:ascii="Arial" w:cs="Arial" w:eastAsia="Arial" w:hAnsi="Arial"/>
          <w:sz w:val="18"/>
          <w:szCs w:val="18"/>
          <w:color w:val="auto"/>
        </w:rPr>
      </w:pPr>
      <w:r>
        <w:rPr>
          <w:rFonts w:ascii="Arial" w:cs="Arial" w:eastAsia="Arial" w:hAnsi="Arial"/>
          <w:sz w:val="18"/>
          <w:szCs w:val="18"/>
          <w:color w:val="auto"/>
        </w:rPr>
        <w:t>1,194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wp:posOffset>
            </wp:positionV>
            <wp:extent cx="96837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968375"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31750</wp:posOffset>
            </wp:positionV>
            <wp:extent cx="96837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216" w:lineRule="exact"/>
        <w:rPr>
          <w:sz w:val="20"/>
          <w:szCs w:val="20"/>
          <w:color w:val="auto"/>
        </w:rPr>
      </w:pPr>
    </w:p>
    <w:p>
      <w:pPr>
        <w:sectPr>
          <w:pgSz w:w="11900" w:h="16838" w:orient="portrait"/>
          <w:cols w:equalWidth="0" w:num="2">
            <w:col w:w="7140" w:space="720"/>
            <w:col w:w="3380"/>
          </w:cols>
          <w:pgMar w:left="320" w:top="584" w:right="339" w:bottom="1440" w:gutter="0" w:footer="0" w:header="0"/>
          <w:type w:val="continuous"/>
        </w:sectPr>
      </w:pPr>
    </w:p>
    <w:p>
      <w:pPr>
        <w:spacing w:after="0" w:line="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w:t>
      </w:r>
      <w:r>
        <w:rPr>
          <w:rFonts w:ascii="Arial" w:cs="Arial" w:eastAsia="Arial" w:hAnsi="Arial"/>
          <w:sz w:val="18"/>
          <w:szCs w:val="18"/>
          <w:color w:val="auto"/>
        </w:rPr>
        <w:t xml:space="preserve"> </w:t>
      </w:r>
      <w:r>
        <w:rPr>
          <w:rFonts w:ascii="Arial" w:cs="Arial" w:eastAsia="Arial" w:hAnsi="Arial"/>
          <w:sz w:val="18"/>
          <w:szCs w:val="18"/>
          <w:i w:val="1"/>
          <w:iCs w:val="1"/>
          <w:color w:val="auto"/>
        </w:rPr>
        <w:t>Value Measurements and Disclosures</w:t>
      </w:r>
      <w:r>
        <w:rPr>
          <w:rFonts w:ascii="Arial" w:cs="Arial" w:eastAsia="Arial" w:hAnsi="Arial"/>
          <w:sz w:val="18"/>
          <w:szCs w:val="18"/>
          <w:color w:val="auto"/>
        </w:rPr>
        <w:t>. See Note 3.</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type w:val="continuous"/>
        </w:sectPr>
      </w:pPr>
    </w:p>
    <w:bookmarkStart w:id="9" w:name="page10"/>
    <w:bookmarkEnd w:id="9"/>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Inventories</w:t>
      </w:r>
    </w:p>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Domestic furniture inventories are valued at the lower of cost, which is determined using the last-in, first-out (LIFO) method, or market. Imported inventories and those applicable to our Lane Venture and Bassett Outdoor lines are valued at the lower of cost, which is determined using the first-in, first-out (FIFO) method, or net realizable value.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80" w:type="dxa"/>
            <w:vAlign w:val="bottom"/>
            <w:gridSpan w:val="2"/>
          </w:tcPr>
          <w:p>
            <w:pPr>
              <w:spacing w:after="0"/>
              <w:rPr>
                <w:sz w:val="20"/>
                <w:szCs w:val="20"/>
                <w:color w:val="auto"/>
              </w:rPr>
            </w:pPr>
            <w:r>
              <w:rPr>
                <w:rFonts w:ascii="Arial" w:cs="Arial" w:eastAsia="Arial" w:hAnsi="Arial"/>
                <w:sz w:val="18"/>
                <w:szCs w:val="18"/>
                <w:color w:val="auto"/>
              </w:rPr>
              <w:t>Inventories were comprised of the following:</w:t>
            </w: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8"/>
        </w:trPr>
        <w:tc>
          <w:tcPr>
            <w:tcW w:w="500" w:type="dxa"/>
            <w:vAlign w:val="bottom"/>
          </w:tcPr>
          <w:p>
            <w:pPr>
              <w:spacing w:after="0"/>
              <w:rPr>
                <w:sz w:val="24"/>
                <w:szCs w:val="24"/>
                <w:color w:val="auto"/>
              </w:rPr>
            </w:pPr>
          </w:p>
        </w:tc>
        <w:tc>
          <w:tcPr>
            <w:tcW w:w="6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2"/>
          </w:tcPr>
          <w:p>
            <w:pPr>
              <w:jc w:val="right"/>
              <w:ind w:right="500"/>
              <w:spacing w:after="0"/>
              <w:rPr>
                <w:sz w:val="20"/>
                <w:szCs w:val="20"/>
                <w:color w:val="auto"/>
              </w:rPr>
            </w:pPr>
            <w:r>
              <w:rPr>
                <w:rFonts w:ascii="Arial" w:cs="Arial" w:eastAsia="Arial" w:hAnsi="Arial"/>
                <w:sz w:val="18"/>
                <w:szCs w:val="18"/>
                <w:color w:val="auto"/>
                <w:w w:val="99"/>
              </w:rPr>
              <w:t>February 27,</w:t>
            </w:r>
          </w:p>
        </w:tc>
        <w:tc>
          <w:tcPr>
            <w:tcW w:w="160" w:type="dxa"/>
            <w:vAlign w:val="bottom"/>
          </w:tcPr>
          <w:p>
            <w:pPr>
              <w:spacing w:after="0"/>
              <w:rPr>
                <w:sz w:val="24"/>
                <w:szCs w:val="24"/>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color w:val="auto"/>
                <w:w w:val="95"/>
              </w:rPr>
              <w:t>November 28,</w:t>
            </w:r>
          </w:p>
        </w:tc>
      </w:tr>
      <w:tr>
        <w:trPr>
          <w:trHeight w:val="230"/>
        </w:trPr>
        <w:tc>
          <w:tcPr>
            <w:tcW w:w="500" w:type="dxa"/>
            <w:vAlign w:val="bottom"/>
          </w:tcPr>
          <w:p>
            <w:pPr>
              <w:spacing w:after="0"/>
              <w:rPr>
                <w:sz w:val="20"/>
                <w:szCs w:val="20"/>
                <w:color w:val="auto"/>
              </w:rPr>
            </w:pPr>
          </w:p>
        </w:tc>
        <w:tc>
          <w:tcPr>
            <w:tcW w:w="67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r>
      <w:tr>
        <w:trPr>
          <w:trHeight w:val="209"/>
        </w:trPr>
        <w:tc>
          <w:tcPr>
            <w:tcW w:w="50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Wholesale finished goods</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29,620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25,001</w:t>
            </w:r>
          </w:p>
        </w:tc>
      </w:tr>
      <w:tr>
        <w:trPr>
          <w:trHeight w:val="216"/>
        </w:trPr>
        <w:tc>
          <w:tcPr>
            <w:tcW w:w="50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Work in process</w:t>
            </w:r>
          </w:p>
        </w:tc>
        <w:tc>
          <w:tcPr>
            <w:tcW w:w="1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650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516</w:t>
            </w:r>
          </w:p>
        </w:tc>
      </w:tr>
      <w:tr>
        <w:trPr>
          <w:trHeight w:val="216"/>
        </w:trPr>
        <w:tc>
          <w:tcPr>
            <w:tcW w:w="50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Raw materials and supplies</w:t>
            </w:r>
          </w:p>
        </w:tc>
        <w:tc>
          <w:tcPr>
            <w:tcW w:w="1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17,188</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14,836</w:t>
            </w:r>
          </w:p>
        </w:tc>
      </w:tr>
      <w:tr>
        <w:trPr>
          <w:trHeight w:val="216"/>
        </w:trPr>
        <w:tc>
          <w:tcPr>
            <w:tcW w:w="50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Retail merchandise</w:t>
            </w: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29,040</w:t>
            </w:r>
          </w:p>
        </w:tc>
        <w:tc>
          <w:tcPr>
            <w:tcW w:w="2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27,946</w:t>
            </w:r>
          </w:p>
        </w:tc>
        <w:tc>
          <w:tcPr>
            <w:tcW w:w="100" w:type="dxa"/>
            <w:vAlign w:val="bottom"/>
          </w:tcPr>
          <w:p>
            <w:pPr>
              <w:spacing w:after="0"/>
              <w:rPr>
                <w:sz w:val="18"/>
                <w:szCs w:val="18"/>
                <w:color w:val="auto"/>
              </w:rPr>
            </w:pPr>
          </w:p>
        </w:tc>
      </w:tr>
      <w:tr>
        <w:trPr>
          <w:trHeight w:val="209"/>
        </w:trPr>
        <w:tc>
          <w:tcPr>
            <w:tcW w:w="50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Total inventories on first-in, first-out method</w:t>
            </w:r>
          </w:p>
        </w:tc>
        <w:tc>
          <w:tcPr>
            <w:tcW w:w="1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76,498</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68,299</w:t>
            </w:r>
          </w:p>
        </w:tc>
      </w:tr>
      <w:tr>
        <w:trPr>
          <w:trHeight w:val="216"/>
        </w:trPr>
        <w:tc>
          <w:tcPr>
            <w:tcW w:w="50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LIFO adjustment</w:t>
            </w:r>
          </w:p>
        </w:tc>
        <w:tc>
          <w:tcPr>
            <w:tcW w:w="1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(9,084)</w:t>
            </w:r>
          </w:p>
        </w:tc>
        <w:tc>
          <w:tcPr>
            <w:tcW w:w="16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(8,891)</w:t>
            </w:r>
          </w:p>
        </w:tc>
      </w:tr>
      <w:tr>
        <w:trPr>
          <w:trHeight w:val="216"/>
        </w:trPr>
        <w:tc>
          <w:tcPr>
            <w:tcW w:w="50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Reserve for excess and obsolete inventory</w:t>
            </w: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(4,478)</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(4,522)</w:t>
            </w:r>
          </w:p>
        </w:tc>
      </w:tr>
      <w:tr>
        <w:trPr>
          <w:trHeight w:val="210"/>
        </w:trPr>
        <w:tc>
          <w:tcPr>
            <w:tcW w:w="500" w:type="dxa"/>
            <w:vAlign w:val="bottom"/>
          </w:tcPr>
          <w:p>
            <w:pPr>
              <w:spacing w:after="0"/>
              <w:rPr>
                <w:sz w:val="18"/>
                <w:szCs w:val="18"/>
                <w:color w:val="auto"/>
              </w:rPr>
            </w:pPr>
          </w:p>
        </w:tc>
        <w:tc>
          <w:tcPr>
            <w:tcW w:w="6780" w:type="dxa"/>
            <w:vAlign w:val="bottom"/>
            <w:tcBorders>
              <w:top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62,936</w:t>
            </w: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54,886</w:t>
            </w:r>
          </w:p>
        </w:tc>
        <w:tc>
          <w:tcPr>
            <w:tcW w:w="100" w:type="dxa"/>
            <w:vAlign w:val="bottom"/>
            <w:tcBorders>
              <w:top w:val="single" w:sz="8" w:color="CCEEFF"/>
            </w:tcBorders>
          </w:tcPr>
          <w:p>
            <w:pPr>
              <w:spacing w:after="0"/>
              <w:rPr>
                <w:sz w:val="18"/>
                <w:szCs w:val="18"/>
                <w:color w:val="auto"/>
              </w:rPr>
            </w:pPr>
          </w:p>
        </w:tc>
      </w:tr>
      <w:tr>
        <w:trPr>
          <w:trHeight w:val="20"/>
        </w:trPr>
        <w:tc>
          <w:tcPr>
            <w:tcW w:w="50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reserves for excess quantities and obsolete inventory by segment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gridSpan w:val="2"/>
          </w:tcPr>
          <w:p>
            <w:pPr>
              <w:jc w:val="right"/>
              <w:ind w:right="580"/>
              <w:spacing w:after="0"/>
              <w:rPr>
                <w:sz w:val="20"/>
                <w:szCs w:val="20"/>
                <w:color w:val="auto"/>
              </w:rPr>
            </w:pPr>
            <w:r>
              <w:rPr>
                <w:rFonts w:ascii="Arial" w:cs="Arial" w:eastAsia="Arial" w:hAnsi="Arial"/>
                <w:sz w:val="18"/>
                <w:szCs w:val="18"/>
                <w:color w:val="auto"/>
              </w:rPr>
              <w:t>Wholesale</w:t>
            </w: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5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Segment</w:t>
            </w:r>
          </w:p>
        </w:tc>
        <w:tc>
          <w:tcPr>
            <w:tcW w:w="140" w:type="dxa"/>
            <w:vAlign w:val="bottom"/>
          </w:tcPr>
          <w:p>
            <w:pPr>
              <w:spacing w:after="0"/>
              <w:rPr>
                <w:sz w:val="20"/>
                <w:szCs w:val="20"/>
                <w:color w:val="auto"/>
              </w:rPr>
            </w:pPr>
          </w:p>
        </w:tc>
        <w:tc>
          <w:tcPr>
            <w:tcW w:w="1500" w:type="dxa"/>
            <w:vAlign w:val="bottom"/>
            <w:gridSpan w:val="2"/>
          </w:tcPr>
          <w:p>
            <w:pPr>
              <w:jc w:val="right"/>
              <w:ind w:right="340"/>
              <w:spacing w:after="0"/>
              <w:rPr>
                <w:sz w:val="20"/>
                <w:szCs w:val="20"/>
                <w:color w:val="auto"/>
              </w:rPr>
            </w:pPr>
            <w:r>
              <w:rPr>
                <w:rFonts w:ascii="Arial" w:cs="Arial" w:eastAsia="Arial" w:hAnsi="Arial"/>
                <w:sz w:val="18"/>
                <w:szCs w:val="18"/>
                <w:color w:val="auto"/>
                <w:w w:val="92"/>
              </w:rPr>
              <w:t>Retail Segment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Total</w:t>
            </w:r>
          </w:p>
        </w:tc>
      </w:tr>
      <w:tr>
        <w:trPr>
          <w:trHeight w:val="209"/>
        </w:trPr>
        <w:tc>
          <w:tcPr>
            <w:tcW w:w="56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28, 2020</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3,421</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1,101</w:t>
            </w:r>
          </w:p>
        </w:tc>
        <w:tc>
          <w:tcPr>
            <w:tcW w:w="4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4,522</w:t>
            </w: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Additions charged to expense</w:t>
            </w:r>
          </w:p>
        </w:tc>
        <w:tc>
          <w:tcPr>
            <w:tcW w:w="240" w:type="dxa"/>
            <w:vAlign w:val="bottom"/>
          </w:tcPr>
          <w:p>
            <w:pPr>
              <w:spacing w:after="0"/>
              <w:rPr>
                <w:sz w:val="18"/>
                <w:szCs w:val="18"/>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309</w:t>
            </w:r>
          </w:p>
        </w:tc>
        <w:tc>
          <w:tcPr>
            <w:tcW w:w="140" w:type="dxa"/>
            <w:vAlign w:val="bottom"/>
          </w:tcPr>
          <w:p>
            <w:pPr>
              <w:spacing w:after="0"/>
              <w:rPr>
                <w:sz w:val="18"/>
                <w:szCs w:val="18"/>
                <w:color w:val="auto"/>
              </w:rPr>
            </w:pPr>
          </w:p>
        </w:tc>
        <w:tc>
          <w:tcPr>
            <w:tcW w:w="1500" w:type="dxa"/>
            <w:vAlign w:val="bottom"/>
            <w:gridSpan w:val="2"/>
          </w:tcPr>
          <w:p>
            <w:pPr>
              <w:jc w:val="right"/>
              <w:ind w:right="140"/>
              <w:spacing w:after="0"/>
              <w:rPr>
                <w:sz w:val="20"/>
                <w:szCs w:val="20"/>
                <w:color w:val="auto"/>
              </w:rPr>
            </w:pPr>
            <w:r>
              <w:rPr>
                <w:rFonts w:ascii="Arial" w:cs="Arial" w:eastAsia="Arial" w:hAnsi="Arial"/>
                <w:sz w:val="18"/>
                <w:szCs w:val="18"/>
                <w:color w:val="auto"/>
              </w:rPr>
              <w:t>286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595</w:t>
            </w: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2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(364)</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(275)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(639)</w:t>
            </w:r>
          </w:p>
        </w:tc>
      </w:tr>
      <w:tr>
        <w:trPr>
          <w:trHeight w:val="20"/>
        </w:trPr>
        <w:tc>
          <w:tcPr>
            <w:tcW w:w="566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660" w:type="dxa"/>
            <w:vAlign w:val="bottom"/>
          </w:tcPr>
          <w:p>
            <w:pPr>
              <w:spacing w:after="0"/>
              <w:rPr>
                <w:sz w:val="20"/>
                <w:szCs w:val="20"/>
                <w:color w:val="auto"/>
              </w:rPr>
            </w:pPr>
            <w:r>
              <w:rPr>
                <w:rFonts w:ascii="Arial" w:cs="Arial" w:eastAsia="Arial" w:hAnsi="Arial"/>
                <w:sz w:val="18"/>
                <w:szCs w:val="18"/>
                <w:color w:val="auto"/>
              </w:rPr>
              <w:t>Balance at February 27, 2021</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3,366</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1,112</w:t>
            </w:r>
          </w:p>
        </w:tc>
        <w:tc>
          <w:tcPr>
            <w:tcW w:w="140" w:type="dxa"/>
            <w:vAlign w:val="bottom"/>
          </w:tcPr>
          <w:p>
            <w:pPr>
              <w:spacing w:after="0"/>
              <w:rPr>
                <w:sz w:val="18"/>
                <w:szCs w:val="18"/>
                <w:color w:val="auto"/>
              </w:rPr>
            </w:pP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4,478</w:t>
            </w:r>
          </w:p>
        </w:tc>
      </w:tr>
      <w:tr>
        <w:trPr>
          <w:trHeight w:val="20"/>
        </w:trPr>
        <w:tc>
          <w:tcPr>
            <w:tcW w:w="56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estimates and assumptions have been reasonably accurate in the past. We have not made any significant changes to our methodology for determining inventory reserves in 2021 and do not anticipate that our methodology is likely to change in the future.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60" w:type="dxa"/>
            <w:vAlign w:val="bottom"/>
          </w:tcPr>
          <w:p>
            <w:pPr>
              <w:spacing w:after="0"/>
              <w:rPr>
                <w:sz w:val="20"/>
                <w:szCs w:val="20"/>
                <w:color w:val="auto"/>
              </w:rPr>
            </w:pPr>
            <w:r>
              <w:rPr>
                <w:rFonts w:ascii="Arial" w:cs="Arial" w:eastAsia="Arial" w:hAnsi="Arial"/>
                <w:sz w:val="18"/>
                <w:szCs w:val="18"/>
                <w:b w:val="1"/>
                <w:bCs w:val="1"/>
                <w:color w:val="auto"/>
              </w:rPr>
              <w:t>6. Goodwill and Other Intangible Assets</w:t>
            </w: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460" w:type="dxa"/>
            <w:vAlign w:val="bottom"/>
          </w:tcPr>
          <w:p>
            <w:pPr>
              <w:spacing w:after="0"/>
              <w:rPr>
                <w:sz w:val="20"/>
                <w:szCs w:val="20"/>
                <w:color w:val="auto"/>
              </w:rPr>
            </w:pPr>
            <w:r>
              <w:rPr>
                <w:rFonts w:ascii="Arial" w:cs="Arial" w:eastAsia="Arial" w:hAnsi="Arial"/>
                <w:sz w:val="18"/>
                <w:szCs w:val="18"/>
                <w:color w:val="auto"/>
              </w:rPr>
              <w:t>Goodwill and other intangible assets consisted of the following:</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5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ind w:left="140"/>
              <w:spacing w:after="0"/>
              <w:rPr>
                <w:sz w:val="20"/>
                <w:szCs w:val="20"/>
                <w:color w:val="auto"/>
              </w:rPr>
            </w:pPr>
            <w:r>
              <w:rPr>
                <w:rFonts w:ascii="Arial" w:cs="Arial" w:eastAsia="Arial" w:hAnsi="Arial"/>
                <w:sz w:val="18"/>
                <w:szCs w:val="18"/>
                <w:b w:val="1"/>
                <w:bCs w:val="1"/>
                <w:color w:val="auto"/>
              </w:rPr>
              <w:t>February 27, 2021</w:t>
            </w: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91"/>
        </w:trPr>
        <w:tc>
          <w:tcPr>
            <w:tcW w:w="54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4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8"/>
              </w:rPr>
              <w:t>Gross</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Carrying</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3"/>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Intangible</w:t>
            </w:r>
          </w:p>
        </w:tc>
      </w:tr>
      <w:tr>
        <w:trPr>
          <w:trHeight w:val="234"/>
        </w:trPr>
        <w:tc>
          <w:tcPr>
            <w:tcW w:w="5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Amount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6"/>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3"/>
              </w:rPr>
              <w:t>Assets, Net</w:t>
            </w:r>
          </w:p>
        </w:tc>
      </w:tr>
      <w:tr>
        <w:trPr>
          <w:trHeight w:val="210"/>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8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Customer relationships</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3,550</w:t>
            </w:r>
          </w:p>
        </w:tc>
        <w:tc>
          <w:tcPr>
            <w:tcW w:w="30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60"/>
              <w:spacing w:after="0"/>
              <w:rPr>
                <w:sz w:val="20"/>
                <w:szCs w:val="20"/>
                <w:color w:val="auto"/>
              </w:rPr>
            </w:pPr>
            <w:r>
              <w:rPr>
                <w:rFonts w:ascii="Arial" w:cs="Arial" w:eastAsia="Arial" w:hAnsi="Arial"/>
                <w:sz w:val="18"/>
                <w:szCs w:val="18"/>
                <w:color w:val="auto"/>
              </w:rPr>
              <w:t>(1,411)</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2,139</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Technology - customized applications</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w:t>
            </w:r>
          </w:p>
        </w:tc>
      </w:tr>
      <w:tr>
        <w:trPr>
          <w:trHeight w:val="210"/>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intangible assets subject to amortization</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4,384</w:t>
            </w: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(2,136)</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2,248</w:t>
            </w:r>
          </w:p>
        </w:tc>
      </w:tr>
      <w:tr>
        <w:trPr>
          <w:trHeight w:val="196"/>
        </w:trPr>
        <w:tc>
          <w:tcPr>
            <w:tcW w:w="5460" w:type="dxa"/>
            <w:vAlign w:val="bottom"/>
            <w:tcBorders>
              <w:top w:val="single" w:sz="8" w:color="CCEEFF"/>
            </w:tcBorders>
          </w:tcPr>
          <w:p>
            <w:pPr>
              <w:spacing w:after="0"/>
              <w:rPr>
                <w:sz w:val="17"/>
                <w:szCs w:val="17"/>
                <w:color w:val="auto"/>
              </w:rPr>
            </w:pPr>
          </w:p>
        </w:tc>
        <w:tc>
          <w:tcPr>
            <w:tcW w:w="86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Trade names</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Goodwill</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12,146</w:t>
            </w:r>
          </w:p>
        </w:tc>
      </w:tr>
      <w:tr>
        <w:trPr>
          <w:trHeight w:val="209"/>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30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8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23,732</w:t>
            </w:r>
          </w:p>
        </w:tc>
      </w:tr>
      <w:tr>
        <w:trPr>
          <w:trHeight w:val="412"/>
        </w:trPr>
        <w:tc>
          <w:tcPr>
            <w:tcW w:w="5460" w:type="dxa"/>
            <w:vAlign w:val="bottom"/>
            <w:tcBorders>
              <w:top w:val="single" w:sz="8" w:color="CCEEFF"/>
            </w:tcBorders>
          </w:tcPr>
          <w:p>
            <w:pPr>
              <w:spacing w:after="0"/>
              <w:rPr>
                <w:sz w:val="24"/>
                <w:szCs w:val="24"/>
                <w:color w:val="auto"/>
              </w:rPr>
            </w:pPr>
          </w:p>
        </w:tc>
        <w:tc>
          <w:tcPr>
            <w:tcW w:w="860" w:type="dxa"/>
            <w:vAlign w:val="bottom"/>
            <w:tcBorders>
              <w:top w:val="single" w:sz="8" w:color="CCEEFF"/>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24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720" w:type="dxa"/>
            <w:vAlign w:val="bottom"/>
            <w:tcBorders>
              <w:top w:val="single" w:sz="8" w:color="CCEEFF"/>
              <w:bottom w:val="single" w:sz="8" w:color="auto"/>
            </w:tcBorders>
            <w:gridSpan w:val="4"/>
          </w:tcPr>
          <w:p>
            <w:pPr>
              <w:jc w:val="right"/>
              <w:ind w:right="140"/>
              <w:spacing w:after="0"/>
              <w:rPr>
                <w:sz w:val="20"/>
                <w:szCs w:val="20"/>
                <w:color w:val="auto"/>
              </w:rPr>
            </w:pPr>
            <w:r>
              <w:rPr>
                <w:rFonts w:ascii="Arial" w:cs="Arial" w:eastAsia="Arial" w:hAnsi="Arial"/>
                <w:sz w:val="18"/>
                <w:szCs w:val="18"/>
                <w:b w:val="1"/>
                <w:bCs w:val="1"/>
                <w:color w:val="auto"/>
                <w:w w:val="95"/>
              </w:rPr>
              <w:t>November 28, 2020</w:t>
            </w:r>
          </w:p>
        </w:tc>
        <w:tc>
          <w:tcPr>
            <w:tcW w:w="80" w:type="dxa"/>
            <w:vAlign w:val="bottom"/>
            <w:tcBorders>
              <w:top w:val="single" w:sz="8" w:color="CCEEFF"/>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2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191"/>
        </w:trPr>
        <w:tc>
          <w:tcPr>
            <w:tcW w:w="54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4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8"/>
              </w:rPr>
              <w:t>Gross</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Carrying</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3"/>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Intangible</w:t>
            </w:r>
          </w:p>
        </w:tc>
      </w:tr>
      <w:tr>
        <w:trPr>
          <w:trHeight w:val="234"/>
        </w:trPr>
        <w:tc>
          <w:tcPr>
            <w:tcW w:w="5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Amount</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6"/>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3"/>
              </w:rPr>
              <w:t>Assets, Net</w:t>
            </w:r>
          </w:p>
        </w:tc>
      </w:tr>
      <w:tr>
        <w:trPr>
          <w:trHeight w:val="209"/>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8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Customer relationships</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3,550</w:t>
            </w:r>
          </w:p>
        </w:tc>
        <w:tc>
          <w:tcPr>
            <w:tcW w:w="30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60"/>
              <w:spacing w:after="0"/>
              <w:rPr>
                <w:sz w:val="20"/>
                <w:szCs w:val="20"/>
                <w:color w:val="auto"/>
              </w:rPr>
            </w:pPr>
            <w:r>
              <w:rPr>
                <w:rFonts w:ascii="Arial" w:cs="Arial" w:eastAsia="Arial" w:hAnsi="Arial"/>
                <w:sz w:val="18"/>
                <w:szCs w:val="18"/>
                <w:color w:val="auto"/>
              </w:rPr>
              <w:t>(1,346)</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2,204</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Technology - customized applications</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(695)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w:t>
            </w:r>
          </w:p>
        </w:tc>
      </w:tr>
      <w:tr>
        <w:trPr>
          <w:trHeight w:val="210"/>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intangible assets subject to amortization</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4,384</w:t>
            </w: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(2,041)</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2,343</w:t>
            </w:r>
          </w:p>
        </w:tc>
      </w:tr>
      <w:tr>
        <w:trPr>
          <w:trHeight w:val="197"/>
        </w:trPr>
        <w:tc>
          <w:tcPr>
            <w:tcW w:w="5460" w:type="dxa"/>
            <w:vAlign w:val="bottom"/>
            <w:tcBorders>
              <w:top w:val="single" w:sz="8" w:color="CCEEFF"/>
            </w:tcBorders>
          </w:tcPr>
          <w:p>
            <w:pPr>
              <w:spacing w:after="0"/>
              <w:rPr>
                <w:sz w:val="17"/>
                <w:szCs w:val="17"/>
                <w:color w:val="auto"/>
              </w:rPr>
            </w:pPr>
          </w:p>
        </w:tc>
        <w:tc>
          <w:tcPr>
            <w:tcW w:w="86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Trade names</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r>
      <w:tr>
        <w:trPr>
          <w:trHeight w:val="216"/>
        </w:trPr>
        <w:tc>
          <w:tcPr>
            <w:tcW w:w="5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Goodwill</w:t>
            </w:r>
          </w:p>
        </w:tc>
        <w:tc>
          <w:tcPr>
            <w:tcW w:w="8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12,146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gridSpan w:val="2"/>
          </w:tcPr>
          <w:p>
            <w:pPr>
              <w:spacing w:after="0"/>
              <w:rPr>
                <w:sz w:val="18"/>
                <w:szCs w:val="18"/>
                <w:color w:val="auto"/>
              </w:rPr>
            </w:pPr>
          </w:p>
        </w:tc>
        <w:tc>
          <w:tcPr>
            <w:tcW w:w="1360" w:type="dxa"/>
            <w:vAlign w:val="bottom"/>
            <w:gridSpan w:val="2"/>
          </w:tcPr>
          <w:p>
            <w:pPr>
              <w:spacing w:after="0"/>
              <w:rPr>
                <w:sz w:val="18"/>
                <w:szCs w:val="18"/>
                <w:color w:val="auto"/>
              </w:rPr>
            </w:pPr>
          </w:p>
        </w:tc>
      </w:tr>
      <w:tr>
        <w:trPr>
          <w:trHeight w:val="256"/>
        </w:trPr>
        <w:tc>
          <w:tcPr>
            <w:tcW w:w="5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8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23,827</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carrying amounts of goodwill by reportable segment at both February 27, 2021 and November 28, 2020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500"/>
              <w:spacing w:after="0"/>
              <w:rPr>
                <w:sz w:val="20"/>
                <w:szCs w:val="20"/>
                <w:color w:val="auto"/>
              </w:rPr>
            </w:pPr>
            <w:r>
              <w:rPr>
                <w:rFonts w:ascii="Arial" w:cs="Arial" w:eastAsia="Arial" w:hAnsi="Arial"/>
                <w:sz w:val="18"/>
                <w:szCs w:val="18"/>
                <w:color w:val="auto"/>
                <w:w w:val="96"/>
              </w:rPr>
              <w:t>Original</w:t>
            </w:r>
          </w:p>
        </w:tc>
        <w:tc>
          <w:tcPr>
            <w:tcW w:w="18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Accumulated</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480"/>
              <w:spacing w:after="0"/>
              <w:rPr>
                <w:sz w:val="20"/>
                <w:szCs w:val="20"/>
                <w:color w:val="auto"/>
              </w:rPr>
            </w:pPr>
            <w:r>
              <w:rPr>
                <w:rFonts w:ascii="Arial" w:cs="Arial" w:eastAsia="Arial" w:hAnsi="Arial"/>
                <w:sz w:val="18"/>
                <w:szCs w:val="18"/>
                <w:color w:val="auto"/>
                <w:w w:val="89"/>
              </w:rPr>
              <w:t>Recorded</w:t>
            </w:r>
          </w:p>
        </w:tc>
        <w:tc>
          <w:tcPr>
            <w:tcW w:w="18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3"/>
              </w:rPr>
              <w:t>Impairment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8"/>
                <w:szCs w:val="18"/>
                <w:color w:val="auto"/>
                <w:w w:val="91"/>
              </w:rPr>
              <w:t>Carrying</w:t>
            </w:r>
          </w:p>
        </w:tc>
      </w:tr>
      <w:tr>
        <w:trPr>
          <w:trHeight w:val="230"/>
        </w:trPr>
        <w:tc>
          <w:tcPr>
            <w:tcW w:w="33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gridSpan w:val="2"/>
          </w:tcPr>
          <w:p>
            <w:pPr>
              <w:jc w:val="center"/>
              <w:ind w:right="480"/>
              <w:spacing w:after="0"/>
              <w:rPr>
                <w:sz w:val="20"/>
                <w:szCs w:val="20"/>
                <w:color w:val="auto"/>
              </w:rPr>
            </w:pPr>
            <w:r>
              <w:rPr>
                <w:rFonts w:ascii="Arial" w:cs="Arial" w:eastAsia="Arial" w:hAnsi="Arial"/>
                <w:sz w:val="18"/>
                <w:szCs w:val="18"/>
                <w:color w:val="auto"/>
                <w:w w:val="91"/>
              </w:rPr>
              <w:t>Value</w:t>
            </w:r>
          </w:p>
        </w:tc>
        <w:tc>
          <w:tcPr>
            <w:tcW w:w="18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8"/>
                <w:szCs w:val="18"/>
                <w:color w:val="auto"/>
                <w:w w:val="87"/>
              </w:rPr>
              <w:t>Losses</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8"/>
                <w:szCs w:val="18"/>
                <w:color w:val="auto"/>
                <w:w w:val="93"/>
              </w:rPr>
              <w:t>Amount</w:t>
            </w:r>
          </w:p>
        </w:tc>
      </w:tr>
      <w:tr>
        <w:trPr>
          <w:trHeight w:val="210"/>
        </w:trPr>
        <w:tc>
          <w:tcPr>
            <w:tcW w:w="334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3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9,188</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(1,971)</w:t>
            </w: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7,217</w:t>
            </w:r>
          </w:p>
        </w:tc>
      </w:tr>
      <w:tr>
        <w:trPr>
          <w:trHeight w:val="216"/>
        </w:trPr>
        <w:tc>
          <w:tcPr>
            <w:tcW w:w="3340" w:type="dxa"/>
            <w:vAlign w:val="bottom"/>
          </w:tcPr>
          <w:p>
            <w:pPr>
              <w:spacing w:after="0"/>
              <w:rPr>
                <w:sz w:val="20"/>
                <w:szCs w:val="20"/>
                <w:color w:val="auto"/>
              </w:rPr>
            </w:pPr>
            <w:r>
              <w:rPr>
                <w:rFonts w:ascii="Arial" w:cs="Arial" w:eastAsia="Arial" w:hAnsi="Arial"/>
                <w:sz w:val="18"/>
                <w:szCs w:val="18"/>
                <w:color w:val="auto"/>
              </w:rPr>
              <w:t>Retail</w:t>
            </w:r>
          </w:p>
        </w:tc>
        <w:tc>
          <w:tcPr>
            <w:tcW w:w="2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240"/>
              <w:spacing w:after="0"/>
              <w:rPr>
                <w:sz w:val="20"/>
                <w:szCs w:val="20"/>
                <w:color w:val="auto"/>
              </w:rPr>
            </w:pPr>
            <w:r>
              <w:rPr>
                <w:rFonts w:ascii="Arial" w:cs="Arial" w:eastAsia="Arial" w:hAnsi="Arial"/>
                <w:sz w:val="18"/>
                <w:szCs w:val="18"/>
                <w:color w:val="auto"/>
              </w:rPr>
              <w:t>1,926</w:t>
            </w:r>
          </w:p>
        </w:tc>
        <w:tc>
          <w:tcPr>
            <w:tcW w:w="18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8"/>
                <w:szCs w:val="18"/>
                <w:color w:val="auto"/>
              </w:rPr>
              <w:t>(1,926)</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2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4,929</w:t>
            </w:r>
          </w:p>
        </w:tc>
        <w:tc>
          <w:tcPr>
            <w:tcW w:w="1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4,929</w:t>
            </w:r>
          </w:p>
        </w:tc>
      </w:tr>
      <w:tr>
        <w:trPr>
          <w:trHeight w:val="210"/>
        </w:trPr>
        <w:tc>
          <w:tcPr>
            <w:tcW w:w="3340" w:type="dxa"/>
            <w:vAlign w:val="bottom"/>
            <w:tcBorders>
              <w:top w:val="single" w:sz="8" w:color="CCEEFF"/>
            </w:tcBorders>
          </w:tcPr>
          <w:p>
            <w:pPr>
              <w:spacing w:after="0"/>
              <w:rPr>
                <w:sz w:val="18"/>
                <w:szCs w:val="18"/>
                <w:color w:val="auto"/>
              </w:rPr>
            </w:pPr>
          </w:p>
        </w:tc>
        <w:tc>
          <w:tcPr>
            <w:tcW w:w="29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goodwill</w:t>
            </w:r>
          </w:p>
        </w:tc>
        <w:tc>
          <w:tcPr>
            <w:tcW w:w="3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16,043</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(3,897)</w:t>
            </w: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12,146</w:t>
            </w:r>
          </w:p>
        </w:tc>
      </w:tr>
      <w:tr>
        <w:trPr>
          <w:trHeight w:val="413"/>
        </w:trPr>
        <w:tc>
          <w:tcPr>
            <w:tcW w:w="3340" w:type="dxa"/>
            <w:vAlign w:val="bottom"/>
            <w:tcBorders>
              <w:top w:val="single" w:sz="8" w:color="CCEEFF"/>
            </w:tcBorders>
          </w:tcPr>
          <w:p>
            <w:pPr>
              <w:spacing w:after="0"/>
              <w:rPr>
                <w:sz w:val="24"/>
                <w:szCs w:val="24"/>
                <w:color w:val="auto"/>
              </w:rPr>
            </w:pPr>
          </w:p>
        </w:tc>
        <w:tc>
          <w:tcPr>
            <w:tcW w:w="2980" w:type="dxa"/>
            <w:vAlign w:val="bottom"/>
            <w:tcBorders>
              <w:top w:val="single" w:sz="8" w:color="CCEEFF"/>
            </w:tcBorders>
          </w:tcPr>
          <w:p>
            <w:pPr>
              <w:ind w:left="1980"/>
              <w:spacing w:after="0"/>
              <w:rPr>
                <w:sz w:val="20"/>
                <w:szCs w:val="20"/>
                <w:color w:val="auto"/>
              </w:rPr>
            </w:pPr>
            <w:r>
              <w:rPr>
                <w:rFonts w:ascii="Arial" w:cs="Arial" w:eastAsia="Arial" w:hAnsi="Arial"/>
                <w:sz w:val="18"/>
                <w:szCs w:val="18"/>
                <w:color w:val="auto"/>
              </w:rPr>
              <w:t>11 of 32</w:t>
            </w:r>
          </w:p>
        </w:tc>
        <w:tc>
          <w:tcPr>
            <w:tcW w:w="2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240" w:type="dxa"/>
            <w:vAlign w:val="bottom"/>
            <w:tcBorders>
              <w:top w:val="single" w:sz="8" w:color="CCEEFF"/>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115"/>
        </w:trPr>
        <w:tc>
          <w:tcPr>
            <w:tcW w:w="3340" w:type="dxa"/>
            <w:vAlign w:val="bottom"/>
            <w:tcBorders>
              <w:bottom w:val="single" w:sz="8" w:color="auto"/>
            </w:tcBorders>
          </w:tcPr>
          <w:p>
            <w:pPr>
              <w:spacing w:after="0"/>
              <w:rPr>
                <w:sz w:val="10"/>
                <w:szCs w:val="10"/>
                <w:color w:val="auto"/>
              </w:rPr>
            </w:pPr>
          </w:p>
        </w:tc>
        <w:tc>
          <w:tcPr>
            <w:tcW w:w="298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Amortization expense associated with intangible assets during the three months ended February 27, 2021 and February 29, 2020 was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1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120" w:type="dxa"/>
            <w:vAlign w:val="bottom"/>
            <w:gridSpan w:val="8"/>
          </w:tcPr>
          <w:p>
            <w:pPr>
              <w:ind w:left="820"/>
              <w:spacing w:after="0"/>
              <w:rPr>
                <w:sz w:val="20"/>
                <w:szCs w:val="20"/>
                <w:color w:val="auto"/>
              </w:rPr>
            </w:pPr>
            <w:r>
              <w:rPr>
                <w:rFonts w:ascii="Arial" w:cs="Arial" w:eastAsia="Arial" w:hAnsi="Arial"/>
                <w:sz w:val="18"/>
                <w:szCs w:val="18"/>
                <w:b w:val="1"/>
                <w:bCs w:val="1"/>
                <w:color w:val="auto"/>
              </w:rPr>
              <w:t>Quarter Ended</w:t>
            </w:r>
          </w:p>
        </w:tc>
      </w:tr>
      <w:tr>
        <w:trPr>
          <w:trHeight w:val="191"/>
        </w:trPr>
        <w:tc>
          <w:tcPr>
            <w:tcW w:w="5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18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gridSpan w:val="2"/>
          </w:tcPr>
          <w:p>
            <w:pPr>
              <w:jc w:val="center"/>
              <w:ind w:right="240"/>
              <w:spacing w:after="0" w:line="191" w:lineRule="exact"/>
              <w:rPr>
                <w:sz w:val="20"/>
                <w:szCs w:val="20"/>
                <w:color w:val="auto"/>
              </w:rPr>
            </w:pPr>
            <w:r>
              <w:rPr>
                <w:rFonts w:ascii="Arial" w:cs="Arial" w:eastAsia="Arial" w:hAnsi="Arial"/>
                <w:sz w:val="18"/>
                <w:szCs w:val="18"/>
                <w:b w:val="1"/>
                <w:bCs w:val="1"/>
                <w:color w:val="auto"/>
                <w:w w:val="93"/>
              </w:rPr>
              <w:t>February 27,</w:t>
            </w:r>
          </w:p>
        </w:tc>
        <w:tc>
          <w:tcPr>
            <w:tcW w:w="20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340" w:type="dxa"/>
            <w:vAlign w:val="bottom"/>
            <w:tcBorders>
              <w:top w:val="single" w:sz="8" w:color="auto"/>
            </w:tcBorders>
            <w:gridSpan w:val="3"/>
          </w:tcPr>
          <w:p>
            <w:pPr>
              <w:jc w:val="right"/>
              <w:ind w:right="260"/>
              <w:spacing w:after="0" w:line="191" w:lineRule="exact"/>
              <w:rPr>
                <w:sz w:val="20"/>
                <w:szCs w:val="20"/>
                <w:color w:val="auto"/>
              </w:rPr>
            </w:pPr>
            <w:r>
              <w:rPr>
                <w:rFonts w:ascii="Arial" w:cs="Arial" w:eastAsia="Arial" w:hAnsi="Arial"/>
                <w:sz w:val="18"/>
                <w:szCs w:val="18"/>
                <w:b w:val="1"/>
                <w:bCs w:val="1"/>
                <w:color w:val="auto"/>
                <w:w w:val="98"/>
              </w:rPr>
              <w:t>February 29,</w:t>
            </w:r>
          </w:p>
        </w:tc>
        <w:tc>
          <w:tcPr>
            <w:tcW w:w="100" w:type="dxa"/>
            <w:vAlign w:val="bottom"/>
          </w:tcPr>
          <w:p>
            <w:pPr>
              <w:spacing w:after="0"/>
              <w:rPr>
                <w:sz w:val="16"/>
                <w:szCs w:val="16"/>
                <w:color w:val="auto"/>
              </w:rPr>
            </w:pPr>
          </w:p>
        </w:tc>
      </w:tr>
      <w:tr>
        <w:trPr>
          <w:trHeight w:val="234"/>
        </w:trPr>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1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2021</w:t>
            </w:r>
          </w:p>
        </w:tc>
        <w:tc>
          <w:tcPr>
            <w:tcW w:w="38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8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6"/>
        </w:trPr>
        <w:tc>
          <w:tcPr>
            <w:tcW w:w="580" w:type="dxa"/>
            <w:vAlign w:val="bottom"/>
          </w:tcPr>
          <w:p>
            <w:pPr>
              <w:spacing w:after="0"/>
              <w:rPr>
                <w:sz w:val="20"/>
                <w:szCs w:val="20"/>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Intangible asset amortization expense</w:t>
            </w:r>
          </w:p>
        </w:tc>
        <w:tc>
          <w:tcPr>
            <w:tcW w:w="22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3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3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00" w:type="dxa"/>
            <w:vAlign w:val="bottom"/>
            <w:shd w:val="clear" w:color="auto" w:fill="CCEEFF"/>
          </w:tcPr>
          <w:p>
            <w:pPr>
              <w:spacing w:after="0"/>
              <w:rPr>
                <w:sz w:val="20"/>
                <w:szCs w:val="20"/>
                <w:color w:val="auto"/>
              </w:rPr>
            </w:pPr>
          </w:p>
        </w:tc>
      </w:tr>
      <w:tr>
        <w:trPr>
          <w:trHeight w:val="20"/>
        </w:trPr>
        <w:tc>
          <w:tcPr>
            <w:tcW w:w="580" w:type="dxa"/>
            <w:vAlign w:val="bottom"/>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180" w:type="dxa"/>
            <w:vAlign w:val="bottom"/>
            <w:tcBorders>
              <w:top w:val="single" w:sz="8" w:color="CCEEFF"/>
            </w:tcBorders>
            <w:shd w:val="clear" w:color="auto" w:fill="CCEEFF"/>
          </w:tcPr>
          <w:p>
            <w:pPr>
              <w:spacing w:after="0" w:line="20" w:lineRule="exact"/>
              <w:rPr>
                <w:sz w:val="1"/>
                <w:szCs w:val="1"/>
                <w:color w:val="auto"/>
              </w:rPr>
            </w:pPr>
          </w:p>
        </w:tc>
        <w:tc>
          <w:tcPr>
            <w:tcW w:w="206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413"/>
        </w:trPr>
        <w:tc>
          <w:tcPr>
            <w:tcW w:w="7560" w:type="dxa"/>
            <w:vAlign w:val="bottom"/>
            <w:gridSpan w:val="5"/>
          </w:tcPr>
          <w:p>
            <w:pPr>
              <w:jc w:val="right"/>
              <w:ind w:right="60"/>
              <w:spacing w:after="0"/>
              <w:rPr>
                <w:sz w:val="20"/>
                <w:szCs w:val="20"/>
                <w:color w:val="auto"/>
              </w:rPr>
            </w:pPr>
            <w:r>
              <w:rPr>
                <w:rFonts w:ascii="Arial" w:cs="Arial" w:eastAsia="Arial" w:hAnsi="Arial"/>
                <w:sz w:val="18"/>
                <w:szCs w:val="18"/>
                <w:color w:val="auto"/>
                <w:w w:val="90"/>
              </w:rPr>
              <w:t>Estimated future amortization expense for intangible assets that exist at February 27, 2021 is as follows:</w:t>
            </w:r>
          </w:p>
        </w:tc>
        <w:tc>
          <w:tcPr>
            <w:tcW w:w="9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fiscal 2021</w:t>
            </w:r>
          </w:p>
        </w:tc>
        <w:tc>
          <w:tcPr>
            <w:tcW w:w="2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80" w:type="dxa"/>
            <w:vAlign w:val="bottom"/>
            <w:shd w:val="clear" w:color="auto" w:fill="CCEEFF"/>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ind w:left="20"/>
              <w:spacing w:after="0"/>
              <w:rPr>
                <w:sz w:val="20"/>
                <w:szCs w:val="20"/>
                <w:color w:val="auto"/>
              </w:rPr>
            </w:pPr>
            <w:r>
              <w:rPr>
                <w:rFonts w:ascii="Arial" w:cs="Arial" w:eastAsia="Arial" w:hAnsi="Arial"/>
                <w:sz w:val="18"/>
                <w:szCs w:val="18"/>
                <w:color w:val="auto"/>
              </w:rPr>
              <w:t>Fiscal 2022</w:t>
            </w: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279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Fiscal 2023</w:t>
            </w:r>
          </w:p>
        </w:tc>
        <w:tc>
          <w:tcPr>
            <w:tcW w:w="2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80" w:type="dxa"/>
            <w:vAlign w:val="bottom"/>
            <w:shd w:val="clear" w:color="auto" w:fill="CCEEFF"/>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ind w:left="20"/>
              <w:spacing w:after="0"/>
              <w:rPr>
                <w:sz w:val="20"/>
                <w:szCs w:val="20"/>
                <w:color w:val="auto"/>
              </w:rPr>
            </w:pPr>
            <w:r>
              <w:rPr>
                <w:rFonts w:ascii="Arial" w:cs="Arial" w:eastAsia="Arial" w:hAnsi="Arial"/>
                <w:sz w:val="18"/>
                <w:szCs w:val="18"/>
                <w:color w:val="auto"/>
              </w:rPr>
              <w:t>Fiscal 2024</w:t>
            </w: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Fiscal 2025</w:t>
            </w:r>
          </w:p>
        </w:tc>
        <w:tc>
          <w:tcPr>
            <w:tcW w:w="2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80" w:type="dxa"/>
            <w:vAlign w:val="bottom"/>
            <w:shd w:val="clear" w:color="auto" w:fill="CCEEFF"/>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ind w:left="20"/>
              <w:spacing w:after="0"/>
              <w:rPr>
                <w:sz w:val="20"/>
                <w:szCs w:val="20"/>
                <w:color w:val="auto"/>
              </w:rPr>
            </w:pPr>
            <w:r>
              <w:rPr>
                <w:rFonts w:ascii="Arial" w:cs="Arial" w:eastAsia="Arial" w:hAnsi="Arial"/>
                <w:sz w:val="18"/>
                <w:szCs w:val="18"/>
                <w:color w:val="auto"/>
              </w:rPr>
              <w:t>Fiscal 2026</w:t>
            </w: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20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0"/>
        </w:trPr>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180" w:type="dxa"/>
            <w:vAlign w:val="bottom"/>
          </w:tcPr>
          <w:p>
            <w:pPr>
              <w:ind w:left="20"/>
              <w:spacing w:after="0"/>
              <w:rPr>
                <w:sz w:val="20"/>
                <w:szCs w:val="20"/>
                <w:color w:val="auto"/>
              </w:rPr>
            </w:pPr>
            <w:r>
              <w:rPr>
                <w:rFonts w:ascii="Arial" w:cs="Arial" w:eastAsia="Arial" w:hAnsi="Arial"/>
                <w:sz w:val="18"/>
                <w:szCs w:val="18"/>
                <w:color w:val="auto"/>
              </w:rPr>
              <w:t>Total</w:t>
            </w: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2,248</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5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Bank Credit Facility</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bank credit facility provides for a line of credit of up to $25,000. At February 27, 2021, we had $3,181 outstanding under standby letters of credit against our line, leaving availability under our credit line of $21,819. In addition, we have outstanding standby letters of credit with another bank totaling $325. The line bears interest at the rate of LIBOR plus 1.9%, with a fee of 0.25% charged for the unused portion of the line and is secured by a general lien on our accounts receivable and inventory. We were in compliance with all covenants under the agreement as of February 27, 2021 and expect to remain in compliance through the end of fiscal 2021. The credit facility matures on January 31, 2022.</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Post Employment Benefit Obligations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Defined Benefit Plans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an unfunded Supplemental Retirement Income Plan (the “Supplemental Plan”) that covers one current and certain former executives. The liability for the Supplemental Plan was $8,525 and $8,565 as of February 27, 2021 and November 28, 2020, respectively.</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$1,533 and $1,506 as of February 27, 2021 and November 28, 2020, respectively.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The combined pension liability for the Supplemental Plan and LTC Awards is recorded as follows in the condensed consolidated balance sheets:</w:t>
      </w:r>
    </w:p>
    <w:p>
      <w:pPr>
        <w:spacing w:after="0" w:line="233" w:lineRule="exact"/>
        <w:rPr>
          <w:sz w:val="20"/>
          <w:szCs w:val="20"/>
          <w:color w:val="auto"/>
        </w:rPr>
      </w:pPr>
    </w:p>
    <w:tbl>
      <w:tblPr>
        <w:tblLayout w:type="fixed"/>
        <w:tblInd w:w="50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tcPr>
          <w:p>
            <w:pPr>
              <w:jc w:val="right"/>
              <w:ind w:right="250"/>
              <w:spacing w:after="0"/>
              <w:rPr>
                <w:sz w:val="20"/>
                <w:szCs w:val="20"/>
                <w:color w:val="auto"/>
              </w:rPr>
            </w:pPr>
            <w:r>
              <w:rPr>
                <w:rFonts w:ascii="Arial" w:cs="Arial" w:eastAsia="Arial" w:hAnsi="Arial"/>
                <w:sz w:val="18"/>
                <w:szCs w:val="18"/>
                <w:b w:val="1"/>
                <w:bCs w:val="1"/>
                <w:color w:val="auto"/>
              </w:rPr>
              <w:t>February 27,</w:t>
            </w:r>
          </w:p>
        </w:tc>
        <w:tc>
          <w:tcPr>
            <w:tcW w:w="24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Arial" w:cs="Arial" w:eastAsia="Arial" w:hAnsi="Arial"/>
                <w:sz w:val="18"/>
                <w:szCs w:val="18"/>
                <w:b w:val="1"/>
                <w:bCs w:val="1"/>
                <w:color w:val="auto"/>
              </w:rPr>
              <w:t>November 28,</w:t>
            </w:r>
          </w:p>
        </w:tc>
      </w:tr>
      <w:tr>
        <w:trPr>
          <w:trHeight w:val="234"/>
        </w:trPr>
        <w:tc>
          <w:tcPr>
            <w:tcW w:w="56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r>
      <w:tr>
        <w:trPr>
          <w:trHeight w:val="209"/>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18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9,445</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9,458</w:t>
            </w:r>
          </w:p>
        </w:tc>
        <w:tc>
          <w:tcPr>
            <w:tcW w:w="8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Total pension liability</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10,058</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10,071</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Components of net periodic pension costs for our defined benefit plans for the three months ended February 27, 2021 and February 29, 2020 are as follows:</w:t>
      </w:r>
    </w:p>
    <w:p>
      <w:pPr>
        <w:sectPr>
          <w:pgSz w:w="11900" w:h="16838" w:orient="portrait"/>
          <w:cols w:equalWidth="0" w:num="1">
            <w:col w:w="11240"/>
          </w:cols>
          <w:pgMar w:left="320" w:top="58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Service cost</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Interest cost</w:t>
      </w:r>
    </w:p>
    <w:p>
      <w:pPr>
        <w:spacing w:after="0" w:line="9" w:lineRule="exact"/>
        <w:rPr>
          <w:sz w:val="20"/>
          <w:szCs w:val="20"/>
          <w:color w:val="auto"/>
        </w:rPr>
      </w:pPr>
    </w:p>
    <w:p>
      <w:pPr>
        <w:ind w:left="500"/>
        <w:spacing w:after="0"/>
        <w:rPr>
          <w:sz w:val="20"/>
          <w:szCs w:val="20"/>
          <w:color w:val="auto"/>
        </w:rPr>
      </w:pPr>
      <w:r>
        <w:rPr>
          <w:rFonts w:ascii="Arial" w:cs="Arial" w:eastAsia="Arial" w:hAnsi="Arial"/>
          <w:sz w:val="16"/>
          <w:szCs w:val="16"/>
          <w:color w:val="auto"/>
        </w:rPr>
        <w:t>Amortization of prior service costs</w:t>
      </w:r>
    </w:p>
    <w:p>
      <w:pPr>
        <w:spacing w:after="0" w:line="32"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Amortization of loss</w:t>
      </w:r>
    </w:p>
    <w:p>
      <w:pPr>
        <w:spacing w:after="0" w:line="265"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Net periodic pension cost</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Quarter Ended</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620" w:type="dxa"/>
            <w:vAlign w:val="bottom"/>
            <w:tcBorders>
              <w:top w:val="single" w:sz="8" w:color="auto"/>
              <w:bottom w:val="single" w:sz="8" w:color="auto"/>
            </w:tcBorders>
            <w:gridSpan w:val="2"/>
          </w:tcPr>
          <w:p>
            <w:pPr>
              <w:jc w:val="right"/>
              <w:ind w:right="50"/>
              <w:spacing w:after="0"/>
              <w:rPr>
                <w:sz w:val="20"/>
                <w:szCs w:val="20"/>
                <w:color w:val="auto"/>
              </w:rPr>
            </w:pPr>
            <w:r>
              <w:rPr>
                <w:rFonts w:ascii="Arial" w:cs="Arial" w:eastAsia="Arial" w:hAnsi="Arial"/>
                <w:sz w:val="18"/>
                <w:szCs w:val="18"/>
                <w:b w:val="1"/>
                <w:bCs w:val="1"/>
                <w:color w:val="auto"/>
                <w:w w:val="95"/>
              </w:rPr>
              <w:t>February 27, 2021</w:t>
            </w:r>
          </w:p>
        </w:tc>
        <w:tc>
          <w:tcPr>
            <w:tcW w:w="16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9"/>
              </w:rPr>
              <w:t>February 29, 2020</w:t>
            </w:r>
          </w:p>
        </w:tc>
        <w:tc>
          <w:tcPr>
            <w:tcW w:w="20" w:type="dxa"/>
            <w:vAlign w:val="bottom"/>
          </w:tcPr>
          <w:p>
            <w:pPr>
              <w:spacing w:after="0"/>
              <w:rPr>
                <w:sz w:val="18"/>
                <w:szCs w:val="18"/>
                <w:color w:val="auto"/>
              </w:rPr>
            </w:pPr>
          </w:p>
        </w:tc>
      </w:tr>
      <w:tr>
        <w:trPr>
          <w:trHeight w:val="195"/>
        </w:trPr>
        <w:tc>
          <w:tcPr>
            <w:tcW w:w="680" w:type="dxa"/>
            <w:vAlign w:val="bottom"/>
          </w:tcPr>
          <w:p>
            <w:pPr>
              <w:jc w:val="right"/>
              <w:ind w:right="490"/>
              <w:spacing w:after="0" w:line="195"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line="195" w:lineRule="exact"/>
              <w:rPr>
                <w:sz w:val="20"/>
                <w:szCs w:val="20"/>
                <w:color w:val="auto"/>
              </w:rPr>
            </w:pPr>
            <w:r>
              <w:rPr>
                <w:rFonts w:ascii="Arial" w:cs="Arial" w:eastAsia="Arial" w:hAnsi="Arial"/>
                <w:sz w:val="18"/>
                <w:szCs w:val="18"/>
                <w:color w:val="auto"/>
              </w:rPr>
              <w:t>31</w:t>
            </w:r>
          </w:p>
        </w:tc>
        <w:tc>
          <w:tcPr>
            <w:tcW w:w="760" w:type="dxa"/>
            <w:vAlign w:val="bottom"/>
          </w:tcPr>
          <w:p>
            <w:pPr>
              <w:jc w:val="right"/>
              <w:ind w:right="490"/>
              <w:spacing w:after="0" w:line="195" w:lineRule="exact"/>
              <w:rPr>
                <w:sz w:val="20"/>
                <w:szCs w:val="20"/>
                <w:color w:val="auto"/>
              </w:rPr>
            </w:pPr>
            <w:r>
              <w:rPr>
                <w:rFonts w:ascii="Arial" w:cs="Arial" w:eastAsia="Arial" w:hAnsi="Arial"/>
                <w:sz w:val="18"/>
                <w:szCs w:val="18"/>
                <w:color w:val="auto"/>
              </w:rPr>
              <w:t>$</w:t>
            </w:r>
          </w:p>
        </w:tc>
        <w:tc>
          <w:tcPr>
            <w:tcW w:w="860" w:type="dxa"/>
            <w:vAlign w:val="bottom"/>
          </w:tcPr>
          <w:p>
            <w:pPr>
              <w:jc w:val="right"/>
              <w:spacing w:after="0" w:line="195" w:lineRule="exact"/>
              <w:rPr>
                <w:sz w:val="20"/>
                <w:szCs w:val="20"/>
                <w:color w:val="auto"/>
              </w:rPr>
            </w:pPr>
            <w:r>
              <w:rPr>
                <w:rFonts w:ascii="Arial" w:cs="Arial" w:eastAsia="Arial" w:hAnsi="Arial"/>
                <w:sz w:val="18"/>
                <w:szCs w:val="18"/>
                <w:color w:val="auto"/>
              </w:rPr>
              <w:t>43</w:t>
            </w:r>
          </w:p>
        </w:tc>
        <w:tc>
          <w:tcPr>
            <w:tcW w:w="20" w:type="dxa"/>
            <w:vAlign w:val="bottom"/>
          </w:tcPr>
          <w:p>
            <w:pPr>
              <w:spacing w:after="0"/>
              <w:rPr>
                <w:sz w:val="16"/>
                <w:szCs w:val="16"/>
                <w:color w:val="auto"/>
              </w:rPr>
            </w:pPr>
          </w:p>
        </w:tc>
      </w:tr>
      <w:tr>
        <w:trPr>
          <w:trHeight w:val="216"/>
        </w:trPr>
        <w:tc>
          <w:tcPr>
            <w:tcW w:w="6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48</w:t>
            </w:r>
          </w:p>
        </w:tc>
        <w:tc>
          <w:tcPr>
            <w:tcW w:w="76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67</w:t>
            </w:r>
          </w:p>
        </w:tc>
      </w:tr>
      <w:tr>
        <w:trPr>
          <w:trHeight w:val="216"/>
        </w:trPr>
        <w:tc>
          <w:tcPr>
            <w:tcW w:w="6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31</w:t>
            </w:r>
          </w:p>
        </w:tc>
        <w:tc>
          <w:tcPr>
            <w:tcW w:w="76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31</w:t>
            </w:r>
          </w:p>
        </w:tc>
      </w:tr>
      <w:tr>
        <w:trPr>
          <w:trHeight w:val="230"/>
        </w:trPr>
        <w:tc>
          <w:tcPr>
            <w:tcW w:w="6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7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w:t>
            </w:r>
          </w:p>
        </w:tc>
      </w:tr>
      <w:tr>
        <w:trPr>
          <w:trHeight w:val="425"/>
        </w:trPr>
        <w:tc>
          <w:tcPr>
            <w:tcW w:w="6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w:t>
            </w:r>
          </w:p>
        </w:tc>
        <w:tc>
          <w:tcPr>
            <w:tcW w:w="7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142</w:t>
            </w:r>
          </w:p>
        </w:tc>
      </w:tr>
      <w:tr>
        <w:trPr>
          <w:trHeight w:val="20"/>
        </w:trPr>
        <w:tc>
          <w:tcPr>
            <w:tcW w:w="6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-3597275</wp:posOffset>
            </wp:positionH>
            <wp:positionV relativeFrom="paragraph">
              <wp:posOffset>-856615</wp:posOffset>
            </wp:positionV>
            <wp:extent cx="5700395"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00395" cy="137160"/>
                    </a:xfrm>
                    <a:prstGeom prst="rect">
                      <a:avLst/>
                    </a:prstGeom>
                    <a:noFill/>
                  </pic:spPr>
                </pic:pic>
              </a:graphicData>
            </a:graphic>
          </wp:anchor>
        </w:drawing>
        <w:drawing>
          <wp:anchor simplePos="0" relativeHeight="251657728" behindDoc="1" locked="0" layoutInCell="0" allowOverlap="1">
            <wp:simplePos x="0" y="0"/>
            <wp:positionH relativeFrom="column">
              <wp:posOffset>-3597275</wp:posOffset>
            </wp:positionH>
            <wp:positionV relativeFrom="paragraph">
              <wp:posOffset>-582295</wp:posOffset>
            </wp:positionV>
            <wp:extent cx="5700395"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00395" cy="137160"/>
                    </a:xfrm>
                    <a:prstGeom prst="rect">
                      <a:avLst/>
                    </a:prstGeom>
                    <a:noFill/>
                  </pic:spPr>
                </pic:pic>
              </a:graphicData>
            </a:graphic>
          </wp:anchor>
        </w:drawing>
        <w:drawing>
          <wp:anchor simplePos="0" relativeHeight="251657728" behindDoc="1" locked="0" layoutInCell="0" allowOverlap="1">
            <wp:simplePos x="0" y="0"/>
            <wp:positionH relativeFrom="column">
              <wp:posOffset>-3597275</wp:posOffset>
            </wp:positionH>
            <wp:positionV relativeFrom="paragraph">
              <wp:posOffset>-299720</wp:posOffset>
            </wp:positionV>
            <wp:extent cx="5700395"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440" w:space="720"/>
            <w:col w:w="5080"/>
          </w:cols>
          <w:pgMar w:left="320" w:top="584" w:right="339" w:bottom="1440" w:gutter="0" w:footer="0" w:header="0"/>
          <w:type w:val="continuous"/>
        </w:sectPr>
      </w:pPr>
    </w:p>
    <w:p>
      <w:pPr>
        <w:spacing w:after="0" w:line="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components of net periodic pension cost other than the service cost component are included in other loss, net in our condensed consolidated statements of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Deferred Compensation Plans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$1,664 and $1,677 as of February 27, 2021 and November 28, 2020, respectively.</w:t>
      </w:r>
    </w:p>
    <w:p>
      <w:pPr>
        <w:spacing w:after="0" w:line="18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also have an unfunded, nonqualified deferred compensation plan maintained for the benefit of certain highly compensated or management level employees which was established under the Management Savings Plan. Our liability under this plan, including both accrued Company contributions and participant salary deferrals, was $1,533 and $1,250 as of February 27, 2021 and November 28, 2020, respectively.</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162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b w:val="1"/>
                <w:bCs w:val="1"/>
                <w:color w:val="auto"/>
                <w:w w:val="95"/>
              </w:rPr>
              <w:t>February 27, 2021</w:t>
            </w:r>
          </w:p>
        </w:tc>
        <w:tc>
          <w:tcPr>
            <w:tcW w:w="16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5"/>
              </w:rPr>
              <w:t>November 28, 2020</w:t>
            </w:r>
          </w:p>
        </w:tc>
        <w:tc>
          <w:tcPr>
            <w:tcW w:w="80" w:type="dxa"/>
            <w:vAlign w:val="bottom"/>
          </w:tcPr>
          <w:p>
            <w:pPr>
              <w:spacing w:after="0"/>
              <w:rPr>
                <w:sz w:val="20"/>
                <w:szCs w:val="20"/>
                <w:color w:val="auto"/>
              </w:rPr>
            </w:pPr>
          </w:p>
        </w:tc>
        <w:tc>
          <w:tcPr>
            <w:tcW w:w="1760" w:type="dxa"/>
            <w:vAlign w:val="bottom"/>
          </w:tcPr>
          <w:p>
            <w:pPr>
              <w:spacing w:after="0"/>
              <w:rPr>
                <w:sz w:val="20"/>
                <w:szCs w:val="20"/>
                <w:color w:val="auto"/>
              </w:rPr>
            </w:pPr>
          </w:p>
        </w:tc>
      </w:tr>
      <w:tr>
        <w:trPr>
          <w:trHeight w:val="210"/>
        </w:trPr>
        <w:tc>
          <w:tcPr>
            <w:tcW w:w="50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2540" w:type="dxa"/>
            <w:vAlign w:val="bottom"/>
            <w:gridSpan w:val="2"/>
            <w:shd w:val="clear" w:color="auto" w:fill="CCEEFF"/>
          </w:tcPr>
          <w:p>
            <w:pPr>
              <w:jc w:val="right"/>
              <w:ind w:right="4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w:t>
            </w:r>
          </w:p>
        </w:tc>
        <w:tc>
          <w:tcPr>
            <w:tcW w:w="70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296</w:t>
            </w:r>
          </w:p>
        </w:tc>
        <w:tc>
          <w:tcPr>
            <w:tcW w:w="1760" w:type="dxa"/>
            <w:vAlign w:val="bottom"/>
          </w:tcPr>
          <w:p>
            <w:pPr>
              <w:spacing w:after="0"/>
              <w:rPr>
                <w:sz w:val="18"/>
                <w:szCs w:val="18"/>
                <w:color w:val="auto"/>
              </w:rPr>
            </w:pPr>
          </w:p>
        </w:tc>
      </w:tr>
      <w:tr>
        <w:trPr>
          <w:trHeight w:val="216"/>
        </w:trPr>
        <w:tc>
          <w:tcPr>
            <w:tcW w:w="50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19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2,901</w:t>
            </w:r>
          </w:p>
        </w:tc>
        <w:tc>
          <w:tcPr>
            <w:tcW w:w="70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2,631</w:t>
            </w:r>
          </w:p>
        </w:tc>
        <w:tc>
          <w:tcPr>
            <w:tcW w:w="1760" w:type="dxa"/>
            <w:vAlign w:val="bottom"/>
          </w:tcPr>
          <w:p>
            <w:pPr>
              <w:spacing w:after="0"/>
              <w:rPr>
                <w:sz w:val="18"/>
                <w:szCs w:val="18"/>
                <w:color w:val="auto"/>
              </w:rPr>
            </w:pPr>
          </w:p>
        </w:tc>
      </w:tr>
      <w:tr>
        <w:trPr>
          <w:trHeight w:val="210"/>
        </w:trPr>
        <w:tc>
          <w:tcPr>
            <w:tcW w:w="500" w:type="dxa"/>
            <w:vAlign w:val="bottom"/>
          </w:tcPr>
          <w:p>
            <w:pPr>
              <w:spacing w:after="0"/>
              <w:rPr>
                <w:sz w:val="18"/>
                <w:szCs w:val="18"/>
                <w:color w:val="auto"/>
              </w:rPr>
            </w:pPr>
          </w:p>
        </w:tc>
        <w:tc>
          <w:tcPr>
            <w:tcW w:w="374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60" w:type="dxa"/>
            <w:vAlign w:val="bottom"/>
          </w:tcPr>
          <w:p>
            <w:pPr>
              <w:spacing w:after="0"/>
              <w:rPr>
                <w:sz w:val="18"/>
                <w:szCs w:val="18"/>
                <w:color w:val="auto"/>
              </w:rPr>
            </w:pPr>
          </w:p>
        </w:tc>
      </w:tr>
      <w:tr>
        <w:trPr>
          <w:trHeight w:val="216"/>
        </w:trPr>
        <w:tc>
          <w:tcPr>
            <w:tcW w:w="50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8"/>
                <w:szCs w:val="18"/>
                <w:color w:val="auto"/>
              </w:rPr>
              <w:t>Total deferred compensation liability</w:t>
            </w:r>
          </w:p>
        </w:tc>
        <w:tc>
          <w:tcPr>
            <w:tcW w:w="1920" w:type="dxa"/>
            <w:vAlign w:val="bottom"/>
          </w:tcPr>
          <w:p>
            <w:pPr>
              <w:spacing w:after="0"/>
              <w:rPr>
                <w:sz w:val="18"/>
                <w:szCs w:val="18"/>
                <w:color w:val="auto"/>
              </w:rPr>
            </w:pPr>
          </w:p>
        </w:tc>
        <w:tc>
          <w:tcPr>
            <w:tcW w:w="62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3,197</w:t>
            </w:r>
          </w:p>
        </w:tc>
        <w:tc>
          <w:tcPr>
            <w:tcW w:w="70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2,927</w:t>
            </w:r>
          </w:p>
        </w:tc>
        <w:tc>
          <w:tcPr>
            <w:tcW w:w="80" w:type="dxa"/>
            <w:vAlign w:val="bottom"/>
          </w:tcPr>
          <w:p>
            <w:pPr>
              <w:spacing w:after="0"/>
              <w:rPr>
                <w:sz w:val="18"/>
                <w:szCs w:val="18"/>
                <w:color w:val="auto"/>
              </w:rPr>
            </w:pPr>
          </w:p>
        </w:tc>
        <w:tc>
          <w:tcPr>
            <w:tcW w:w="1760" w:type="dxa"/>
            <w:vAlign w:val="bottom"/>
          </w:tcPr>
          <w:p>
            <w:pPr>
              <w:spacing w:after="0"/>
              <w:rPr>
                <w:sz w:val="18"/>
                <w:szCs w:val="18"/>
                <w:color w:val="auto"/>
              </w:rPr>
            </w:pPr>
          </w:p>
        </w:tc>
      </w:tr>
      <w:tr>
        <w:trPr>
          <w:trHeight w:val="20"/>
        </w:trPr>
        <w:tc>
          <w:tcPr>
            <w:tcW w:w="50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r>
      <w:tr>
        <w:trPr>
          <w:trHeight w:val="413"/>
        </w:trPr>
        <w:tc>
          <w:tcPr>
            <w:tcW w:w="50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40" w:type="dxa"/>
            <w:vAlign w:val="bottom"/>
            <w:gridSpan w:val="2"/>
          </w:tcPr>
          <w:p>
            <w:pPr>
              <w:jc w:val="right"/>
              <w:ind w:right="770"/>
              <w:spacing w:after="0"/>
              <w:rPr>
                <w:sz w:val="20"/>
                <w:szCs w:val="20"/>
                <w:color w:val="auto"/>
              </w:rPr>
            </w:pPr>
            <w:r>
              <w:rPr>
                <w:rFonts w:ascii="Arial" w:cs="Arial" w:eastAsia="Arial" w:hAnsi="Arial"/>
                <w:sz w:val="18"/>
                <w:szCs w:val="18"/>
                <w:color w:val="auto"/>
              </w:rPr>
              <w:t>13 of 32</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60" w:type="dxa"/>
            <w:vAlign w:val="bottom"/>
          </w:tcPr>
          <w:p>
            <w:pPr>
              <w:spacing w:after="0"/>
              <w:rPr>
                <w:sz w:val="24"/>
                <w:szCs w:val="24"/>
                <w:color w:val="auto"/>
              </w:rPr>
            </w:pPr>
          </w:p>
        </w:tc>
      </w:tr>
      <w:tr>
        <w:trPr>
          <w:trHeight w:val="115"/>
        </w:trPr>
        <w:tc>
          <w:tcPr>
            <w:tcW w:w="500" w:type="dxa"/>
            <w:vAlign w:val="bottom"/>
            <w:tcBorders>
              <w:bottom w:val="single" w:sz="8" w:color="auto"/>
            </w:tcBorders>
          </w:tcPr>
          <w:p>
            <w:pPr>
              <w:spacing w:after="0"/>
              <w:rPr>
                <w:sz w:val="10"/>
                <w:szCs w:val="10"/>
                <w:color w:val="auto"/>
              </w:rPr>
            </w:pPr>
          </w:p>
        </w:tc>
        <w:tc>
          <w:tcPr>
            <w:tcW w:w="3740" w:type="dxa"/>
            <w:vAlign w:val="bottom"/>
            <w:tcBorders>
              <w:bottom w:val="single" w:sz="8" w:color="auto"/>
            </w:tcBorders>
          </w:tcPr>
          <w:p>
            <w:pPr>
              <w:spacing w:after="0"/>
              <w:rPr>
                <w:sz w:val="10"/>
                <w:szCs w:val="10"/>
                <w:color w:val="auto"/>
              </w:rPr>
            </w:pPr>
          </w:p>
        </w:tc>
        <w:tc>
          <w:tcPr>
            <w:tcW w:w="192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76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type w:val="continuous"/>
        </w:sectPr>
      </w:pPr>
    </w:p>
    <w:bookmarkStart w:id="13" w:name="page14"/>
    <w:bookmarkEnd w:id="13"/>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We recognized expense under our deferred compensation arrangements during the three months ended February 27, 2021 and February 29, 2020 as follows:</w:t>
      </w:r>
    </w:p>
    <w:p>
      <w:pPr>
        <w:spacing w:after="0" w:line="166" w:lineRule="exact"/>
        <w:rPr>
          <w:sz w:val="20"/>
          <w:szCs w:val="20"/>
          <w:color w:val="auto"/>
        </w:rPr>
      </w:pPr>
    </w:p>
    <w:tbl>
      <w:tblPr>
        <w:tblLayout w:type="fixed"/>
        <w:tblInd w:w="500" w:type="dxa"/>
        <w:tblCellMar>
          <w:top w:w="0" w:type="dxa"/>
          <w:left w:w="0" w:type="dxa"/>
          <w:bottom w:w="0" w:type="dxa"/>
          <w:right w:w="0" w:type="dxa"/>
        </w:tblCellMar>
      </w:tblPr>
      <w:tr>
        <w:trPr>
          <w:trHeight w:val="234"/>
        </w:trPr>
        <w:tc>
          <w:tcPr>
            <w:tcW w:w="566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2"/>
          </w:tcPr>
          <w:p>
            <w:pPr>
              <w:jc w:val="right"/>
              <w:ind w:right="330"/>
              <w:spacing w:after="0"/>
              <w:rPr>
                <w:sz w:val="20"/>
                <w:szCs w:val="20"/>
                <w:color w:val="auto"/>
              </w:rPr>
            </w:pPr>
            <w:r>
              <w:rPr>
                <w:rFonts w:ascii="Arial" w:cs="Arial" w:eastAsia="Arial" w:hAnsi="Arial"/>
                <w:sz w:val="18"/>
                <w:szCs w:val="18"/>
                <w:b w:val="1"/>
                <w:bCs w:val="1"/>
                <w:color w:val="auto"/>
              </w:rPr>
              <w:t>Quarter Ended</w:t>
            </w:r>
          </w:p>
        </w:tc>
        <w:tc>
          <w:tcPr>
            <w:tcW w:w="6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09"/>
        </w:trPr>
        <w:tc>
          <w:tcPr>
            <w:tcW w:w="5660" w:type="dxa"/>
            <w:vAlign w:val="bottom"/>
          </w:tcPr>
          <w:p>
            <w:pPr>
              <w:spacing w:after="0"/>
              <w:rPr>
                <w:sz w:val="18"/>
                <w:szCs w:val="18"/>
                <w:color w:val="auto"/>
              </w:rPr>
            </w:pPr>
          </w:p>
        </w:tc>
        <w:tc>
          <w:tcPr>
            <w:tcW w:w="162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b w:val="1"/>
                <w:bCs w:val="1"/>
                <w:color w:val="auto"/>
                <w:w w:val="95"/>
              </w:rPr>
              <w:t>February 27, 2021</w:t>
            </w:r>
          </w:p>
        </w:tc>
        <w:tc>
          <w:tcPr>
            <w:tcW w:w="16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9"/>
              </w:rPr>
              <w:t>February 29, 2020</w:t>
            </w:r>
          </w:p>
        </w:tc>
        <w:tc>
          <w:tcPr>
            <w:tcW w:w="80" w:type="dxa"/>
            <w:vAlign w:val="bottom"/>
          </w:tcPr>
          <w:p>
            <w:pPr>
              <w:spacing w:after="0"/>
              <w:rPr>
                <w:sz w:val="18"/>
                <w:szCs w:val="18"/>
                <w:color w:val="auto"/>
              </w:rPr>
            </w:pPr>
          </w:p>
        </w:tc>
      </w:tr>
      <w:tr>
        <w:trPr>
          <w:trHeight w:val="250"/>
        </w:trPr>
        <w:tc>
          <w:tcPr>
            <w:tcW w:w="56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Deferred compensation expense</w:t>
            </w:r>
          </w:p>
        </w:tc>
        <w:tc>
          <w:tcPr>
            <w:tcW w:w="560" w:type="dxa"/>
            <w:vAlign w:val="bottom"/>
            <w:tcBorders>
              <w:bottom w:val="single" w:sz="8" w:color="auto"/>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1000" w:type="dxa"/>
            <w:vAlign w:val="bottom"/>
            <w:tcBorders>
              <w:bottom w:val="single" w:sz="8" w:color="auto"/>
            </w:tcBorders>
            <w:shd w:val="clear" w:color="auto" w:fill="CCEEFF"/>
          </w:tcPr>
          <w:p>
            <w:pPr>
              <w:jc w:val="right"/>
              <w:ind w:right="730"/>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Commitments and Contingencies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Lease Guarantees</w:t>
      </w:r>
    </w:p>
    <w:p>
      <w:pPr>
        <w:spacing w:after="0" w:line="229"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We have guaranteed certain lease obligations of licensee operators. Lease guarantees range from one to three years. We were contingently liable under licensee lease obligation guarantees in the amounts of $2,064 and $1,811 at February 27, 2021 and November 28, 2020, respectively.</w:t>
      </w:r>
    </w:p>
    <w:p>
      <w:pPr>
        <w:spacing w:after="0" w:line="14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the event of default by an independent dealer under the guaranteed lease, we believe that the risk of loss is mitigated through a combination of options that include, but are not limited to, arranging for a replacement dealer or liquidating the collateral (primarily inventory). The proceeds of the above options are expected to cover the estimated amount of our future payments under the guarantee obligations, net of recorded reserves. The fair value of lease guarantees (an estimate of the cost to the Company to perform on these guarantees) at February 27, 2021 and November 28, 2020 was not material.</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00" w:type="dxa"/>
            <w:vAlign w:val="bottom"/>
            <w:gridSpan w:val="2"/>
          </w:tcPr>
          <w:p>
            <w:pPr>
              <w:spacing w:after="0"/>
              <w:rPr>
                <w:sz w:val="20"/>
                <w:szCs w:val="20"/>
                <w:color w:val="auto"/>
              </w:rPr>
            </w:pPr>
            <w:r>
              <w:rPr>
                <w:rFonts w:ascii="Arial" w:cs="Arial" w:eastAsia="Arial" w:hAnsi="Arial"/>
                <w:sz w:val="18"/>
                <w:szCs w:val="18"/>
                <w:b w:val="1"/>
                <w:bCs w:val="1"/>
                <w:color w:val="auto"/>
              </w:rPr>
              <w:t>11. Earnings Per Share</w:t>
            </w:r>
          </w:p>
        </w:tc>
        <w:tc>
          <w:tcPr>
            <w:tcW w:w="1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4900" w:type="dxa"/>
            <w:vAlign w:val="bottom"/>
            <w:gridSpan w:val="2"/>
          </w:tcPr>
          <w:p>
            <w:pPr>
              <w:spacing w:after="0"/>
              <w:rPr>
                <w:sz w:val="20"/>
                <w:szCs w:val="20"/>
                <w:color w:val="auto"/>
              </w:rPr>
            </w:pPr>
            <w:r>
              <w:rPr>
                <w:rFonts w:ascii="Arial" w:cs="Arial" w:eastAsia="Arial" w:hAnsi="Arial"/>
                <w:sz w:val="18"/>
                <w:szCs w:val="18"/>
                <w:color w:val="auto"/>
                <w:w w:val="99"/>
              </w:rPr>
              <w:t>The following reconciles basic and diluted earnings per share:</w:t>
            </w: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29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40" w:type="dxa"/>
            <w:vAlign w:val="bottom"/>
          </w:tcPr>
          <w:p>
            <w:pPr>
              <w:jc w:val="right"/>
              <w:ind w:right="70"/>
              <w:spacing w:after="0"/>
              <w:rPr>
                <w:sz w:val="20"/>
                <w:szCs w:val="20"/>
                <w:color w:val="auto"/>
              </w:rPr>
            </w:pPr>
            <w:r>
              <w:rPr>
                <w:rFonts w:ascii="Arial" w:cs="Arial" w:eastAsia="Arial" w:hAnsi="Arial"/>
                <w:sz w:val="18"/>
                <w:szCs w:val="18"/>
                <w:color w:val="auto"/>
                <w:w w:val="98"/>
              </w:rPr>
              <w:t>Weighted Average</w:t>
            </w:r>
          </w:p>
        </w:tc>
        <w:tc>
          <w:tcPr>
            <w:tcW w:w="240" w:type="dxa"/>
            <w:vAlign w:val="bottom"/>
          </w:tcPr>
          <w:p>
            <w:pPr>
              <w:spacing w:after="0"/>
              <w:rPr>
                <w:sz w:val="24"/>
                <w:szCs w:val="24"/>
                <w:color w:val="auto"/>
              </w:rPr>
            </w:pPr>
          </w:p>
        </w:tc>
        <w:tc>
          <w:tcPr>
            <w:tcW w:w="1420" w:type="dxa"/>
            <w:vAlign w:val="bottom"/>
            <w:gridSpan w:val="2"/>
          </w:tcPr>
          <w:p>
            <w:pPr>
              <w:jc w:val="center"/>
              <w:ind w:right="240"/>
              <w:spacing w:after="0"/>
              <w:rPr>
                <w:sz w:val="20"/>
                <w:szCs w:val="20"/>
                <w:color w:val="auto"/>
              </w:rPr>
            </w:pPr>
            <w:r>
              <w:rPr>
                <w:rFonts w:ascii="Arial" w:cs="Arial" w:eastAsia="Arial" w:hAnsi="Arial"/>
                <w:sz w:val="18"/>
                <w:szCs w:val="18"/>
                <w:color w:val="auto"/>
                <w:w w:val="91"/>
              </w:rPr>
              <w:t>Net Income Per</w:t>
            </w:r>
          </w:p>
        </w:tc>
      </w:tr>
      <w:tr>
        <w:trPr>
          <w:trHeight w:val="230"/>
        </w:trPr>
        <w:tc>
          <w:tcPr>
            <w:tcW w:w="298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tcPr>
          <w:p>
            <w:pPr>
              <w:jc w:val="right"/>
              <w:ind w:right="370"/>
              <w:spacing w:after="0"/>
              <w:rPr>
                <w:sz w:val="20"/>
                <w:szCs w:val="20"/>
                <w:color w:val="auto"/>
              </w:rPr>
            </w:pPr>
            <w:r>
              <w:rPr>
                <w:rFonts w:ascii="Arial" w:cs="Arial" w:eastAsia="Arial" w:hAnsi="Arial"/>
                <w:sz w:val="18"/>
                <w:szCs w:val="18"/>
                <w:color w:val="auto"/>
              </w:rPr>
              <w:t>Net Income</w:t>
            </w:r>
          </w:p>
        </w:tc>
        <w:tc>
          <w:tcPr>
            <w:tcW w:w="1640" w:type="dxa"/>
            <w:vAlign w:val="bottom"/>
          </w:tcPr>
          <w:p>
            <w:pPr>
              <w:jc w:val="right"/>
              <w:ind w:right="510"/>
              <w:spacing w:after="0"/>
              <w:rPr>
                <w:sz w:val="20"/>
                <w:szCs w:val="20"/>
                <w:color w:val="auto"/>
              </w:rPr>
            </w:pPr>
            <w:r>
              <w:rPr>
                <w:rFonts w:ascii="Arial" w:cs="Arial" w:eastAsia="Arial" w:hAnsi="Arial"/>
                <w:sz w:val="18"/>
                <w:szCs w:val="18"/>
                <w:color w:val="auto"/>
              </w:rPr>
              <w:t>Shares</w:t>
            </w:r>
          </w:p>
        </w:tc>
        <w:tc>
          <w:tcPr>
            <w:tcW w:w="240" w:type="dxa"/>
            <w:vAlign w:val="bottom"/>
          </w:tcPr>
          <w:p>
            <w:pPr>
              <w:spacing w:after="0"/>
              <w:rPr>
                <w:sz w:val="20"/>
                <w:szCs w:val="20"/>
                <w:color w:val="auto"/>
              </w:rPr>
            </w:pPr>
          </w:p>
        </w:tc>
        <w:tc>
          <w:tcPr>
            <w:tcW w:w="1420" w:type="dxa"/>
            <w:vAlign w:val="bottom"/>
            <w:gridSpan w:val="2"/>
          </w:tcPr>
          <w:p>
            <w:pPr>
              <w:jc w:val="center"/>
              <w:ind w:right="240"/>
              <w:spacing w:after="0"/>
              <w:rPr>
                <w:sz w:val="20"/>
                <w:szCs w:val="20"/>
                <w:color w:val="auto"/>
              </w:rPr>
            </w:pPr>
            <w:r>
              <w:rPr>
                <w:rFonts w:ascii="Arial" w:cs="Arial" w:eastAsia="Arial" w:hAnsi="Arial"/>
                <w:sz w:val="18"/>
                <w:szCs w:val="18"/>
                <w:color w:val="auto"/>
                <w:w w:val="87"/>
              </w:rPr>
              <w:t>Share</w:t>
            </w:r>
          </w:p>
        </w:tc>
      </w:tr>
      <w:tr>
        <w:trPr>
          <w:trHeight w:val="189"/>
        </w:trPr>
        <w:tc>
          <w:tcPr>
            <w:tcW w:w="4900" w:type="dxa"/>
            <w:vAlign w:val="bottom"/>
            <w:gridSpan w:val="2"/>
            <w:shd w:val="clear" w:color="auto" w:fill="CCEEFF"/>
          </w:tcPr>
          <w:p>
            <w:pPr>
              <w:spacing w:after="0" w:line="169" w:lineRule="exact"/>
              <w:rPr>
                <w:sz w:val="20"/>
                <w:szCs w:val="20"/>
                <w:color w:val="auto"/>
              </w:rPr>
            </w:pPr>
            <w:r>
              <w:rPr>
                <w:rFonts w:ascii="Arial" w:cs="Arial" w:eastAsia="Arial" w:hAnsi="Arial"/>
                <w:sz w:val="18"/>
                <w:szCs w:val="18"/>
                <w:color w:val="auto"/>
              </w:rPr>
              <w:t>For the quarter ended February 27, 2021:</w:t>
            </w:r>
          </w:p>
        </w:tc>
        <w:tc>
          <w:tcPr>
            <w:tcW w:w="1420" w:type="dxa"/>
            <w:vAlign w:val="bottom"/>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142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32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2980" w:type="dxa"/>
            <w:vAlign w:val="bottom"/>
            <w:tcBorders>
              <w:top w:val="single" w:sz="8" w:color="auto"/>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4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Basic loss per share</w:t>
            </w:r>
          </w:p>
        </w:tc>
        <w:tc>
          <w:tcPr>
            <w:tcW w:w="1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4,011</w:t>
            </w:r>
          </w:p>
        </w:tc>
        <w:tc>
          <w:tcPr>
            <w:tcW w:w="1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9,919,518</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0.40</w:t>
            </w:r>
          </w:p>
        </w:tc>
      </w:tr>
      <w:tr>
        <w:trPr>
          <w:trHeight w:val="216"/>
        </w:trPr>
        <w:tc>
          <w:tcPr>
            <w:tcW w:w="4900" w:type="dxa"/>
            <w:vAlign w:val="bottom"/>
            <w:gridSpan w:val="2"/>
          </w:tcPr>
          <w:p>
            <w:pPr>
              <w:spacing w:after="0"/>
              <w:rPr>
                <w:sz w:val="20"/>
                <w:szCs w:val="20"/>
                <w:color w:val="auto"/>
              </w:rPr>
            </w:pPr>
            <w:r>
              <w:rPr>
                <w:rFonts w:ascii="Arial" w:cs="Arial" w:eastAsia="Arial" w:hAnsi="Arial"/>
                <w:sz w:val="18"/>
                <w:szCs w:val="18"/>
                <w:color w:val="auto"/>
              </w:rPr>
              <w:t>Add effect of dilutive securities:</w:t>
            </w: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Options and restricted shares</w:t>
            </w:r>
          </w:p>
        </w:tc>
        <w:tc>
          <w:tcPr>
            <w:tcW w:w="14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20,287</w:t>
            </w:r>
          </w:p>
        </w:tc>
        <w:tc>
          <w:tcPr>
            <w:tcW w:w="2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900" w:type="dxa"/>
            <w:vAlign w:val="bottom"/>
            <w:gridSpan w:val="2"/>
          </w:tcPr>
          <w:p>
            <w:pPr>
              <w:spacing w:after="0"/>
              <w:rPr>
                <w:sz w:val="20"/>
                <w:szCs w:val="20"/>
                <w:color w:val="auto"/>
              </w:rPr>
            </w:pPr>
            <w:r>
              <w:rPr>
                <w:rFonts w:ascii="Arial" w:cs="Arial" w:eastAsia="Arial" w:hAnsi="Arial"/>
                <w:sz w:val="18"/>
                <w:szCs w:val="18"/>
                <w:color w:val="auto"/>
              </w:rPr>
              <w:t>Diluted loss per share</w:t>
            </w:r>
          </w:p>
        </w:tc>
        <w:tc>
          <w:tcPr>
            <w:tcW w:w="16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20" w:type="dxa"/>
            <w:vAlign w:val="bottom"/>
          </w:tcPr>
          <w:p>
            <w:pPr>
              <w:jc w:val="right"/>
              <w:ind w:right="70"/>
              <w:spacing w:after="0"/>
              <w:rPr>
                <w:sz w:val="20"/>
                <w:szCs w:val="20"/>
                <w:color w:val="auto"/>
              </w:rPr>
            </w:pPr>
            <w:r>
              <w:rPr>
                <w:rFonts w:ascii="Arial" w:cs="Arial" w:eastAsia="Arial" w:hAnsi="Arial"/>
                <w:sz w:val="18"/>
                <w:szCs w:val="18"/>
                <w:color w:val="auto"/>
              </w:rPr>
              <w:t>4,011</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9,939,805</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0.40</w:t>
            </w:r>
          </w:p>
        </w:tc>
      </w:tr>
      <w:tr>
        <w:trPr>
          <w:trHeight w:val="20"/>
        </w:trPr>
        <w:tc>
          <w:tcPr>
            <w:tcW w:w="29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98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175"/>
        </w:trPr>
        <w:tc>
          <w:tcPr>
            <w:tcW w:w="4900" w:type="dxa"/>
            <w:vAlign w:val="bottom"/>
            <w:gridSpan w:val="2"/>
          </w:tcPr>
          <w:p>
            <w:pPr>
              <w:spacing w:after="0" w:line="176" w:lineRule="exact"/>
              <w:rPr>
                <w:sz w:val="20"/>
                <w:szCs w:val="20"/>
                <w:color w:val="auto"/>
              </w:rPr>
            </w:pPr>
            <w:r>
              <w:rPr>
                <w:rFonts w:ascii="Arial" w:cs="Arial" w:eastAsia="Arial" w:hAnsi="Arial"/>
                <w:sz w:val="18"/>
                <w:szCs w:val="18"/>
                <w:color w:val="auto"/>
              </w:rPr>
              <w:t>For the quarter ended February 29, 2020:</w:t>
            </w:r>
          </w:p>
        </w:tc>
        <w:tc>
          <w:tcPr>
            <w:tcW w:w="1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2980" w:type="dxa"/>
            <w:vAlign w:val="bottom"/>
            <w:tcBorders>
              <w:top w:val="single" w:sz="8" w:color="auto"/>
            </w:tcBorders>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298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00" w:type="dxa"/>
            <w:vAlign w:val="bottom"/>
            <w:gridSpan w:val="2"/>
          </w:tcPr>
          <w:p>
            <w:pPr>
              <w:spacing w:after="0"/>
              <w:rPr>
                <w:sz w:val="20"/>
                <w:szCs w:val="20"/>
                <w:color w:val="auto"/>
              </w:rPr>
            </w:pPr>
            <w:r>
              <w:rPr>
                <w:rFonts w:ascii="Arial" w:cs="Arial" w:eastAsia="Arial" w:hAnsi="Arial"/>
                <w:sz w:val="18"/>
                <w:szCs w:val="18"/>
                <w:color w:val="auto"/>
              </w:rPr>
              <w:t>Basic earnings per share</w:t>
            </w:r>
          </w:p>
        </w:tc>
        <w:tc>
          <w:tcPr>
            <w:tcW w:w="16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20" w:type="dxa"/>
            <w:vAlign w:val="bottom"/>
          </w:tcPr>
          <w:p>
            <w:pPr>
              <w:jc w:val="right"/>
              <w:ind w:right="70"/>
              <w:spacing w:after="0"/>
              <w:rPr>
                <w:sz w:val="20"/>
                <w:szCs w:val="20"/>
                <w:color w:val="auto"/>
              </w:rPr>
            </w:pPr>
            <w:r>
              <w:rPr>
                <w:rFonts w:ascii="Arial" w:cs="Arial" w:eastAsia="Arial" w:hAnsi="Arial"/>
                <w:sz w:val="18"/>
                <w:szCs w:val="18"/>
                <w:color w:val="auto"/>
              </w:rPr>
              <w:t>1,210</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10,027,227</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0.12</w:t>
            </w:r>
          </w:p>
        </w:tc>
      </w:tr>
      <w:tr>
        <w:trPr>
          <w:trHeight w:val="216"/>
        </w:trPr>
        <w:tc>
          <w:tcPr>
            <w:tcW w:w="4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 effect of dilutive securities:</w:t>
            </w: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900" w:type="dxa"/>
            <w:vAlign w:val="bottom"/>
            <w:gridSpan w:val="2"/>
          </w:tcPr>
          <w:p>
            <w:pPr>
              <w:ind w:left="180"/>
              <w:spacing w:after="0"/>
              <w:rPr>
                <w:sz w:val="20"/>
                <w:szCs w:val="20"/>
                <w:color w:val="auto"/>
              </w:rPr>
            </w:pPr>
            <w:r>
              <w:rPr>
                <w:rFonts w:ascii="Arial" w:cs="Arial" w:eastAsia="Arial" w:hAnsi="Arial"/>
                <w:sz w:val="18"/>
                <w:szCs w:val="18"/>
                <w:color w:val="auto"/>
              </w:rPr>
              <w:t>Options and restricted shares</w:t>
            </w:r>
          </w:p>
        </w:tc>
        <w:tc>
          <w:tcPr>
            <w:tcW w:w="14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25,969</w:t>
            </w:r>
          </w:p>
        </w:tc>
        <w:tc>
          <w:tcPr>
            <w:tcW w:w="2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49"/>
        </w:trPr>
        <w:tc>
          <w:tcPr>
            <w:tcW w:w="4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16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1,210</w:t>
            </w:r>
          </w:p>
        </w:tc>
        <w:tc>
          <w:tcPr>
            <w:tcW w:w="1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10,053,196</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0.12</w:t>
            </w:r>
          </w:p>
        </w:tc>
      </w:tr>
      <w:tr>
        <w:trPr>
          <w:trHeight w:val="413"/>
        </w:trPr>
        <w:tc>
          <w:tcPr>
            <w:tcW w:w="2980" w:type="dxa"/>
            <w:vAlign w:val="bottom"/>
            <w:tcBorders>
              <w:top w:val="single" w:sz="8" w:color="CCEEFF"/>
            </w:tcBorders>
          </w:tcPr>
          <w:p>
            <w:pPr>
              <w:spacing w:after="0"/>
              <w:rPr>
                <w:sz w:val="24"/>
                <w:szCs w:val="24"/>
                <w:color w:val="auto"/>
              </w:rPr>
            </w:pPr>
          </w:p>
        </w:tc>
        <w:tc>
          <w:tcPr>
            <w:tcW w:w="1920" w:type="dxa"/>
            <w:vAlign w:val="bottom"/>
            <w:tcBorders>
              <w:top w:val="single" w:sz="8" w:color="CCEEFF"/>
            </w:tcBorders>
          </w:tcPr>
          <w:p>
            <w:pPr>
              <w:spacing w:after="0"/>
              <w:rPr>
                <w:sz w:val="24"/>
                <w:szCs w:val="24"/>
                <w:color w:val="auto"/>
              </w:rPr>
            </w:pPr>
          </w:p>
        </w:tc>
        <w:tc>
          <w:tcPr>
            <w:tcW w:w="1420" w:type="dxa"/>
            <w:vAlign w:val="bottom"/>
            <w:tcBorders>
              <w:top w:val="single" w:sz="8" w:color="CCEEFF"/>
            </w:tcBorders>
          </w:tcPr>
          <w:p>
            <w:pPr>
              <w:ind w:left="420"/>
              <w:spacing w:after="0"/>
              <w:rPr>
                <w:sz w:val="20"/>
                <w:szCs w:val="20"/>
                <w:color w:val="auto"/>
              </w:rPr>
            </w:pPr>
            <w:r>
              <w:rPr>
                <w:rFonts w:ascii="Arial" w:cs="Arial" w:eastAsia="Arial" w:hAnsi="Arial"/>
                <w:sz w:val="18"/>
                <w:szCs w:val="18"/>
                <w:color w:val="auto"/>
              </w:rPr>
              <w:t>14 of 32</w:t>
            </w:r>
          </w:p>
        </w:tc>
        <w:tc>
          <w:tcPr>
            <w:tcW w:w="20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115"/>
        </w:trPr>
        <w:tc>
          <w:tcPr>
            <w:tcW w:w="2980" w:type="dxa"/>
            <w:vAlign w:val="bottom"/>
            <w:tcBorders>
              <w:bottom w:val="single" w:sz="8" w:color="auto"/>
            </w:tcBorders>
          </w:tcPr>
          <w:p>
            <w:pPr>
              <w:spacing w:after="0"/>
              <w:rPr>
                <w:sz w:val="10"/>
                <w:szCs w:val="10"/>
                <w:color w:val="auto"/>
              </w:rPr>
            </w:pPr>
          </w:p>
        </w:tc>
        <w:tc>
          <w:tcPr>
            <w:tcW w:w="192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For the three months ended February 27, 2021 and February 29, 2020, the following potentially dilutive shares were excluded from the computations as their effect was anti-dilutive:</w:t>
      </w:r>
    </w:p>
    <w:p>
      <w:pPr>
        <w:spacing w:after="0" w:line="166" w:lineRule="exact"/>
        <w:rPr>
          <w:sz w:val="20"/>
          <w:szCs w:val="20"/>
          <w:color w:val="auto"/>
        </w:rPr>
      </w:pPr>
    </w:p>
    <w:p>
      <w:pPr>
        <w:ind w:left="8300"/>
        <w:spacing w:after="0"/>
        <w:rPr>
          <w:sz w:val="20"/>
          <w:szCs w:val="20"/>
          <w:color w:val="auto"/>
        </w:rPr>
      </w:pPr>
      <w:r>
        <w:rPr>
          <w:rFonts w:ascii="Arial" w:cs="Arial" w:eastAsia="Arial" w:hAnsi="Arial"/>
          <w:sz w:val="18"/>
          <w:szCs w:val="18"/>
          <w:b w:val="1"/>
          <w:bCs w:val="1"/>
          <w:color w:val="auto"/>
        </w:rPr>
        <w:t>Quarter Ended</w:t>
      </w:r>
    </w:p>
    <w:p>
      <w:pPr>
        <w:spacing w:after="0" w:line="27" w:lineRule="exact"/>
        <w:rPr>
          <w:sz w:val="20"/>
          <w:szCs w:val="20"/>
          <w:color w:val="auto"/>
        </w:rPr>
      </w:pPr>
    </w:p>
    <w:tbl>
      <w:tblPr>
        <w:tblLayout w:type="fixed"/>
        <w:tblInd w:w="500" w:type="dxa"/>
        <w:tblCellMar>
          <w:top w:w="0" w:type="dxa"/>
          <w:left w:w="0" w:type="dxa"/>
          <w:bottom w:w="0" w:type="dxa"/>
          <w:right w:w="0" w:type="dxa"/>
        </w:tblCellMar>
      </w:tblPr>
      <w:tr>
        <w:trPr>
          <w:trHeight w:val="209"/>
        </w:trPr>
        <w:tc>
          <w:tcPr>
            <w:tcW w:w="6780" w:type="dxa"/>
            <w:vAlign w:val="bottom"/>
          </w:tcPr>
          <w:p>
            <w:pPr>
              <w:spacing w:after="0"/>
              <w:rPr>
                <w:sz w:val="18"/>
                <w:szCs w:val="18"/>
                <w:color w:val="auto"/>
              </w:rPr>
            </w:pPr>
          </w:p>
        </w:tc>
        <w:tc>
          <w:tcPr>
            <w:tcW w:w="14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b w:val="1"/>
                <w:bCs w:val="1"/>
                <w:color w:val="auto"/>
                <w:w w:val="90"/>
              </w:rPr>
              <w:t>February 27, 2021</w:t>
            </w:r>
          </w:p>
        </w:tc>
        <w:tc>
          <w:tcPr>
            <w:tcW w:w="18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February 29, 2020</w:t>
            </w:r>
          </w:p>
        </w:tc>
        <w:tc>
          <w:tcPr>
            <w:tcW w:w="100" w:type="dxa"/>
            <w:vAlign w:val="bottom"/>
          </w:tcPr>
          <w:p>
            <w:pPr>
              <w:spacing w:after="0"/>
              <w:rPr>
                <w:sz w:val="18"/>
                <w:szCs w:val="18"/>
                <w:color w:val="auto"/>
              </w:rPr>
            </w:pPr>
          </w:p>
        </w:tc>
      </w:tr>
      <w:tr>
        <w:trPr>
          <w:trHeight w:val="210"/>
        </w:trPr>
        <w:tc>
          <w:tcPr>
            <w:tcW w:w="67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56"/>
        </w:trPr>
        <w:tc>
          <w:tcPr>
            <w:tcW w:w="6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Unvested shares</w:t>
            </w:r>
          </w:p>
        </w:tc>
        <w:tc>
          <w:tcPr>
            <w:tcW w:w="146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w w:val="74"/>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34,000</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Segment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We have strategically aligned our business into three reportable segments as defined in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and as described below:</w:t>
      </w:r>
    </w:p>
    <w:p>
      <w:pPr>
        <w:spacing w:after="0" w:line="233" w:lineRule="exact"/>
        <w:rPr>
          <w:sz w:val="20"/>
          <w:szCs w:val="20"/>
          <w:color w:val="auto"/>
        </w:rPr>
      </w:pPr>
    </w:p>
    <w:p>
      <w:pPr>
        <w:jc w:val="both"/>
        <w:ind w:left="660" w:hanging="328"/>
        <w:spacing w:after="0" w:line="274" w:lineRule="auto"/>
        <w:tabs>
          <w:tab w:leader="none" w:pos="660" w:val="left"/>
        </w:tabs>
        <w:numPr>
          <w:ilvl w:val="0"/>
          <w:numId w:val="6"/>
        </w:numPr>
        <w:rPr>
          <w:rFonts w:ascii="Arial" w:cs="Arial" w:eastAsia="Arial" w:hAnsi="Arial"/>
          <w:sz w:val="17"/>
          <w:szCs w:val="17"/>
          <w:color w:val="auto"/>
        </w:rPr>
      </w:pPr>
      <w:r>
        <w:rPr>
          <w:rFonts w:ascii="Arial" w:cs="Arial" w:eastAsia="Arial" w:hAnsi="Arial"/>
          <w:sz w:val="17"/>
          <w:szCs w:val="17"/>
          <w:b w:val="1"/>
          <w:bCs w:val="1"/>
          <w:color w:val="auto"/>
        </w:rPr>
        <w:t xml:space="preserve">Wholesale. </w:t>
      </w:r>
      <w:r>
        <w:rPr>
          <w:rFonts w:ascii="Arial" w:cs="Arial" w:eastAsia="Arial" w:hAnsi="Arial"/>
          <w:sz w:val="17"/>
          <w:szCs w:val="17"/>
          <w:color w:val="auto"/>
        </w:rPr>
        <w:t>The wholesale home furnishings segment is involved principally in the design, manufacture, sourcing, sale and distribution of</w:t>
      </w:r>
      <w:r>
        <w:rPr>
          <w:rFonts w:ascii="Arial" w:cs="Arial" w:eastAsia="Arial" w:hAnsi="Arial"/>
          <w:sz w:val="17"/>
          <w:szCs w:val="17"/>
          <w:b w:val="1"/>
          <w:bCs w:val="1"/>
          <w:color w:val="auto"/>
        </w:rPr>
        <w:t xml:space="preserve"> </w:t>
      </w:r>
      <w:r>
        <w:rPr>
          <w:rFonts w:ascii="Arial" w:cs="Arial" w:eastAsia="Arial" w:hAnsi="Arial"/>
          <w:sz w:val="17"/>
          <w:szCs w:val="17"/>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income (loss), net, in our condensed consolidated statements of income.</w:t>
      </w:r>
    </w:p>
    <w:p>
      <w:pPr>
        <w:spacing w:after="0" w:line="173" w:lineRule="exact"/>
        <w:rPr>
          <w:rFonts w:ascii="Arial" w:cs="Arial" w:eastAsia="Arial" w:hAnsi="Arial"/>
          <w:sz w:val="17"/>
          <w:szCs w:val="17"/>
          <w:color w:val="auto"/>
        </w:rPr>
      </w:pPr>
    </w:p>
    <w:p>
      <w:pPr>
        <w:jc w:val="both"/>
        <w:ind w:left="660" w:hanging="328"/>
        <w:spacing w:after="0" w:line="266"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Retail </w:t>
      </w:r>
      <w:r>
        <w:rPr>
          <w:rFonts w:ascii="Arial" w:cs="Arial" w:eastAsia="Arial" w:hAnsi="Arial"/>
          <w:sz w:val="18"/>
          <w:szCs w:val="18"/>
          <w:color w:val="auto"/>
        </w:rPr>
        <w:t>–</w:t>
      </w:r>
      <w:r>
        <w:rPr>
          <w:rFonts w:ascii="Arial" w:cs="Arial" w:eastAsia="Arial" w:hAnsi="Arial"/>
          <w:sz w:val="18"/>
          <w:szCs w:val="18"/>
          <w:b w:val="1"/>
          <w:bCs w:val="1"/>
          <w:color w:val="auto"/>
        </w:rPr>
        <w:t xml:space="preserve"> Company-owned stores. </w:t>
      </w:r>
      <w:r>
        <w:rPr>
          <w:rFonts w:ascii="Arial" w:cs="Arial" w:eastAsia="Arial" w:hAnsi="Arial"/>
          <w:sz w:val="18"/>
          <w:szCs w:val="18"/>
          <w:color w:val="auto"/>
        </w:rPr>
        <w:t>Our retail segment consists of Company-owned stores and includes the revenues, expenses, assets and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liabilities and capital expenditures directly related to these stores and the Company-owned distribution network utilized to deliver products to our retail customers.</w:t>
      </w:r>
    </w:p>
    <w:p>
      <w:pPr>
        <w:spacing w:after="0" w:line="175" w:lineRule="exact"/>
        <w:rPr>
          <w:rFonts w:ascii="Arial" w:cs="Arial" w:eastAsia="Arial" w:hAnsi="Arial"/>
          <w:sz w:val="18"/>
          <w:szCs w:val="18"/>
          <w:color w:val="auto"/>
        </w:rPr>
      </w:pPr>
    </w:p>
    <w:p>
      <w:pPr>
        <w:jc w:val="both"/>
        <w:ind w:left="660" w:hanging="328"/>
        <w:spacing w:after="0" w:line="256"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segment reflects the operations of Zenith. In addition to providing shipping and warehousing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Company, Zenith also provides similar services to other customers, primarily in the furniture industry. Revenue from the performance of these services to other customers is included in logistical services revenue in our condensed consolidated statements of income. Zenith’s total operating costs, including those associated with providing logistical services to the Company as well as to third-party customers, are included in selling, general and administrative expenses and were $19,621 and $20,480 for the three months ended February 27, 2021 and February 29, 2020, respectively.</w:t>
      </w:r>
    </w:p>
    <w:p>
      <w:pPr>
        <w:spacing w:after="0" w:line="19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Inter-company net sales elimination represents the elimination of wholesale sales to our Company-owned stores and the elimination of Zenith logistics revenue from our wholesale and retail segments.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and retail operations.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our segment information:</w:t>
      </w:r>
    </w:p>
    <w:p>
      <w:pPr>
        <w:spacing w:after="0" w:line="221" w:lineRule="exact"/>
        <w:rPr>
          <w:sz w:val="20"/>
          <w:szCs w:val="20"/>
          <w:color w:val="auto"/>
        </w:rPr>
      </w:pPr>
    </w:p>
    <w:p>
      <w:pPr>
        <w:jc w:val="center"/>
        <w:ind w:left="6100"/>
        <w:spacing w:after="0"/>
        <w:rPr>
          <w:sz w:val="20"/>
          <w:szCs w:val="20"/>
          <w:color w:val="auto"/>
        </w:rPr>
      </w:pPr>
      <w:r>
        <w:rPr>
          <w:rFonts w:ascii="Arial" w:cs="Arial" w:eastAsia="Arial" w:hAnsi="Arial"/>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4479925</wp:posOffset>
            </wp:positionH>
            <wp:positionV relativeFrom="paragraph">
              <wp:posOffset>17145</wp:posOffset>
            </wp:positionV>
            <wp:extent cx="205740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057400" cy="8255"/>
                    </a:xfrm>
                    <a:prstGeom prst="rect">
                      <a:avLst/>
                    </a:prstGeom>
                    <a:noFill/>
                  </pic:spPr>
                </pic:pic>
              </a:graphicData>
            </a:graphic>
          </wp:anchor>
        </w:drawing>
      </w:r>
    </w:p>
    <w:p>
      <w:pPr>
        <w:spacing w:after="0" w:line="7" w:lineRule="exact"/>
        <w:rPr>
          <w:sz w:val="20"/>
          <w:szCs w:val="20"/>
          <w:color w:val="auto"/>
        </w:rPr>
      </w:pPr>
    </w:p>
    <w:p>
      <w:pPr>
        <w:jc w:val="center"/>
        <w:ind w:left="6100"/>
        <w:spacing w:after="0"/>
        <w:tabs>
          <w:tab w:leader="none" w:pos="300" w:val="left"/>
        </w:tabs>
        <w:rPr>
          <w:sz w:val="20"/>
          <w:szCs w:val="20"/>
          <w:color w:val="auto"/>
        </w:rPr>
      </w:pPr>
      <w:r>
        <w:rPr>
          <w:rFonts w:ascii="Arial" w:cs="Arial" w:eastAsia="Arial" w:hAnsi="Arial"/>
          <w:sz w:val="18"/>
          <w:szCs w:val="18"/>
          <w:b w:val="1"/>
          <w:bCs w:val="1"/>
          <w:u w:val="single" w:color="auto"/>
          <w:color w:val="auto"/>
        </w:rPr>
        <w:t>February 27, 2021</w:t>
      </w:r>
      <w:r>
        <w:rPr>
          <w:sz w:val="20"/>
          <w:szCs w:val="20"/>
          <w:color w:val="auto"/>
        </w:rPr>
        <w:tab/>
      </w:r>
      <w:r>
        <w:rPr>
          <w:rFonts w:ascii="Arial" w:cs="Arial" w:eastAsia="Arial" w:hAnsi="Arial"/>
          <w:sz w:val="16"/>
          <w:szCs w:val="16"/>
          <w:b w:val="1"/>
          <w:bCs w:val="1"/>
          <w:u w:val="single" w:color="auto"/>
          <w:color w:val="auto"/>
        </w:rPr>
        <w:t>February 29, 2020</w:t>
      </w:r>
    </w:p>
    <w:p>
      <w:pPr>
        <w:sectPr>
          <w:pgSz w:w="11900" w:h="16838" w:orient="portrait"/>
          <w:cols w:equalWidth="0" w:num="1">
            <w:col w:w="11240"/>
          </w:cols>
          <w:pgMar w:left="320" w:top="584" w:right="339" w:bottom="1440" w:gutter="0" w:footer="0" w:header="0"/>
        </w:sectPr>
      </w:pP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b w:val="1"/>
          <w:bCs w:val="1"/>
          <w:color w:val="auto"/>
        </w:rPr>
        <w:t>Sales Revenue</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Wholesale</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6"/>
          <w:szCs w:val="16"/>
          <w:color w:val="auto"/>
        </w:rPr>
        <w:t>Retail - Company-owned stores</w:t>
      </w:r>
    </w:p>
    <w:p>
      <w:pPr>
        <w:spacing w:after="0" w:line="32" w:lineRule="exact"/>
        <w:rPr>
          <w:sz w:val="20"/>
          <w:szCs w:val="20"/>
          <w:color w:val="auto"/>
        </w:rPr>
      </w:pPr>
    </w:p>
    <w:p>
      <w:pPr>
        <w:ind w:left="860"/>
        <w:spacing w:after="0"/>
        <w:rPr>
          <w:sz w:val="20"/>
          <w:szCs w:val="20"/>
          <w:color w:val="auto"/>
        </w:rPr>
      </w:pPr>
      <w:r>
        <w:rPr>
          <w:rFonts w:ascii="Arial" w:cs="Arial" w:eastAsia="Arial" w:hAnsi="Arial"/>
          <w:sz w:val="18"/>
          <w:szCs w:val="18"/>
          <w:color w:val="auto"/>
        </w:rPr>
        <w:t>Logistical services</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Inter-company eliminations:</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Furniture and accessories</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Logistical services</w:t>
      </w:r>
    </w:p>
    <w:p>
      <w:pPr>
        <w:spacing w:after="0" w:line="4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Consolidated</w:t>
      </w:r>
    </w:p>
    <w:p>
      <w:pPr>
        <w:spacing w:after="0" w:line="20" w:lineRule="exact"/>
        <w:rPr>
          <w:sz w:val="20"/>
          <w:szCs w:val="20"/>
          <w:color w:val="auto"/>
        </w:rPr>
      </w:pPr>
      <w:r>
        <w:rPr>
          <w:sz w:val="20"/>
          <w:szCs w:val="20"/>
          <w:color w:val="auto"/>
        </w:rPr>
        <w:br w:type="column"/>
      </w:r>
    </w:p>
    <w:p>
      <w:pPr>
        <w:spacing w:after="0" w:line="2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70,264</w:t>
            </w:r>
          </w:p>
        </w:tc>
        <w:tc>
          <w:tcPr>
            <w:tcW w:w="58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65,017</w:t>
            </w:r>
          </w:p>
        </w:tc>
        <w:tc>
          <w:tcPr>
            <w:tcW w:w="6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60,395</w:t>
            </w:r>
          </w:p>
        </w:tc>
        <w:tc>
          <w:tcPr>
            <w:tcW w:w="5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65,846</w:t>
            </w:r>
          </w:p>
        </w:tc>
        <w:tc>
          <w:tcPr>
            <w:tcW w:w="60" w:type="dxa"/>
            <w:vAlign w:val="bottom"/>
          </w:tcPr>
          <w:p>
            <w:pPr>
              <w:spacing w:after="0"/>
              <w:rPr>
                <w:sz w:val="18"/>
                <w:szCs w:val="18"/>
                <w:color w:val="auto"/>
              </w:rPr>
            </w:pPr>
          </w:p>
        </w:tc>
      </w:tr>
      <w:tr>
        <w:trPr>
          <w:trHeight w:val="230"/>
        </w:trPr>
        <w:tc>
          <w:tcPr>
            <w:tcW w:w="520" w:type="dxa"/>
            <w:vAlign w:val="bottom"/>
          </w:tcPr>
          <w:p>
            <w:pPr>
              <w:spacing w:after="0"/>
              <w:rPr>
                <w:sz w:val="20"/>
                <w:szCs w:val="20"/>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20,081</w:t>
            </w:r>
          </w:p>
        </w:tc>
        <w:tc>
          <w:tcPr>
            <w:tcW w:w="5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21,315</w:t>
            </w:r>
          </w:p>
        </w:tc>
        <w:tc>
          <w:tcPr>
            <w:tcW w:w="60" w:type="dxa"/>
            <w:vAlign w:val="bottom"/>
          </w:tcPr>
          <w:p>
            <w:pPr>
              <w:spacing w:after="0"/>
              <w:rPr>
                <w:sz w:val="20"/>
                <w:szCs w:val="20"/>
                <w:color w:val="auto"/>
              </w:rPr>
            </w:pPr>
          </w:p>
        </w:tc>
      </w:tr>
      <w:tr>
        <w:trPr>
          <w:trHeight w:val="418"/>
        </w:trPr>
        <w:tc>
          <w:tcPr>
            <w:tcW w:w="5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(29,004)</w:t>
            </w:r>
          </w:p>
        </w:tc>
        <w:tc>
          <w:tcPr>
            <w:tcW w:w="580" w:type="dxa"/>
            <w:vAlign w:val="bottom"/>
          </w:tcPr>
          <w:p>
            <w:pPr>
              <w:spacing w:after="0"/>
              <w:rPr>
                <w:sz w:val="24"/>
                <w:szCs w:val="24"/>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(31,921)</w:t>
            </w:r>
          </w:p>
        </w:tc>
      </w:tr>
      <w:tr>
        <w:trPr>
          <w:trHeight w:val="230"/>
        </w:trPr>
        <w:tc>
          <w:tcPr>
            <w:tcW w:w="5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(8,063)</w:t>
            </w:r>
          </w:p>
        </w:tc>
        <w:tc>
          <w:tcPr>
            <w:tcW w:w="5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(8,137)</w:t>
            </w:r>
          </w:p>
        </w:tc>
      </w:tr>
      <w:tr>
        <w:trPr>
          <w:trHeight w:val="209"/>
        </w:trPr>
        <w:tc>
          <w:tcPr>
            <w:tcW w:w="52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113,673</w:t>
            </w:r>
          </w:p>
        </w:tc>
        <w:tc>
          <w:tcPr>
            <w:tcW w:w="5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112,120</w:t>
            </w:r>
          </w:p>
        </w:tc>
        <w:tc>
          <w:tcPr>
            <w:tcW w:w="60" w:type="dxa"/>
            <w:vAlign w:val="bottom"/>
          </w:tcPr>
          <w:p>
            <w:pPr>
              <w:spacing w:after="0"/>
              <w:rPr>
                <w:sz w:val="18"/>
                <w:szCs w:val="18"/>
                <w:color w:val="auto"/>
              </w:rPr>
            </w:pPr>
          </w:p>
        </w:tc>
      </w:tr>
      <w:tr>
        <w:trPr>
          <w:trHeight w:val="20"/>
        </w:trPr>
        <w:tc>
          <w:tcPr>
            <w:tcW w:w="5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-3945890</wp:posOffset>
            </wp:positionH>
            <wp:positionV relativeFrom="paragraph">
              <wp:posOffset>-1130935</wp:posOffset>
            </wp:positionV>
            <wp:extent cx="606044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060440" cy="137160"/>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-856615</wp:posOffset>
            </wp:positionV>
            <wp:extent cx="606044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060440" cy="137160"/>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-582295</wp:posOffset>
            </wp:positionV>
            <wp:extent cx="6060440" cy="137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060440" cy="137160"/>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-307975</wp:posOffset>
            </wp:positionV>
            <wp:extent cx="6060440" cy="1454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060440" cy="145415"/>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6340" w:space="720"/>
            <w:col w:w="4180"/>
          </w:cols>
          <w:pgMar w:left="320" w:top="584"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840" w:type="dxa"/>
            <w:vAlign w:val="bottom"/>
          </w:tcPr>
          <w:p>
            <w:pPr>
              <w:spacing w:after="0"/>
              <w:rPr>
                <w:sz w:val="17"/>
                <w:szCs w:val="17"/>
                <w:color w:val="auto"/>
              </w:rPr>
            </w:pPr>
          </w:p>
        </w:tc>
        <w:tc>
          <w:tcPr>
            <w:tcW w:w="30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540" w:type="dxa"/>
            <w:vAlign w:val="bottom"/>
            <w:tcBorders>
              <w:right w:val="single" w:sz="8" w:color="CCEEFF"/>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b w:val="1"/>
                <w:bCs w:val="1"/>
                <w:color w:val="auto"/>
              </w:rPr>
              <w:t>Income (Loss) from Operations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Wholesale</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2"/>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4,797</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2,713</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Retail - Company-owned stores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1,094</w:t>
            </w:r>
          </w:p>
        </w:tc>
        <w:tc>
          <w:tcPr>
            <w:tcW w:w="380" w:type="dxa"/>
            <w:vAlign w:val="bottom"/>
          </w:tcPr>
          <w:p>
            <w:pPr>
              <w:spacing w:after="0"/>
              <w:rPr>
                <w:sz w:val="18"/>
                <w:szCs w:val="18"/>
                <w:color w:val="auto"/>
              </w:rPr>
            </w:pPr>
          </w:p>
        </w:tc>
        <w:tc>
          <w:tcPr>
            <w:tcW w:w="1280" w:type="dxa"/>
            <w:vAlign w:val="bottom"/>
            <w:gridSpan w:val="4"/>
          </w:tcPr>
          <w:p>
            <w:pPr>
              <w:jc w:val="right"/>
              <w:ind w:right="20"/>
              <w:spacing w:after="0"/>
              <w:rPr>
                <w:sz w:val="20"/>
                <w:szCs w:val="20"/>
                <w:color w:val="auto"/>
              </w:rPr>
            </w:pPr>
            <w:r>
              <w:rPr>
                <w:rFonts w:ascii="Arial" w:cs="Arial" w:eastAsia="Arial" w:hAnsi="Arial"/>
                <w:sz w:val="18"/>
                <w:szCs w:val="18"/>
                <w:color w:val="auto"/>
              </w:rPr>
              <w:t>(1,249)</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Logistical services</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459</w:t>
            </w:r>
          </w:p>
        </w:tc>
        <w:tc>
          <w:tcPr>
            <w:tcW w:w="38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835</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Inter-company elimination</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(329)</w:t>
            </w:r>
          </w:p>
        </w:tc>
        <w:tc>
          <w:tcPr>
            <w:tcW w:w="380" w:type="dxa"/>
            <w:vAlign w:val="bottom"/>
          </w:tcPr>
          <w:p>
            <w:pPr>
              <w:spacing w:after="0"/>
              <w:rPr>
                <w:sz w:val="18"/>
                <w:szCs w:val="18"/>
                <w:color w:val="auto"/>
              </w:rPr>
            </w:pPr>
          </w:p>
        </w:tc>
        <w:tc>
          <w:tcPr>
            <w:tcW w:w="1280" w:type="dxa"/>
            <w:vAlign w:val="bottom"/>
            <w:gridSpan w:val="4"/>
          </w:tcPr>
          <w:p>
            <w:pPr>
              <w:jc w:val="right"/>
              <w:ind w:right="20"/>
              <w:spacing w:after="0"/>
              <w:rPr>
                <w:sz w:val="20"/>
                <w:szCs w:val="20"/>
                <w:color w:val="auto"/>
              </w:rPr>
            </w:pPr>
            <w:r>
              <w:rPr>
                <w:rFonts w:ascii="Arial" w:cs="Arial" w:eastAsia="Arial" w:hAnsi="Arial"/>
                <w:sz w:val="18"/>
                <w:szCs w:val="18"/>
                <w:color w:val="auto"/>
              </w:rPr>
              <w:t>(89)</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840" w:type="dxa"/>
            <w:vAlign w:val="bottom"/>
          </w:tcPr>
          <w:p>
            <w:pPr>
              <w:spacing w:after="0"/>
              <w:rPr>
                <w:sz w:val="21"/>
                <w:szCs w:val="21"/>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Consolidated</w:t>
            </w:r>
          </w:p>
        </w:tc>
        <w:tc>
          <w:tcPr>
            <w:tcW w:w="6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720" w:type="dxa"/>
            <w:vAlign w:val="bottom"/>
            <w:shd w:val="clear" w:color="auto" w:fill="CCEEFF"/>
          </w:tcPr>
          <w:p>
            <w:pPr>
              <w:spacing w:after="0"/>
              <w:rPr>
                <w:sz w:val="21"/>
                <w:szCs w:val="21"/>
                <w:color w:val="auto"/>
              </w:rPr>
            </w:pPr>
          </w:p>
        </w:tc>
        <w:tc>
          <w:tcPr>
            <w:tcW w:w="540" w:type="dxa"/>
            <w:vAlign w:val="bottom"/>
            <w:tcBorders>
              <w:right w:val="single" w:sz="8" w:color="CCEEFF"/>
            </w:tcBorders>
            <w:shd w:val="clear" w:color="auto" w:fill="CCEEFF"/>
          </w:tcPr>
          <w:p>
            <w:pPr>
              <w:spacing w:after="0"/>
              <w:rPr>
                <w:sz w:val="21"/>
                <w:szCs w:val="21"/>
                <w:color w:val="auto"/>
              </w:rPr>
            </w:pPr>
          </w:p>
        </w:tc>
        <w:tc>
          <w:tcPr>
            <w:tcW w:w="260" w:type="dxa"/>
            <w:vAlign w:val="bottom"/>
            <w:shd w:val="clear" w:color="auto" w:fill="CCEEFF"/>
          </w:tcPr>
          <w:p>
            <w:pPr>
              <w:jc w:val="right"/>
              <w:ind w:right="142"/>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6,021</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2,210</w:t>
            </w: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840" w:type="dxa"/>
            <w:vAlign w:val="bottom"/>
          </w:tcPr>
          <w:p>
            <w:pPr>
              <w:spacing w:after="0"/>
              <w:rPr>
                <w:sz w:val="17"/>
                <w:szCs w:val="17"/>
                <w:color w:val="auto"/>
              </w:rPr>
            </w:pPr>
          </w:p>
        </w:tc>
        <w:tc>
          <w:tcPr>
            <w:tcW w:w="3040" w:type="dxa"/>
            <w:vAlign w:val="bottom"/>
            <w:tcBorders>
              <w:top w:val="single" w:sz="8" w:color="CCEEFF"/>
            </w:tcBorders>
          </w:tcPr>
          <w:p>
            <w:pPr>
              <w:spacing w:after="0"/>
              <w:rPr>
                <w:sz w:val="17"/>
                <w:szCs w:val="17"/>
                <w:color w:val="auto"/>
              </w:rPr>
            </w:pPr>
          </w:p>
        </w:tc>
        <w:tc>
          <w:tcPr>
            <w:tcW w:w="620" w:type="dxa"/>
            <w:vAlign w:val="bottom"/>
            <w:tcBorders>
              <w:top w:val="single" w:sz="8" w:color="CCEEFF"/>
            </w:tcBorders>
          </w:tcPr>
          <w:p>
            <w:pPr>
              <w:spacing w:after="0"/>
              <w:rPr>
                <w:sz w:val="17"/>
                <w:szCs w:val="17"/>
                <w:color w:val="auto"/>
              </w:rPr>
            </w:pPr>
          </w:p>
        </w:tc>
        <w:tc>
          <w:tcPr>
            <w:tcW w:w="340" w:type="dxa"/>
            <w:vAlign w:val="bottom"/>
            <w:tcBorders>
              <w:top w:val="single" w:sz="8" w:color="CCEEFF"/>
            </w:tcBorders>
          </w:tcPr>
          <w:p>
            <w:pPr>
              <w:spacing w:after="0"/>
              <w:rPr>
                <w:sz w:val="17"/>
                <w:szCs w:val="17"/>
                <w:color w:val="auto"/>
              </w:rPr>
            </w:pPr>
          </w:p>
        </w:tc>
        <w:tc>
          <w:tcPr>
            <w:tcW w:w="1720" w:type="dxa"/>
            <w:vAlign w:val="bottom"/>
            <w:tcBorders>
              <w:top w:val="single" w:sz="8" w:color="CCEEFF"/>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Depreciation and Amortization</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Wholesale</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800" w:type="dxa"/>
            <w:vAlign w:val="bottom"/>
            <w:gridSpan w:val="2"/>
          </w:tcPr>
          <w:p>
            <w:pPr>
              <w:jc w:val="right"/>
              <w:ind w:right="142"/>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798</w:t>
            </w:r>
          </w:p>
        </w:tc>
        <w:tc>
          <w:tcPr>
            <w:tcW w:w="3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809</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Retail - Company-owned stores</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1,516</w:t>
            </w:r>
          </w:p>
        </w:tc>
        <w:tc>
          <w:tcPr>
            <w:tcW w:w="38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1,730</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Logistical services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1,017</w:t>
            </w:r>
          </w:p>
        </w:tc>
        <w:tc>
          <w:tcPr>
            <w:tcW w:w="380" w:type="dxa"/>
            <w:vAlign w:val="bottom"/>
          </w:tcPr>
          <w:p>
            <w:pPr>
              <w:spacing w:after="0"/>
              <w:rPr>
                <w:sz w:val="18"/>
                <w:szCs w:val="18"/>
                <w:color w:val="auto"/>
              </w:rPr>
            </w:pP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1,084</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840" w:type="dxa"/>
            <w:vAlign w:val="bottom"/>
          </w:tcPr>
          <w:p>
            <w:pPr>
              <w:spacing w:after="0"/>
              <w:rPr>
                <w:sz w:val="21"/>
                <w:szCs w:val="21"/>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Consolidated</w:t>
            </w:r>
          </w:p>
        </w:tc>
        <w:tc>
          <w:tcPr>
            <w:tcW w:w="6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720" w:type="dxa"/>
            <w:vAlign w:val="bottom"/>
            <w:shd w:val="clear" w:color="auto" w:fill="CCEEFF"/>
          </w:tcPr>
          <w:p>
            <w:pPr>
              <w:spacing w:after="0"/>
              <w:rPr>
                <w:sz w:val="21"/>
                <w:szCs w:val="21"/>
                <w:color w:val="auto"/>
              </w:rPr>
            </w:pPr>
          </w:p>
        </w:tc>
        <w:tc>
          <w:tcPr>
            <w:tcW w:w="540" w:type="dxa"/>
            <w:vAlign w:val="bottom"/>
            <w:tcBorders>
              <w:right w:val="single" w:sz="8" w:color="CCEEFF"/>
            </w:tcBorders>
            <w:shd w:val="clear" w:color="auto" w:fill="CCEEFF"/>
          </w:tcPr>
          <w:p>
            <w:pPr>
              <w:spacing w:after="0"/>
              <w:rPr>
                <w:sz w:val="21"/>
                <w:szCs w:val="21"/>
                <w:color w:val="auto"/>
              </w:rPr>
            </w:pPr>
          </w:p>
        </w:tc>
        <w:tc>
          <w:tcPr>
            <w:tcW w:w="260" w:type="dxa"/>
            <w:vAlign w:val="bottom"/>
            <w:shd w:val="clear" w:color="auto" w:fill="CCEEFF"/>
          </w:tcPr>
          <w:p>
            <w:pPr>
              <w:jc w:val="right"/>
              <w:ind w:right="142"/>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3,331</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3,623</w:t>
            </w: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840" w:type="dxa"/>
            <w:vAlign w:val="bottom"/>
          </w:tcPr>
          <w:p>
            <w:pPr>
              <w:spacing w:after="0"/>
              <w:rPr>
                <w:sz w:val="17"/>
                <w:szCs w:val="17"/>
                <w:color w:val="auto"/>
              </w:rPr>
            </w:pPr>
          </w:p>
        </w:tc>
        <w:tc>
          <w:tcPr>
            <w:tcW w:w="3040" w:type="dxa"/>
            <w:vAlign w:val="bottom"/>
            <w:tcBorders>
              <w:top w:val="single" w:sz="8" w:color="CCEEFF"/>
            </w:tcBorders>
          </w:tcPr>
          <w:p>
            <w:pPr>
              <w:spacing w:after="0"/>
              <w:rPr>
                <w:sz w:val="17"/>
                <w:szCs w:val="17"/>
                <w:color w:val="auto"/>
              </w:rPr>
            </w:pPr>
          </w:p>
        </w:tc>
        <w:tc>
          <w:tcPr>
            <w:tcW w:w="620" w:type="dxa"/>
            <w:vAlign w:val="bottom"/>
            <w:tcBorders>
              <w:top w:val="single" w:sz="8" w:color="CCEEFF"/>
            </w:tcBorders>
          </w:tcPr>
          <w:p>
            <w:pPr>
              <w:spacing w:after="0"/>
              <w:rPr>
                <w:sz w:val="17"/>
                <w:szCs w:val="17"/>
                <w:color w:val="auto"/>
              </w:rPr>
            </w:pPr>
          </w:p>
        </w:tc>
        <w:tc>
          <w:tcPr>
            <w:tcW w:w="340" w:type="dxa"/>
            <w:vAlign w:val="bottom"/>
            <w:tcBorders>
              <w:top w:val="single" w:sz="8" w:color="CCEEFF"/>
            </w:tcBorders>
          </w:tcPr>
          <w:p>
            <w:pPr>
              <w:spacing w:after="0"/>
              <w:rPr>
                <w:sz w:val="17"/>
                <w:szCs w:val="17"/>
                <w:color w:val="auto"/>
              </w:rPr>
            </w:pPr>
          </w:p>
        </w:tc>
        <w:tc>
          <w:tcPr>
            <w:tcW w:w="1720" w:type="dxa"/>
            <w:vAlign w:val="bottom"/>
            <w:tcBorders>
              <w:top w:val="single" w:sz="8" w:color="CCEEFF"/>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Capital Expenditures</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Wholesale</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800" w:type="dxa"/>
            <w:vAlign w:val="bottom"/>
            <w:gridSpan w:val="2"/>
          </w:tcPr>
          <w:p>
            <w:pPr>
              <w:jc w:val="right"/>
              <w:ind w:right="142"/>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757</w:t>
            </w:r>
          </w:p>
        </w:tc>
        <w:tc>
          <w:tcPr>
            <w:tcW w:w="3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422</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Retail - Company-owned stores</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18</w:t>
            </w:r>
          </w:p>
        </w:tc>
        <w:tc>
          <w:tcPr>
            <w:tcW w:w="38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561</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Logistical services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120</w:t>
            </w:r>
          </w:p>
        </w:tc>
        <w:tc>
          <w:tcPr>
            <w:tcW w:w="380" w:type="dxa"/>
            <w:vAlign w:val="bottom"/>
          </w:tcPr>
          <w:p>
            <w:pPr>
              <w:spacing w:after="0"/>
              <w:rPr>
                <w:sz w:val="18"/>
                <w:szCs w:val="18"/>
                <w:color w:val="auto"/>
              </w:rPr>
            </w:pP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357</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840" w:type="dxa"/>
            <w:vAlign w:val="bottom"/>
          </w:tcPr>
          <w:p>
            <w:pPr>
              <w:spacing w:after="0"/>
              <w:rPr>
                <w:sz w:val="21"/>
                <w:szCs w:val="21"/>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Consolidated</w:t>
            </w:r>
          </w:p>
        </w:tc>
        <w:tc>
          <w:tcPr>
            <w:tcW w:w="6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720" w:type="dxa"/>
            <w:vAlign w:val="bottom"/>
            <w:shd w:val="clear" w:color="auto" w:fill="CCEEFF"/>
          </w:tcPr>
          <w:p>
            <w:pPr>
              <w:spacing w:after="0"/>
              <w:rPr>
                <w:sz w:val="21"/>
                <w:szCs w:val="21"/>
                <w:color w:val="auto"/>
              </w:rPr>
            </w:pPr>
          </w:p>
        </w:tc>
        <w:tc>
          <w:tcPr>
            <w:tcW w:w="540" w:type="dxa"/>
            <w:vAlign w:val="bottom"/>
            <w:tcBorders>
              <w:right w:val="single" w:sz="8" w:color="CCEEFF"/>
            </w:tcBorders>
            <w:shd w:val="clear" w:color="auto" w:fill="CCEEFF"/>
          </w:tcPr>
          <w:p>
            <w:pPr>
              <w:spacing w:after="0"/>
              <w:rPr>
                <w:sz w:val="21"/>
                <w:szCs w:val="21"/>
                <w:color w:val="auto"/>
              </w:rPr>
            </w:pPr>
          </w:p>
        </w:tc>
        <w:tc>
          <w:tcPr>
            <w:tcW w:w="260" w:type="dxa"/>
            <w:vAlign w:val="bottom"/>
            <w:shd w:val="clear" w:color="auto" w:fill="CCEEFF"/>
          </w:tcPr>
          <w:p>
            <w:pPr>
              <w:jc w:val="right"/>
              <w:ind w:right="142"/>
              <w:spacing w:after="0"/>
              <w:rPr>
                <w:sz w:val="20"/>
                <w:szCs w:val="20"/>
                <w:color w:val="auto"/>
              </w:rPr>
            </w:pPr>
            <w:r>
              <w:rPr>
                <w:rFonts w:ascii="Arial" w:cs="Arial" w:eastAsia="Arial" w:hAnsi="Arial"/>
                <w:sz w:val="10"/>
                <w:szCs w:val="10"/>
                <w:color w:val="auto"/>
                <w:w w:val="71"/>
              </w:rPr>
              <w:t>$</w:t>
            </w:r>
          </w:p>
        </w:tc>
        <w:tc>
          <w:tcPr>
            <w:tcW w:w="18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895</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1,340</w:t>
            </w: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94"/>
        </w:trPr>
        <w:tc>
          <w:tcPr>
            <w:tcW w:w="840" w:type="dxa"/>
            <w:vAlign w:val="bottom"/>
          </w:tcPr>
          <w:p>
            <w:pPr>
              <w:spacing w:after="0"/>
              <w:rPr>
                <w:sz w:val="24"/>
                <w:szCs w:val="24"/>
                <w:color w:val="auto"/>
              </w:rPr>
            </w:pPr>
          </w:p>
        </w:tc>
        <w:tc>
          <w:tcPr>
            <w:tcW w:w="304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340" w:type="dxa"/>
            <w:vAlign w:val="bottom"/>
            <w:tcBorders>
              <w:top w:val="single" w:sz="8" w:color="CCEEFF"/>
            </w:tcBorders>
          </w:tcPr>
          <w:p>
            <w:pPr>
              <w:spacing w:after="0"/>
              <w:rPr>
                <w:sz w:val="24"/>
                <w:szCs w:val="24"/>
                <w:color w:val="auto"/>
              </w:rPr>
            </w:pPr>
          </w:p>
        </w:tc>
        <w:tc>
          <w:tcPr>
            <w:tcW w:w="1720" w:type="dxa"/>
            <w:vAlign w:val="bottom"/>
            <w:tcBorders>
              <w:top w:val="single" w:sz="8" w:color="CCEEFF"/>
            </w:tcBorders>
          </w:tcPr>
          <w:p>
            <w:pPr>
              <w:spacing w:after="0"/>
              <w:rPr>
                <w:sz w:val="24"/>
                <w:szCs w:val="24"/>
                <w:color w:val="auto"/>
              </w:rPr>
            </w:pPr>
          </w:p>
        </w:tc>
        <w:tc>
          <w:tcPr>
            <w:tcW w:w="540" w:type="dxa"/>
            <w:vAlign w:val="bottom"/>
            <w:tcBorders>
              <w:top w:val="single" w:sz="8" w:color="CCEEFF"/>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As of</w:t>
            </w:r>
          </w:p>
        </w:tc>
        <w:tc>
          <w:tcPr>
            <w:tcW w:w="38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gridSpan w:val="3"/>
          </w:tcPr>
          <w:p>
            <w:pPr>
              <w:jc w:val="center"/>
              <w:ind w:right="320"/>
              <w:spacing w:after="0"/>
              <w:rPr>
                <w:sz w:val="20"/>
                <w:szCs w:val="20"/>
                <w:color w:val="auto"/>
              </w:rPr>
            </w:pPr>
            <w:r>
              <w:rPr>
                <w:rFonts w:ascii="Arial" w:cs="Arial" w:eastAsia="Arial" w:hAnsi="Arial"/>
                <w:sz w:val="18"/>
                <w:szCs w:val="18"/>
                <w:b w:val="1"/>
                <w:bCs w:val="1"/>
                <w:color w:val="auto"/>
                <w:w w:val="88"/>
              </w:rPr>
              <w:t>As of</w:t>
            </w:r>
          </w:p>
        </w:tc>
        <w:tc>
          <w:tcPr>
            <w:tcW w:w="80" w:type="dxa"/>
            <w:vAlign w:val="bottom"/>
            <w:tcBorders>
              <w:top w:val="single" w:sz="8" w:color="CCEEFF"/>
            </w:tcBorders>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40" w:type="dxa"/>
            <w:vAlign w:val="bottom"/>
          </w:tcPr>
          <w:p>
            <w:pPr>
              <w:spacing w:after="0"/>
              <w:rPr>
                <w:sz w:val="20"/>
                <w:szCs w:val="20"/>
                <w:color w:val="auto"/>
              </w:rPr>
            </w:pPr>
          </w:p>
        </w:tc>
        <w:tc>
          <w:tcPr>
            <w:tcW w:w="3040" w:type="dxa"/>
            <w:vAlign w:val="bottom"/>
          </w:tcPr>
          <w:p>
            <w:pPr>
              <w:ind w:left="20"/>
              <w:spacing w:after="0"/>
              <w:rPr>
                <w:sz w:val="20"/>
                <w:szCs w:val="20"/>
                <w:color w:val="auto"/>
              </w:rPr>
            </w:pPr>
            <w:r>
              <w:rPr>
                <w:rFonts w:ascii="Arial" w:cs="Arial" w:eastAsia="Arial" w:hAnsi="Arial"/>
                <w:sz w:val="18"/>
                <w:szCs w:val="18"/>
                <w:b w:val="1"/>
                <w:bCs w:val="1"/>
                <w:color w:val="auto"/>
              </w:rPr>
              <w:t>Identifiable Assets</w:t>
            </w:r>
          </w:p>
        </w:tc>
        <w:tc>
          <w:tcPr>
            <w:tcW w:w="6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2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8"/>
                <w:szCs w:val="18"/>
                <w:b w:val="1"/>
                <w:bCs w:val="1"/>
                <w:color w:val="auto"/>
                <w:w w:val="92"/>
              </w:rPr>
              <w:t>February 27, 2021</w:t>
            </w:r>
          </w:p>
        </w:tc>
        <w:tc>
          <w:tcPr>
            <w:tcW w:w="1580" w:type="dxa"/>
            <w:vAlign w:val="bottom"/>
            <w:tcBorders>
              <w:bottom w:val="single" w:sz="8" w:color="auto"/>
            </w:tcBorders>
            <w:gridSpan w:val="4"/>
          </w:tcPr>
          <w:p>
            <w:pPr>
              <w:jc w:val="center"/>
              <w:spacing w:after="0"/>
              <w:rPr>
                <w:sz w:val="20"/>
                <w:szCs w:val="20"/>
                <w:color w:val="auto"/>
              </w:rPr>
            </w:pPr>
            <w:r>
              <w:rPr>
                <w:rFonts w:ascii="Arial" w:cs="Arial" w:eastAsia="Arial" w:hAnsi="Arial"/>
                <w:sz w:val="18"/>
                <w:szCs w:val="18"/>
                <w:b w:val="1"/>
                <w:bCs w:val="1"/>
                <w:color w:val="auto"/>
                <w:w w:val="90"/>
              </w:rPr>
              <w:t>November 28, 2020</w:t>
            </w:r>
          </w:p>
        </w:tc>
        <w:tc>
          <w:tcPr>
            <w:tcW w:w="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Wholesale</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2"/>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177,204</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176,243</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Retail - Company-owned stores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168,840</w:t>
            </w:r>
          </w:p>
        </w:tc>
        <w:tc>
          <w:tcPr>
            <w:tcW w:w="380" w:type="dxa"/>
            <w:vAlign w:val="bottom"/>
          </w:tcPr>
          <w:p>
            <w:pPr>
              <w:spacing w:after="0"/>
              <w:rPr>
                <w:sz w:val="18"/>
                <w:szCs w:val="18"/>
                <w:color w:val="auto"/>
              </w:rPr>
            </w:pP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169,105</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Logistical services</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54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62,917</w:t>
            </w:r>
          </w:p>
        </w:tc>
        <w:tc>
          <w:tcPr>
            <w:tcW w:w="380" w:type="dxa"/>
            <w:vAlign w:val="bottom"/>
            <w:shd w:val="clear" w:color="auto" w:fill="CCEEFF"/>
          </w:tcPr>
          <w:p>
            <w:pPr>
              <w:spacing w:after="0"/>
              <w:rPr>
                <w:sz w:val="18"/>
                <w:szCs w:val="18"/>
                <w:color w:val="auto"/>
              </w:rPr>
            </w:pPr>
          </w:p>
        </w:tc>
        <w:tc>
          <w:tcPr>
            <w:tcW w:w="12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57,201</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304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540" w:type="dxa"/>
            <w:vAlign w:val="bottom"/>
            <w:tcBorders>
              <w:right w:val="single" w:sz="8" w:color="auto"/>
            </w:tcBorders>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40" w:type="dxa"/>
            <w:vAlign w:val="bottom"/>
          </w:tcPr>
          <w:p>
            <w:pPr>
              <w:spacing w:after="0"/>
              <w:rPr>
                <w:sz w:val="18"/>
                <w:szCs w:val="18"/>
                <w:color w:val="auto"/>
              </w:rPr>
            </w:pPr>
          </w:p>
        </w:tc>
        <w:tc>
          <w:tcPr>
            <w:tcW w:w="3040" w:type="dxa"/>
            <w:vAlign w:val="bottom"/>
          </w:tcPr>
          <w:p>
            <w:pPr>
              <w:ind w:left="20"/>
              <w:spacing w:after="0"/>
              <w:rPr>
                <w:sz w:val="20"/>
                <w:szCs w:val="20"/>
                <w:color w:val="auto"/>
              </w:rPr>
            </w:pPr>
            <w:r>
              <w:rPr>
                <w:rFonts w:ascii="Arial" w:cs="Arial" w:eastAsia="Arial" w:hAnsi="Arial"/>
                <w:sz w:val="18"/>
                <w:szCs w:val="18"/>
                <w:color w:val="auto"/>
              </w:rPr>
              <w:t>Consolidated</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jc w:val="right"/>
              <w:ind w:right="142"/>
              <w:spacing w:after="0"/>
              <w:rPr>
                <w:sz w:val="20"/>
                <w:szCs w:val="20"/>
                <w:color w:val="auto"/>
              </w:rPr>
            </w:pPr>
            <w:r>
              <w:rPr>
                <w:rFonts w:ascii="Arial" w:cs="Arial" w:eastAsia="Arial" w:hAnsi="Arial"/>
                <w:sz w:val="10"/>
                <w:szCs w:val="10"/>
                <w:color w:val="auto"/>
                <w:w w:val="71"/>
              </w:rPr>
              <w:t>$</w:t>
            </w:r>
          </w:p>
        </w:tc>
        <w:tc>
          <w:tcPr>
            <w:tcW w:w="18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Arial" w:cs="Arial" w:eastAsia="Arial" w:hAnsi="Arial"/>
                <w:sz w:val="18"/>
                <w:szCs w:val="18"/>
                <w:color w:val="auto"/>
              </w:rPr>
              <w:t>408,961</w:t>
            </w:r>
          </w:p>
        </w:tc>
        <w:tc>
          <w:tcPr>
            <w:tcW w:w="3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4"/>
          </w:tcPr>
          <w:p>
            <w:pPr>
              <w:jc w:val="right"/>
              <w:ind w:right="80"/>
              <w:spacing w:after="0"/>
              <w:rPr>
                <w:sz w:val="20"/>
                <w:szCs w:val="20"/>
                <w:color w:val="auto"/>
              </w:rPr>
            </w:pPr>
            <w:r>
              <w:rPr>
                <w:rFonts w:ascii="Arial" w:cs="Arial" w:eastAsia="Arial" w:hAnsi="Arial"/>
                <w:sz w:val="18"/>
                <w:szCs w:val="18"/>
                <w:color w:val="auto"/>
              </w:rPr>
              <w:t>402,549</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Wholesale shipments by type</w:t>
            </w:r>
          </w:p>
        </w:tc>
        <w:tc>
          <w:tcPr>
            <w:tcW w:w="6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880" w:type="dxa"/>
            <w:vAlign w:val="bottom"/>
            <w:gridSpan w:val="2"/>
            <w:vMerge w:val="continue"/>
          </w:tcPr>
          <w:p>
            <w:pPr>
              <w:spacing w:after="0"/>
              <w:rPr>
                <w:sz w:val="24"/>
                <w:szCs w:val="24"/>
                <w:color w:val="auto"/>
              </w:rPr>
            </w:pPr>
          </w:p>
        </w:tc>
        <w:tc>
          <w:tcPr>
            <w:tcW w:w="6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4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gridSpan w:val="4"/>
          </w:tcPr>
          <w:p>
            <w:pPr>
              <w:jc w:val="right"/>
              <w:ind w:right="810"/>
              <w:spacing w:after="0"/>
              <w:rPr>
                <w:sz w:val="20"/>
                <w:szCs w:val="20"/>
                <w:color w:val="auto"/>
              </w:rPr>
            </w:pPr>
            <w:r>
              <w:rPr>
                <w:rFonts w:ascii="Arial" w:cs="Arial" w:eastAsia="Arial" w:hAnsi="Arial"/>
                <w:sz w:val="18"/>
                <w:szCs w:val="18"/>
                <w:b w:val="1"/>
                <w:bCs w:val="1"/>
                <w:color w:val="auto"/>
                <w:w w:val="99"/>
              </w:rPr>
              <w:t>Quarter Ended</w:t>
            </w:r>
          </w:p>
        </w:tc>
        <w:tc>
          <w:tcPr>
            <w:tcW w:w="3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30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February 27, 2021</w:t>
            </w:r>
          </w:p>
        </w:tc>
        <w:tc>
          <w:tcPr>
            <w:tcW w:w="54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gridSpan w:val="3"/>
          </w:tcPr>
          <w:p>
            <w:pPr>
              <w:ind w:left="400"/>
              <w:spacing w:after="0"/>
              <w:rPr>
                <w:sz w:val="20"/>
                <w:szCs w:val="20"/>
                <w:color w:val="auto"/>
              </w:rPr>
            </w:pPr>
            <w:r>
              <w:rPr>
                <w:rFonts w:ascii="Arial" w:cs="Arial" w:eastAsia="Arial" w:hAnsi="Arial"/>
                <w:sz w:val="18"/>
                <w:szCs w:val="18"/>
                <w:b w:val="1"/>
                <w:bCs w:val="1"/>
                <w:color w:val="auto"/>
              </w:rPr>
              <w:t>February 29, 2020</w:t>
            </w:r>
          </w:p>
        </w:tc>
        <w:tc>
          <w:tcPr>
            <w:tcW w:w="440" w:type="dxa"/>
            <w:vAlign w:val="bottom"/>
            <w:gridSpan w:val="3"/>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40" w:type="dxa"/>
            <w:vAlign w:val="bottom"/>
          </w:tcPr>
          <w:p>
            <w:pPr>
              <w:spacing w:after="0"/>
              <w:rPr>
                <w:sz w:val="18"/>
                <w:szCs w:val="18"/>
                <w:color w:val="auto"/>
              </w:rPr>
            </w:pPr>
          </w:p>
        </w:tc>
        <w:tc>
          <w:tcPr>
            <w:tcW w:w="30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9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72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43,348</w:t>
            </w:r>
          </w:p>
        </w:tc>
        <w:tc>
          <w:tcPr>
            <w:tcW w:w="800" w:type="dxa"/>
            <w:vAlign w:val="bottom"/>
            <w:gridSpan w:val="2"/>
            <w:shd w:val="clear" w:color="auto" w:fill="CCEEFF"/>
          </w:tcPr>
          <w:p>
            <w:pPr>
              <w:jc w:val="right"/>
              <w:ind w:right="62"/>
              <w:spacing w:after="0"/>
              <w:rPr>
                <w:sz w:val="20"/>
                <w:szCs w:val="20"/>
                <w:color w:val="auto"/>
              </w:rPr>
            </w:pPr>
            <w:r>
              <w:rPr>
                <w:rFonts w:ascii="Arial" w:cs="Arial" w:eastAsia="Arial" w:hAnsi="Arial"/>
                <w:sz w:val="18"/>
                <w:szCs w:val="18"/>
                <w:color w:val="auto"/>
              </w:rPr>
              <w:t>61.7%</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40,033</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61.6%</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Bassett Leather</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jc w:val="right"/>
              <w:ind w:right="770"/>
              <w:spacing w:after="0"/>
              <w:rPr>
                <w:sz w:val="20"/>
                <w:szCs w:val="20"/>
                <w:color w:val="auto"/>
              </w:rPr>
            </w:pPr>
            <w:r>
              <w:rPr>
                <w:rFonts w:ascii="Arial" w:cs="Arial" w:eastAsia="Arial" w:hAnsi="Arial"/>
                <w:sz w:val="18"/>
                <w:szCs w:val="18"/>
                <w:color w:val="auto"/>
              </w:rPr>
              <w:t>7,587</w:t>
            </w:r>
          </w:p>
        </w:tc>
        <w:tc>
          <w:tcPr>
            <w:tcW w:w="800" w:type="dxa"/>
            <w:vAlign w:val="bottom"/>
            <w:gridSpan w:val="2"/>
          </w:tcPr>
          <w:p>
            <w:pPr>
              <w:jc w:val="right"/>
              <w:ind w:right="62"/>
              <w:spacing w:after="0"/>
              <w:rPr>
                <w:sz w:val="20"/>
                <w:szCs w:val="20"/>
                <w:color w:val="auto"/>
              </w:rPr>
            </w:pPr>
            <w:r>
              <w:rPr>
                <w:rFonts w:ascii="Arial" w:cs="Arial" w:eastAsia="Arial" w:hAnsi="Arial"/>
                <w:sz w:val="18"/>
                <w:szCs w:val="18"/>
                <w:color w:val="auto"/>
              </w:rPr>
              <w:t>10.8%</w:t>
            </w:r>
          </w:p>
        </w:tc>
        <w:tc>
          <w:tcPr>
            <w:tcW w:w="180" w:type="dxa"/>
            <w:vAlign w:val="bottom"/>
          </w:tcPr>
          <w:p>
            <w:pPr>
              <w:spacing w:after="0"/>
              <w:rPr>
                <w:sz w:val="18"/>
                <w:szCs w:val="18"/>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4,700</w:t>
            </w:r>
          </w:p>
        </w:tc>
        <w:tc>
          <w:tcPr>
            <w:tcW w:w="38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7.2%</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6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11,543</w:t>
            </w:r>
          </w:p>
        </w:tc>
        <w:tc>
          <w:tcPr>
            <w:tcW w:w="800" w:type="dxa"/>
            <w:vAlign w:val="bottom"/>
            <w:gridSpan w:val="2"/>
            <w:shd w:val="clear" w:color="auto" w:fill="CCEEFF"/>
          </w:tcPr>
          <w:p>
            <w:pPr>
              <w:jc w:val="right"/>
              <w:ind w:right="62"/>
              <w:spacing w:after="0"/>
              <w:rPr>
                <w:sz w:val="20"/>
                <w:szCs w:val="20"/>
                <w:color w:val="auto"/>
              </w:rPr>
            </w:pPr>
            <w:r>
              <w:rPr>
                <w:rFonts w:ascii="Arial" w:cs="Arial" w:eastAsia="Arial" w:hAnsi="Arial"/>
                <w:sz w:val="18"/>
                <w:szCs w:val="18"/>
                <w:color w:val="auto"/>
              </w:rPr>
              <w:t>16.4%</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11,290</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80" w:type="dxa"/>
            <w:vAlign w:val="bottom"/>
            <w:gridSpan w:val="2"/>
          </w:tcPr>
          <w:p>
            <w:pPr>
              <w:spacing w:after="0"/>
              <w:rPr>
                <w:sz w:val="20"/>
                <w:szCs w:val="20"/>
                <w:color w:val="auto"/>
              </w:rPr>
            </w:pPr>
            <w:r>
              <w:rPr>
                <w:rFonts w:ascii="Arial" w:cs="Arial" w:eastAsia="Arial" w:hAnsi="Arial"/>
                <w:sz w:val="18"/>
                <w:szCs w:val="18"/>
                <w:color w:val="auto"/>
              </w:rPr>
              <w:t>Bassett Casegoods</w:t>
            </w:r>
          </w:p>
        </w:tc>
        <w:tc>
          <w:tcPr>
            <w:tcW w:w="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20" w:type="dxa"/>
            <w:vAlign w:val="bottom"/>
          </w:tcPr>
          <w:p>
            <w:pPr>
              <w:jc w:val="right"/>
              <w:ind w:right="770"/>
              <w:spacing w:after="0"/>
              <w:rPr>
                <w:sz w:val="20"/>
                <w:szCs w:val="20"/>
                <w:color w:val="auto"/>
              </w:rPr>
            </w:pPr>
            <w:r>
              <w:rPr>
                <w:rFonts w:ascii="Arial" w:cs="Arial" w:eastAsia="Arial" w:hAnsi="Arial"/>
                <w:sz w:val="18"/>
                <w:szCs w:val="18"/>
                <w:color w:val="auto"/>
              </w:rPr>
              <w:t>7,786</w:t>
            </w:r>
          </w:p>
        </w:tc>
        <w:tc>
          <w:tcPr>
            <w:tcW w:w="800" w:type="dxa"/>
            <w:vAlign w:val="bottom"/>
            <w:gridSpan w:val="2"/>
          </w:tcPr>
          <w:p>
            <w:pPr>
              <w:jc w:val="right"/>
              <w:ind w:right="62"/>
              <w:spacing w:after="0"/>
              <w:rPr>
                <w:sz w:val="20"/>
                <w:szCs w:val="20"/>
                <w:color w:val="auto"/>
              </w:rPr>
            </w:pPr>
            <w:r>
              <w:rPr>
                <w:rFonts w:ascii="Arial" w:cs="Arial" w:eastAsia="Arial" w:hAnsi="Arial"/>
                <w:sz w:val="18"/>
                <w:szCs w:val="18"/>
                <w:color w:val="auto"/>
              </w:rPr>
              <w:t>11.1%</w:t>
            </w:r>
          </w:p>
        </w:tc>
        <w:tc>
          <w:tcPr>
            <w:tcW w:w="180" w:type="dxa"/>
            <w:vAlign w:val="bottom"/>
          </w:tcPr>
          <w:p>
            <w:pPr>
              <w:spacing w:after="0"/>
              <w:rPr>
                <w:sz w:val="18"/>
                <w:szCs w:val="18"/>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8,994</w:t>
            </w:r>
          </w:p>
        </w:tc>
        <w:tc>
          <w:tcPr>
            <w:tcW w:w="38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13.8%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54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62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72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70,264</w:t>
            </w:r>
          </w:p>
        </w:tc>
        <w:tc>
          <w:tcPr>
            <w:tcW w:w="800" w:type="dxa"/>
            <w:vAlign w:val="bottom"/>
            <w:gridSpan w:val="2"/>
            <w:shd w:val="clear" w:color="auto" w:fill="CCEEFF"/>
          </w:tcPr>
          <w:p>
            <w:pPr>
              <w:jc w:val="right"/>
              <w:ind w:right="62"/>
              <w:spacing w:after="0"/>
              <w:rPr>
                <w:sz w:val="20"/>
                <w:szCs w:val="20"/>
                <w:color w:val="auto"/>
              </w:rPr>
            </w:pPr>
            <w:r>
              <w:rPr>
                <w:rFonts w:ascii="Arial" w:cs="Arial" w:eastAsia="Arial" w:hAnsi="Arial"/>
                <w:sz w:val="18"/>
                <w:szCs w:val="18"/>
                <w:color w:val="auto"/>
              </w:rPr>
              <w:t>100.0%</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65,017</w:t>
            </w:r>
          </w:p>
        </w:tc>
        <w:tc>
          <w:tcPr>
            <w:tcW w:w="380" w:type="dxa"/>
            <w:vAlign w:val="bottom"/>
            <w:shd w:val="clear" w:color="auto" w:fill="CCEEFF"/>
          </w:tcPr>
          <w:p>
            <w:pPr>
              <w:spacing w:after="0"/>
              <w:rPr>
                <w:sz w:val="21"/>
                <w:szCs w:val="21"/>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3"/>
        </w:trPr>
        <w:tc>
          <w:tcPr>
            <w:tcW w:w="840" w:type="dxa"/>
            <w:vAlign w:val="bottom"/>
            <w:tcBorders>
              <w:top w:val="single" w:sz="8" w:color="CCEEFF"/>
            </w:tcBorders>
          </w:tcPr>
          <w:p>
            <w:pPr>
              <w:spacing w:after="0"/>
              <w:rPr>
                <w:sz w:val="24"/>
                <w:szCs w:val="24"/>
                <w:color w:val="auto"/>
              </w:rPr>
            </w:pPr>
          </w:p>
        </w:tc>
        <w:tc>
          <w:tcPr>
            <w:tcW w:w="304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720" w:type="dxa"/>
            <w:vAlign w:val="bottom"/>
            <w:tcBorders>
              <w:top w:val="single" w:sz="8" w:color="auto"/>
            </w:tcBorders>
          </w:tcPr>
          <w:p>
            <w:pPr>
              <w:jc w:val="right"/>
              <w:ind w:right="550"/>
              <w:spacing w:after="0"/>
              <w:rPr>
                <w:sz w:val="20"/>
                <w:szCs w:val="20"/>
                <w:color w:val="auto"/>
              </w:rPr>
            </w:pPr>
            <w:r>
              <w:rPr>
                <w:rFonts w:ascii="Arial" w:cs="Arial" w:eastAsia="Arial" w:hAnsi="Arial"/>
                <w:sz w:val="18"/>
                <w:szCs w:val="18"/>
                <w:color w:val="auto"/>
              </w:rPr>
              <w:t>16 of 32</w:t>
            </w:r>
          </w:p>
        </w:tc>
        <w:tc>
          <w:tcPr>
            <w:tcW w:w="54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840" w:type="dxa"/>
            <w:vAlign w:val="bottom"/>
            <w:tcBorders>
              <w:bottom w:val="single" w:sz="8" w:color="auto"/>
            </w:tcBorders>
          </w:tcPr>
          <w:p>
            <w:pPr>
              <w:spacing w:after="0"/>
              <w:rPr>
                <w:sz w:val="10"/>
                <w:szCs w:val="10"/>
                <w:color w:val="auto"/>
              </w:rPr>
            </w:pPr>
          </w:p>
        </w:tc>
        <w:tc>
          <w:tcPr>
            <w:tcW w:w="30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84" w:right="339" w:bottom="1440" w:gutter="0" w:footer="0" w:header="0"/>
          <w:type w:val="continuous"/>
        </w:sectPr>
      </w:pPr>
    </w:p>
    <w:bookmarkStart w:id="16" w:name="page17"/>
    <w:bookmarkEnd w:id="1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Revenue Recognition</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recognize revenue when we transfer promised goods or services to our customers in an amount that reflects the consideration we expect to receive in exchange for those goods or services. For our wholesale and retail segments, revenue is recognized when the risks and rewards of ownership and title to the product have transferred to the buyer. At wholesale, transfer occurs and revenue is recognized upon the shipment of goods to independent dealers and licensee-owned BHF stores. At retail, transfer occurs and revenue is recognized upon delivery of goods to the customer. All wholesale and retail revenues are recorded net of estimated returns and allowances based on historical patterns. We typically collect a significant portion of the purchase price from our retail customers as a deposit upon order, with the balance typically collected upon delivery. These customer deposits are carried on our balance sheet as a current liability until delivery is fulfilled and amounted to $44,674 and $39,762 as of February 27, 2021 and November 28, 2020, respectively. Approximately 76% of the customer deposits held at November 28, 2020 related to performance obligations that were satisfied during the current year-to-date period and have therefore been recognized in revenue for the quarter ended February 27, 2021.</w:t>
      </w:r>
    </w:p>
    <w:p>
      <w:pPr>
        <w:spacing w:after="0" w:line="18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our logistical services segment, line-haul freight revenue is recognized as services are performed and are billed to the customer upon the completion of delivery to the destination. Because the customer receives the benefits of these services as the freight is in transit from point of origin to destination, we recognize revenue using a percentage of completion method based on our estimate of the amount of time freight has been in transit as of the reporting date compared with our estimate of the total required time for the deliveries. The balances of assets recognized for shipping revenues earned but not billed as of February 27, 2021 and November 28, 2020 were not material. Warehousing services revenue is based upon warehouse space occupied by a customer’s goods and inventory movements in and out of a warehouse and is recognized as such services are provided and billed to the customer concurrently in the same period.</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exclude from revenue all amounts collected from customers for sales tax. We do not disclose amounts allocated to remaining unsatisfied performance obligations as they are expected to be satisfied within one year or less.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See Note 12, Segment Information, for disaggregated revenue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Changes to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changes in our stockholders’ equity occurred during the three months ended February 27, 2021 and February 29, 2020:</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6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4"/>
              </w:rPr>
              <w:t>February 27, 2021</w:t>
            </w:r>
          </w:p>
        </w:tc>
        <w:tc>
          <w:tcPr>
            <w:tcW w:w="80" w:type="dxa"/>
            <w:vAlign w:val="bottom"/>
          </w:tcPr>
          <w:p>
            <w:pPr>
              <w:spacing w:after="0"/>
              <w:rPr>
                <w:sz w:val="20"/>
                <w:szCs w:val="20"/>
                <w:color w:val="auto"/>
              </w:rPr>
            </w:pPr>
          </w:p>
        </w:tc>
        <w:tc>
          <w:tcPr>
            <w:tcW w:w="16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3"/>
              </w:rPr>
              <w:t>February 29, 2020</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58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Common Stock:</w:t>
            </w:r>
          </w:p>
        </w:tc>
        <w:tc>
          <w:tcPr>
            <w:tcW w:w="2400" w:type="dxa"/>
            <w:vAlign w:val="bottom"/>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49,714</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50,581</w:t>
            </w: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Issuance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Forfeited shares</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Purchase and retirement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(178)</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(402)</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80" w:type="dxa"/>
            <w:vAlign w:val="bottom"/>
          </w:tcPr>
          <w:p>
            <w:pPr>
              <w:spacing w:after="0"/>
              <w:rPr>
                <w:sz w:val="21"/>
                <w:szCs w:val="21"/>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49,567</w:t>
            </w:r>
          </w:p>
        </w:tc>
        <w:tc>
          <w:tcPr>
            <w:tcW w:w="120" w:type="dxa"/>
            <w:vAlign w:val="bottom"/>
            <w:shd w:val="clear" w:color="auto" w:fill="CCEEFF"/>
          </w:tcPr>
          <w:p>
            <w:pPr>
              <w:spacing w:after="0"/>
              <w:rPr>
                <w:sz w:val="21"/>
                <w:szCs w:val="21"/>
                <w:color w:val="auto"/>
              </w:rPr>
            </w:pP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50,173</w:t>
            </w:r>
          </w:p>
        </w:tc>
        <w:tc>
          <w:tcPr>
            <w:tcW w:w="100" w:type="dxa"/>
            <w:vAlign w:val="bottom"/>
            <w:shd w:val="clear" w:color="auto" w:fill="CCEEFF"/>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580" w:type="dxa"/>
            <w:vAlign w:val="bottom"/>
            <w:vMerge w:val="restart"/>
          </w:tcPr>
          <w:p>
            <w:pPr>
              <w:spacing w:after="0"/>
              <w:rPr>
                <w:sz w:val="17"/>
                <w:szCs w:val="17"/>
                <w:color w:val="auto"/>
              </w:rPr>
            </w:pPr>
          </w:p>
        </w:tc>
        <w:tc>
          <w:tcPr>
            <w:tcW w:w="4380" w:type="dxa"/>
            <w:vAlign w:val="bottom"/>
            <w:tcBorders>
              <w:top w:val="single" w:sz="8" w:color="CCEEFF"/>
            </w:tcBorders>
          </w:tcPr>
          <w:p>
            <w:pPr>
              <w:spacing w:after="0"/>
              <w:rPr>
                <w:sz w:val="17"/>
                <w:szCs w:val="17"/>
                <w:color w:val="auto"/>
              </w:rPr>
            </w:pPr>
          </w:p>
        </w:tc>
        <w:tc>
          <w:tcPr>
            <w:tcW w:w="2400" w:type="dxa"/>
            <w:vAlign w:val="bottom"/>
            <w:tcBorders>
              <w:top w:val="single" w:sz="8" w:color="CCEEFF"/>
            </w:tcBorders>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Common Shares Issued and Outstanding:</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9,942,787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10,116,291</w:t>
            </w: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Issuance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6,221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5,743</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Forfeited shares</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(7,000)</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Purchase and retirement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(35,512)</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(80,443)</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580" w:type="dxa"/>
            <w:vAlign w:val="bottom"/>
          </w:tcPr>
          <w:p>
            <w:pPr>
              <w:spacing w:after="0"/>
              <w:rPr>
                <w:sz w:val="21"/>
                <w:szCs w:val="21"/>
                <w:color w:val="auto"/>
              </w:rPr>
            </w:pPr>
          </w:p>
        </w:tc>
        <w:tc>
          <w:tcPr>
            <w:tcW w:w="43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End of period</w:t>
            </w:r>
          </w:p>
        </w:tc>
        <w:tc>
          <w:tcPr>
            <w:tcW w:w="24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auto"/>
            </w:tcBorders>
            <w:shd w:val="clear" w:color="auto" w:fill="CCEEFF"/>
          </w:tcPr>
          <w:p>
            <w:pPr>
              <w:spacing w:after="0"/>
              <w:rPr>
                <w:sz w:val="21"/>
                <w:szCs w:val="21"/>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9,913,496</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shd w:val="clear" w:color="auto" w:fill="CCEEFF"/>
          </w:tcPr>
          <w:p>
            <w:pPr>
              <w:spacing w:after="0"/>
              <w:rPr>
                <w:sz w:val="21"/>
                <w:szCs w:val="21"/>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10,034,591</w:t>
            </w:r>
          </w:p>
        </w:tc>
        <w:tc>
          <w:tcPr>
            <w:tcW w:w="100" w:type="dxa"/>
            <w:vAlign w:val="bottom"/>
            <w:tcBorders>
              <w:bottom w:val="single" w:sz="8" w:color="CCEEFF"/>
            </w:tcBorders>
            <w:shd w:val="clear" w:color="auto" w:fill="CCEEFF"/>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580" w:type="dxa"/>
            <w:vAlign w:val="bottom"/>
            <w:vMerge w:val="restart"/>
          </w:tcPr>
          <w:p>
            <w:pPr>
              <w:spacing w:after="0"/>
              <w:rPr>
                <w:sz w:val="17"/>
                <w:szCs w:val="17"/>
                <w:color w:val="auto"/>
              </w:rPr>
            </w:pPr>
          </w:p>
        </w:tc>
        <w:tc>
          <w:tcPr>
            <w:tcW w:w="438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Additional Paid-in Capital:</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Issuance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Forfeited shares</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Purchase and retirement of common stock</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(66)</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(361)</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Stock based compensation</w:t>
            </w:r>
          </w:p>
        </w:tc>
        <w:tc>
          <w:tcPr>
            <w:tcW w:w="2400" w:type="dxa"/>
            <w:vAlign w:val="bottom"/>
            <w:tcBorders>
              <w:bottom w:val="single" w:sz="8" w:color="CCEEFF"/>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100" w:type="dxa"/>
            <w:vAlign w:val="bottom"/>
            <w:tcBorders>
              <w:bottom w:val="single" w:sz="8" w:color="CCEEFF"/>
            </w:tcBorders>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960" w:type="dxa"/>
            <w:vAlign w:val="bottom"/>
            <w:gridSpan w:val="2"/>
          </w:tcPr>
          <w:p>
            <w:pPr>
              <w:ind w:left="560"/>
              <w:spacing w:after="0"/>
              <w:rPr>
                <w:sz w:val="20"/>
                <w:szCs w:val="20"/>
                <w:color w:val="auto"/>
              </w:rPr>
            </w:pPr>
            <w:r>
              <w:rPr>
                <w:rFonts w:ascii="Arial" w:cs="Arial" w:eastAsia="Arial" w:hAnsi="Arial"/>
                <w:sz w:val="18"/>
                <w:szCs w:val="18"/>
                <w:color w:val="auto"/>
              </w:rPr>
              <w:t>End of period</w:t>
            </w:r>
          </w:p>
        </w:tc>
        <w:tc>
          <w:tcPr>
            <w:tcW w:w="2840" w:type="dxa"/>
            <w:vAlign w:val="bottom"/>
            <w:gridSpan w:val="2"/>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60" w:type="dxa"/>
            <w:vAlign w:val="bottom"/>
            <w:gridSpan w:val="2"/>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80" w:type="dxa"/>
            <w:vAlign w:val="bottom"/>
            <w:vMerge w:val="restart"/>
          </w:tcPr>
          <w:p>
            <w:pPr>
              <w:spacing w:after="0"/>
              <w:rPr>
                <w:sz w:val="17"/>
                <w:szCs w:val="17"/>
                <w:color w:val="auto"/>
              </w:rPr>
            </w:pPr>
          </w:p>
        </w:tc>
        <w:tc>
          <w:tcPr>
            <w:tcW w:w="4380" w:type="dxa"/>
            <w:vAlign w:val="bottom"/>
            <w:shd w:val="clear" w:color="auto" w:fill="CCEEFF"/>
          </w:tcPr>
          <w:p>
            <w:pPr>
              <w:spacing w:after="0"/>
              <w:rPr>
                <w:sz w:val="17"/>
                <w:szCs w:val="17"/>
                <w:color w:val="auto"/>
              </w:rPr>
            </w:pPr>
          </w:p>
        </w:tc>
        <w:tc>
          <w:tcPr>
            <w:tcW w:w="2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b w:val="1"/>
                <w:bCs w:val="1"/>
                <w:color w:val="auto"/>
              </w:rPr>
              <w:t>Retained Earnings:</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restart"/>
          </w:tcPr>
          <w:p>
            <w:pPr>
              <w:spacing w:after="0"/>
              <w:rPr>
                <w:sz w:val="18"/>
                <w:szCs w:val="18"/>
                <w:color w:val="auto"/>
              </w:rPr>
            </w:pPr>
          </w:p>
        </w:tc>
        <w:tc>
          <w:tcPr>
            <w:tcW w:w="4380" w:type="dxa"/>
            <w:vAlign w:val="bottom"/>
            <w:shd w:val="clear" w:color="auto" w:fill="CCEEFF"/>
          </w:tcPr>
          <w:p>
            <w:pPr>
              <w:spacing w:after="0"/>
              <w:rPr>
                <w:sz w:val="18"/>
                <w:szCs w:val="18"/>
                <w:color w:val="auto"/>
              </w:rPr>
            </w:pP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Beginning of period</w:t>
            </w:r>
          </w:p>
        </w:tc>
        <w:tc>
          <w:tcPr>
            <w:tcW w:w="2840" w:type="dxa"/>
            <w:vAlign w:val="bottom"/>
            <w:gridSpan w:val="2"/>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109,710</w:t>
            </w:r>
          </w:p>
        </w:tc>
        <w:tc>
          <w:tcPr>
            <w:tcW w:w="120" w:type="dxa"/>
            <w:vAlign w:val="bottom"/>
          </w:tcPr>
          <w:p>
            <w:pPr>
              <w:spacing w:after="0"/>
              <w:rPr>
                <w:sz w:val="18"/>
                <w:szCs w:val="18"/>
                <w:color w:val="auto"/>
              </w:rPr>
            </w:pPr>
          </w:p>
        </w:tc>
        <w:tc>
          <w:tcPr>
            <w:tcW w:w="460" w:type="dxa"/>
            <w:vAlign w:val="bottom"/>
            <w:gridSpan w:val="2"/>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129,130</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9"/>
              </w:rPr>
              <w:t>Cumulative effect of a change in accounting principal</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(3,785)</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Net income for the period</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4,011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1,210</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Purchase and retirement of common stock</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(509)</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(217)</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Cash dividends declared</w:t>
            </w: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(3,719)</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(1,260)</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580" w:type="dxa"/>
            <w:vAlign w:val="bottom"/>
          </w:tcPr>
          <w:p>
            <w:pPr>
              <w:spacing w:after="0"/>
              <w:rPr>
                <w:sz w:val="21"/>
                <w:szCs w:val="21"/>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109,493</w:t>
            </w:r>
          </w:p>
        </w:tc>
        <w:tc>
          <w:tcPr>
            <w:tcW w:w="120" w:type="dxa"/>
            <w:vAlign w:val="bottom"/>
            <w:shd w:val="clear" w:color="auto" w:fill="CCEEFF"/>
          </w:tcPr>
          <w:p>
            <w:pPr>
              <w:spacing w:after="0"/>
              <w:rPr>
                <w:sz w:val="21"/>
                <w:szCs w:val="21"/>
                <w:color w:val="auto"/>
              </w:rPr>
            </w:pP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125,078</w:t>
            </w:r>
          </w:p>
        </w:tc>
        <w:tc>
          <w:tcPr>
            <w:tcW w:w="100" w:type="dxa"/>
            <w:vAlign w:val="bottom"/>
            <w:shd w:val="clear" w:color="auto" w:fill="CCEEFF"/>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580" w:type="dxa"/>
            <w:vAlign w:val="bottom"/>
            <w:vMerge w:val="restart"/>
          </w:tcPr>
          <w:p>
            <w:pPr>
              <w:spacing w:after="0"/>
              <w:rPr>
                <w:sz w:val="17"/>
                <w:szCs w:val="17"/>
                <w:color w:val="auto"/>
              </w:rPr>
            </w:pPr>
          </w:p>
        </w:tc>
        <w:tc>
          <w:tcPr>
            <w:tcW w:w="4380" w:type="dxa"/>
            <w:vAlign w:val="bottom"/>
            <w:tcBorders>
              <w:top w:val="single" w:sz="8" w:color="CCEEFF"/>
            </w:tcBorders>
          </w:tcPr>
          <w:p>
            <w:pPr>
              <w:spacing w:after="0"/>
              <w:rPr>
                <w:sz w:val="17"/>
                <w:szCs w:val="17"/>
                <w:color w:val="auto"/>
              </w:rPr>
            </w:pPr>
          </w:p>
        </w:tc>
        <w:tc>
          <w:tcPr>
            <w:tcW w:w="2400" w:type="dxa"/>
            <w:vAlign w:val="bottom"/>
            <w:tcBorders>
              <w:top w:val="single" w:sz="8" w:color="CCEEFF"/>
            </w:tcBorders>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Accumulated Other Comprehensive Loss:</w:t>
            </w:r>
          </w:p>
        </w:tc>
        <w:tc>
          <w:tcPr>
            <w:tcW w:w="24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vMerge w:val="continue"/>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(1,394)</w:t>
            </w: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(1,236)</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Amortization of pension costs, net of tax</w:t>
            </w:r>
          </w:p>
        </w:tc>
        <w:tc>
          <w:tcPr>
            <w:tcW w:w="240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580" w:type="dxa"/>
            <w:vAlign w:val="bottom"/>
          </w:tcPr>
          <w:p>
            <w:pPr>
              <w:spacing w:after="0"/>
              <w:rPr>
                <w:sz w:val="21"/>
                <w:szCs w:val="21"/>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2840" w:type="dxa"/>
            <w:vAlign w:val="bottom"/>
            <w:gridSpan w:val="2"/>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(1,359)</w:t>
            </w:r>
          </w:p>
        </w:tc>
        <w:tc>
          <w:tcPr>
            <w:tcW w:w="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(1,211)</w:t>
            </w: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3"/>
        </w:trPr>
        <w:tc>
          <w:tcPr>
            <w:tcW w:w="580" w:type="dxa"/>
            <w:vAlign w:val="bottom"/>
          </w:tcPr>
          <w:p>
            <w:pPr>
              <w:spacing w:after="0"/>
              <w:rPr>
                <w:sz w:val="24"/>
                <w:szCs w:val="24"/>
                <w:color w:val="auto"/>
              </w:rPr>
            </w:pPr>
          </w:p>
        </w:tc>
        <w:tc>
          <w:tcPr>
            <w:tcW w:w="4380" w:type="dxa"/>
            <w:vAlign w:val="bottom"/>
            <w:tcBorders>
              <w:top w:val="single" w:sz="8" w:color="CCEEFF"/>
            </w:tcBorders>
          </w:tcPr>
          <w:p>
            <w:pPr>
              <w:spacing w:after="0"/>
              <w:rPr>
                <w:sz w:val="24"/>
                <w:szCs w:val="24"/>
                <w:color w:val="auto"/>
              </w:rPr>
            </w:pPr>
          </w:p>
        </w:tc>
        <w:tc>
          <w:tcPr>
            <w:tcW w:w="2400" w:type="dxa"/>
            <w:vAlign w:val="bottom"/>
            <w:tcBorders>
              <w:top w:val="single" w:sz="8" w:color="CCEEFF"/>
            </w:tcBorders>
          </w:tcPr>
          <w:p>
            <w:pPr>
              <w:ind w:left="360"/>
              <w:spacing w:after="0"/>
              <w:rPr>
                <w:sz w:val="20"/>
                <w:szCs w:val="20"/>
                <w:color w:val="auto"/>
              </w:rPr>
            </w:pPr>
            <w:r>
              <w:rPr>
                <w:rFonts w:ascii="Arial" w:cs="Arial" w:eastAsia="Arial" w:hAnsi="Arial"/>
                <w:sz w:val="18"/>
                <w:szCs w:val="18"/>
                <w:color w:val="auto"/>
              </w:rPr>
              <w:t>18 of 32</w:t>
            </w:r>
          </w:p>
        </w:tc>
        <w:tc>
          <w:tcPr>
            <w:tcW w:w="44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auto"/>
            </w:tcBorders>
          </w:tcPr>
          <w:p>
            <w:pPr>
              <w:spacing w:after="0"/>
              <w:rPr>
                <w:sz w:val="10"/>
                <w:szCs w:val="10"/>
                <w:color w:val="auto"/>
              </w:rPr>
            </w:pPr>
          </w:p>
        </w:tc>
        <w:tc>
          <w:tcPr>
            <w:tcW w:w="4380" w:type="dxa"/>
            <w:vAlign w:val="bottom"/>
            <w:tcBorders>
              <w:bottom w:val="single" w:sz="8" w:color="auto"/>
            </w:tcBorders>
          </w:tcPr>
          <w:p>
            <w:pPr>
              <w:spacing w:after="0"/>
              <w:rPr>
                <w:sz w:val="10"/>
                <w:szCs w:val="10"/>
                <w:color w:val="auto"/>
              </w:rPr>
            </w:pPr>
          </w:p>
        </w:tc>
        <w:tc>
          <w:tcPr>
            <w:tcW w:w="24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84" w:right="33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Recent Accounting Pronouncements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December 2019, the FASB issued Accounting Standards Update No. 2019-12 – Income Taxes (Topic 740) Simplifying the Accounting for Income Taxes, as part of its initiative to reduce complexity in the accounting standards. The amendments in ASU 2019-12 eliminate certain exceptions related to the approach for intraperiod tax allocation, the methodology for calculating income taxes in an interim period and the recognition of deferred tax liabilities for outside basis differences. ASU 2019-12 also clarifies and simplifies other aspects of the accounting for income taxes. The amendments in ASU 2019-12 will become effective for us as of the beginning of our 2022 fiscal year. Early adoption is permitted, including adoption in any interim period. We are currently evaluating the impact that this guidance will have upon our financial position and results of operations, if any.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Safe-harbor, forward-looking statements:</w:t>
      </w:r>
    </w:p>
    <w:p>
      <w:pPr>
        <w:spacing w:after="0" w:line="22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This report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Arial" w:cs="Arial" w:eastAsia="Arial" w:hAnsi="Arial"/>
          <w:sz w:val="16"/>
          <w:szCs w:val="16"/>
          <w:i w:val="1"/>
          <w:iCs w:val="1"/>
          <w:color w:val="auto"/>
        </w:rPr>
        <w:t>anticipates</w:t>
      </w:r>
      <w:r>
        <w:rPr>
          <w:rFonts w:ascii="Arial" w:cs="Arial" w:eastAsia="Arial" w:hAnsi="Arial"/>
          <w:sz w:val="16"/>
          <w:szCs w:val="16"/>
          <w:color w:val="auto"/>
        </w:rPr>
        <w:t>”, “</w:t>
      </w:r>
      <w:r>
        <w:rPr>
          <w:rFonts w:ascii="Arial" w:cs="Arial" w:eastAsia="Arial" w:hAnsi="Arial"/>
          <w:sz w:val="16"/>
          <w:szCs w:val="16"/>
          <w:i w:val="1"/>
          <w:iCs w:val="1"/>
          <w:color w:val="auto"/>
        </w:rPr>
        <w:t>believes</w:t>
      </w:r>
      <w:r>
        <w:rPr>
          <w:rFonts w:ascii="Arial" w:cs="Arial" w:eastAsia="Arial" w:hAnsi="Arial"/>
          <w:sz w:val="16"/>
          <w:szCs w:val="16"/>
          <w:color w:val="auto"/>
        </w:rPr>
        <w:t>”, “</w:t>
      </w:r>
      <w:r>
        <w:rPr>
          <w:rFonts w:ascii="Arial" w:cs="Arial" w:eastAsia="Arial" w:hAnsi="Arial"/>
          <w:sz w:val="16"/>
          <w:szCs w:val="16"/>
          <w:i w:val="1"/>
          <w:iCs w:val="1"/>
          <w:color w:val="auto"/>
        </w:rPr>
        <w:t>plans</w:t>
      </w:r>
      <w:r>
        <w:rPr>
          <w:rFonts w:ascii="Arial" w:cs="Arial" w:eastAsia="Arial" w:hAnsi="Arial"/>
          <w:sz w:val="16"/>
          <w:szCs w:val="16"/>
          <w:color w:val="auto"/>
        </w:rPr>
        <w:t>”, “</w:t>
      </w:r>
      <w:r>
        <w:rPr>
          <w:rFonts w:ascii="Arial" w:cs="Arial" w:eastAsia="Arial" w:hAnsi="Arial"/>
          <w:sz w:val="16"/>
          <w:szCs w:val="16"/>
          <w:i w:val="1"/>
          <w:iCs w:val="1"/>
          <w:color w:val="auto"/>
        </w:rPr>
        <w:t>estimates</w:t>
      </w:r>
      <w:r>
        <w:rPr>
          <w:rFonts w:ascii="Arial" w:cs="Arial" w:eastAsia="Arial" w:hAnsi="Arial"/>
          <w:sz w:val="16"/>
          <w:szCs w:val="16"/>
          <w:color w:val="auto"/>
        </w:rPr>
        <w:t>”, “</w:t>
      </w:r>
      <w:r>
        <w:rPr>
          <w:rFonts w:ascii="Arial" w:cs="Arial" w:eastAsia="Arial" w:hAnsi="Arial"/>
          <w:sz w:val="16"/>
          <w:szCs w:val="16"/>
          <w:i w:val="1"/>
          <w:iCs w:val="1"/>
          <w:color w:val="auto"/>
        </w:rPr>
        <w:t>expects</w:t>
      </w:r>
      <w:r>
        <w:rPr>
          <w:rFonts w:ascii="Arial" w:cs="Arial" w:eastAsia="Arial" w:hAnsi="Arial"/>
          <w:sz w:val="16"/>
          <w:szCs w:val="16"/>
          <w:color w:val="auto"/>
        </w:rPr>
        <w:t>”, “</w:t>
      </w:r>
      <w:r>
        <w:rPr>
          <w:rFonts w:ascii="Arial" w:cs="Arial" w:eastAsia="Arial" w:hAnsi="Arial"/>
          <w:sz w:val="16"/>
          <w:szCs w:val="16"/>
          <w:i w:val="1"/>
          <w:iCs w:val="1"/>
          <w:color w:val="auto"/>
        </w:rPr>
        <w:t>aims</w:t>
      </w:r>
      <w:r>
        <w:rPr>
          <w:rFonts w:ascii="Arial" w:cs="Arial" w:eastAsia="Arial" w:hAnsi="Arial"/>
          <w:sz w:val="16"/>
          <w:szCs w:val="16"/>
          <w:color w:val="auto"/>
        </w:rPr>
        <w:t>” and “</w:t>
      </w:r>
      <w:r>
        <w:rPr>
          <w:rFonts w:ascii="Arial" w:cs="Arial" w:eastAsia="Arial" w:hAnsi="Arial"/>
          <w:sz w:val="16"/>
          <w:szCs w:val="16"/>
          <w:i w:val="1"/>
          <w:iCs w:val="1"/>
          <w:color w:val="auto"/>
        </w:rPr>
        <w:t>intends</w:t>
      </w:r>
      <w:r>
        <w:rPr>
          <w:rFonts w:ascii="Arial" w:cs="Arial" w:eastAsia="Arial" w:hAnsi="Arial"/>
          <w:sz w:val="16"/>
          <w:szCs w:val="16"/>
          <w:color w:val="auto"/>
        </w:rPr>
        <w:t>”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377" w:lineRule="exact"/>
        <w:rPr>
          <w:sz w:val="20"/>
          <w:szCs w:val="20"/>
          <w:color w:val="auto"/>
        </w:rPr>
      </w:pPr>
    </w:p>
    <w:p>
      <w:pPr>
        <w:jc w:val="both"/>
        <w:ind w:left="340" w:hanging="332"/>
        <w:spacing w:after="0" w:line="311"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impact of the COVID-19 outbreak upon our ability to maintain normal operations at our retail stores and manufacturing facilities and the resulting effects any future interruption of those operations may have upon our financial condition, results of operations and liquidity, as well as the impact of the outbreak upon general economic conditions, including consumer spending and the strength of the housing market in the United States</w:t>
      </w:r>
    </w:p>
    <w:p>
      <w:pPr>
        <w:spacing w:after="0" w:line="148" w:lineRule="exact"/>
        <w:rPr>
          <w:rFonts w:ascii="Arial" w:cs="Arial" w:eastAsia="Arial" w:hAnsi="Arial"/>
          <w:sz w:val="16"/>
          <w:szCs w:val="16"/>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competitive conditions in the home furnishings industry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overall retail traffic levels and consumer demand for home furnishings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of our customers and consumers to obtain credit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profitability of the Bassett stores (independent licensees and Company-owned retail stores) which may result in future store closings</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to implement our Company-owned retail strategies and realize the benefits from such strategies, including our initiatives to expand and improve our digital marketing capabilities, as they are implemented</w:t>
      </w:r>
    </w:p>
    <w:p>
      <w:pPr>
        <w:spacing w:after="0" w:line="170"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fluctuations in the cost and availability of raw materials, fuel, labor and sourced products, including those which may result from supply chain disruptions and the imposition of new or increased duties, tariffs, retaliatory tariffs and trade limitations with respect to foreign-sourced products</w:t>
      </w:r>
    </w:p>
    <w:p>
      <w:pPr>
        <w:spacing w:after="0" w:line="146" w:lineRule="exact"/>
        <w:rPr>
          <w:rFonts w:ascii="Arial" w:cs="Arial" w:eastAsia="Arial" w:hAnsi="Arial"/>
          <w:sz w:val="17"/>
          <w:szCs w:val="17"/>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marketing and advertising campaigns</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effectiveness and security of our information and technology systems and possible disruptions due to cybersecurity threats, including any impacts from a network security incident; and the sufficiency of our insurance coverage, including cybersecurity insurance.</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future tax legislation, or regulatory or judicial positions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to efficiently manage the import supply chain to minimize business interruption</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general risks associated with providing freight transportation and other logistical services through our wholly owned subsidiary, Zenith Freight Lines,</w:t>
      </w:r>
    </w:p>
    <w:p>
      <w:pPr>
        <w:spacing w:after="0" w:line="46" w:lineRule="exact"/>
        <w:rPr>
          <w:rFonts w:ascii="Arial" w:cs="Arial" w:eastAsia="Arial" w:hAnsi="Arial"/>
          <w:sz w:val="16"/>
          <w:szCs w:val="16"/>
          <w:color w:val="auto"/>
        </w:rPr>
      </w:pPr>
    </w:p>
    <w:p>
      <w:pPr>
        <w:ind w:left="340"/>
        <w:spacing w:after="0"/>
        <w:rPr>
          <w:rFonts w:ascii="Arial" w:cs="Arial" w:eastAsia="Arial" w:hAnsi="Arial"/>
          <w:sz w:val="16"/>
          <w:szCs w:val="16"/>
          <w:color w:val="auto"/>
        </w:rPr>
      </w:pPr>
      <w:r>
        <w:rPr>
          <w:rFonts w:ascii="Arial" w:cs="Arial" w:eastAsia="Arial" w:hAnsi="Arial"/>
          <w:sz w:val="18"/>
          <w:szCs w:val="18"/>
          <w:color w:val="auto"/>
        </w:rPr>
        <w:t>LLC</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Additionally, other risks that could cause actual results to differ materially from those contemplated by such forward-looking statements are set forth in Part I, Item 1A. Risk Factors in the Company’s Annual Report on Form 10-K for the fiscal year ended November 28, 2020.</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4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118-year history has instilled the principles of quality, value, and integrity in everything we do, while simultaneously providing us with the expertise to respond to ever-changing consumer tastes and meet the demands of a global economy.</w:t>
      </w:r>
    </w:p>
    <w:p>
      <w:pPr>
        <w:spacing w:after="0" w:line="17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With 97 BHF stores at February 27, 2021,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6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BHF stores feature custom order furniture, free in-home or virtual design visits (“home makeovers”) and coordinated decorating accessories. Our philosophy is based on building strong long-term relationships with each customer. Salespeople are referred to as “Design Consultants” and are trained to evaluate customer needs and provide comprehensive solutions for their home decor. Until a rigorous training and design certification program is completed, Design Consultants are not authorized to perform in-home or virtual design services for our customers.</w:t>
      </w:r>
    </w:p>
    <w:p>
      <w:pPr>
        <w:spacing w:after="0" w:line="17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have factories in Newton, North Carolina that manufacture custom upholstered furniture. We also have factories in Martinsville and Bassett, Virginia that assemble and finish our custom dining offerings, including our solid hardwood furniture “Bench Made” line. Our manufacturing team takes great pride in the breadth of its options, the precision of its craftsmanship, and the speed of its manufacturing process.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Thailand and China. Over 75% of the products we currently sell are manufactured in the United States.</w:t>
      </w:r>
    </w:p>
    <w:p>
      <w:pPr>
        <w:spacing w:after="0" w:line="17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During fiscal 2018, we acquired Lane Venture, a manufacturer and distributor of premium outdoor furniture which is operated as a component of our wholesale segment. This acquisition marked our entry into the market for outdoor furniture and we believe that Lane Venture has provided a foundation for us to become a significant participant in this category. Our strategy is to distribute this brand outside of our BHF store network only.</w:t>
      </w:r>
    </w:p>
    <w:p>
      <w:pPr>
        <w:spacing w:after="0" w:line="16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With the knowledge we have gained through operating Lane Venture, we have developed the Bassett Outdoor brand that is only marketed through the BHF store network. This allows Bassett branded product to move from inside the home to outside the home to capitalize on the growing trend of outdoor living.</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color w:val="auto"/>
        </w:rPr>
        <w:t>We also own Zenith Freight Lines, LLC (“Zenith”) which provides logistical services to Bassett along with other furniture manufacturers and retailers.</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Zenith delivers best-of-class shipping and logistical support services that are uniquely tailored to the needs of Bassett and the furniture industry.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Approximately 60% of Zenith’s revenue is generated from services provided to non-Bassett customers.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consider our website to be the front door to our brand experience where customers can research our furniture and accessory offerings and subsequently buy online or engage with an in-store design consultant. Customer acquisition resulting from our digital outreach strategies increased our traffic to the website by 53% and web orders by 55% for the first quarter of 2021 as compared to 2020. Digital advertising continues to dominate our marketing expenditures as we continue to spend less in traditional television and direct mail advertising. We expect to continue investing in our website to improve the navigation and the ordering capabilities to increase web sales. Much of our current product offerings highlight the breadth and depth of our custom furniture capabilities which are difficult to show and sell online. We plan to expand our merchandising strategies to include more product that can be more easily purchased online with or without a store visit. While we work to increase web sales, we will not compromise on our in-store experience or the quality of our in-home makeover capabilities.</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also continue to re-examine the performance of every one of our stores. Store traffic has been declining for three years and the effect on our retail model has become increasingly challenging. We believe that on a market-by-market basis, there will be fewer stores in the future. We will continue to evaluate store-by-store performance as we seek the optimal store count in the markets in which we compete at retail.</w:t>
      </w:r>
    </w:p>
    <w:p>
      <w:pPr>
        <w:spacing w:after="0" w:line="18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migration to digital brand research and compressed transaction cycles have caused us to comprehensively evaluate all of our American made custom products. While our Custom Upholstery, Custom Dining, and Bench Made product lines continue to be our most successful offerings, they are not conducive to web transactions; most of these items must be purchased in a store. Furthermore, we offer many upholstery trim options, fabrics and finishes that have low rates of sale and that make web navigation more difficult for the consumer. Consequently, we will continue to methodically re-design each one of these important lines. Our intent is to continue to offer the consumer custom options that will help them personalize their home but to do so in an edited fashion that will provide a better web experience in the research phase and will also allow the final purchase to be made either on the web or in the store.</w:t>
      </w:r>
    </w:p>
    <w:p>
      <w:pPr>
        <w:spacing w:after="0" w:line="19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plan to heavily emphasize our “Made in America” story and utilize locally harvested and organic materials when possible. As part of this, we recently rebranded our premier Custom Upholstery line to be part of the Bench Made program emphasizing that those products are artisan crafted with exceptional domestic materials and are made to order. In addition, we expanded our Bench Made solid wood dining offerings to provide a sleeker more contemporary styling product to complement our initial Bench Made dining offerings.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COVID-19 Pandemic Upon Our Financial Condition and Results of Operations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 March 11, 2020, the World Health Organization declared the current coronavirus (“COVID-19”) outbreak to be a global pandemic. In response to this declaration and the rapid spread of COVID-19 within the United States, federal, state and local governments throughout the country imposed varying degrees of restrictions on social and commercial activity to promote social distancing in an effort to slow the spread of the illness. These measures had a significant adverse impact upon many sectors of the economy, including non-essential retail commerce, beginning in our second fiscal quarter of 2020. Therefore, our results of operations for the quarter ended February 29, 2020 were not impacted by COVID-19.</w:t>
      </w:r>
    </w:p>
    <w:p>
      <w:pPr>
        <w:spacing w:after="0" w:line="17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response to the above and for the protection of our employees and customers, we temporarily closed our dedicated BHF stores, our manufacturing locations and many of our warehouses for several weeks primarily during the second fiscal quarter of 2020. The disruption to our operations caused by the COVID-19 pandemic resulted in a significant loss for the second quarter of fiscal 2020 which drove the loss for the full year of fiscal 2020 despite our return to profitability during the third and fourth fiscal quarters.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However, since restarting the manufacturing operations and reopening stores, the pace of incoming wholesale orders from both the retail stores and our independent dealers outside the BHF store network have far exceeded our post reopening forecasts. Wholesale orders for the first quarter of 2021 increased 44% as compared to the pre-pandemic levels of the first quarter of fiscal 2020. While our manufacturing operations, primarily our upholstery division, and shipping operations have not been able to keep pace with the incoming order level, we were able to generate net income of $4,011 and operating cash flow of $4,984 for the quarter ended February 27, 2021.</w:t>
      </w:r>
    </w:p>
    <w:p>
      <w:pPr>
        <w:spacing w:after="0" w:line="188"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continue to closely monitor the COVID-19 pandemic and the potential effects on the economy, the consumer and our business. While the rate of incoming orders at both our wholesale and retail segments is currently strong, there are continuing logistical challenges faced by us and the entire home furnishings industry resulting from COVID-related labor shortages and supply chain disruptions creating significant delays in order fulfillment and increasing backlogs. Although unable to predict with certainty, we expect gradual decreases in wholesale and retail backlogs over the remainder of 2021 driven by an anticipated lower rate of future incoming orders coupled with increased manufacturing and shipping activity. While the home furnishings industry has fared much better during the pandemic than other sectors of the economy, the speed and direction of the economic recovery remains largely dependent upon the success of mass vaccination programs and the declining trend in COVID-19 cases, and any interruption or reversal of these trends may yet have an additional adverse impact upon our business. The timing of any future actions by us in response to COVID-19 is largely dependent on the mitigation of the spread of the virus, the speed with which vaccinations are disseminated, status of government orders, directives and guidelines, recovery of the business environment, economic conditions, and consumer demand for our products.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Results of Operations </w:t>
      </w:r>
      <w:r>
        <w:rPr>
          <w:rFonts w:ascii="Arial" w:cs="Arial" w:eastAsia="Arial" w:hAnsi="Arial"/>
          <w:sz w:val="18"/>
          <w:szCs w:val="18"/>
          <w:color w:val="auto"/>
        </w:rPr>
        <w:t>–</w:t>
      </w:r>
      <w:r>
        <w:rPr>
          <w:rFonts w:ascii="Arial" w:cs="Arial" w:eastAsia="Arial" w:hAnsi="Arial"/>
          <w:sz w:val="18"/>
          <w:szCs w:val="18"/>
          <w:b w:val="1"/>
          <w:bCs w:val="1"/>
          <w:color w:val="auto"/>
        </w:rPr>
        <w:t xml:space="preserve"> Quarter ended February 27, 2021 compared with the quarter ended February 29, 2020:</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Net sales of furniture and accessories, logistics revenue, cost of furniture and accessories sold, selling, general and administrative (SG&amp;A) expense and income from operations were as follows for the three months ended February 27, 2021 and February 29, 2020:</w:t>
      </w:r>
    </w:p>
    <w:p>
      <w:pPr>
        <w:spacing w:after="0" w:line="170" w:lineRule="exact"/>
        <w:rPr>
          <w:sz w:val="20"/>
          <w:szCs w:val="20"/>
          <w:color w:val="auto"/>
        </w:rPr>
      </w:pPr>
    </w:p>
    <w:tbl>
      <w:tblPr>
        <w:tblLayout w:type="fixed"/>
        <w:tblInd w:w="56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27, 2021</w:t>
            </w:r>
          </w:p>
        </w:tc>
        <w:tc>
          <w:tcPr>
            <w:tcW w:w="4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February 29, 2020</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2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tcPr>
          <w:p>
            <w:pPr>
              <w:ind w:left="160"/>
              <w:spacing w:after="0"/>
              <w:rPr>
                <w:sz w:val="20"/>
                <w:szCs w:val="20"/>
                <w:color w:val="auto"/>
              </w:rPr>
            </w:pPr>
            <w:r>
              <w:rPr>
                <w:rFonts w:ascii="Arial" w:cs="Arial" w:eastAsia="Arial" w:hAnsi="Arial"/>
                <w:sz w:val="18"/>
                <w:szCs w:val="18"/>
                <w:color w:val="auto"/>
              </w:rPr>
              <w:t>Furniture and accessories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70"/>
              <w:spacing w:after="0"/>
              <w:rPr>
                <w:sz w:val="20"/>
                <w:szCs w:val="20"/>
                <w:color w:val="auto"/>
              </w:rPr>
            </w:pPr>
            <w:r>
              <w:rPr>
                <w:rFonts w:ascii="Arial" w:cs="Arial" w:eastAsia="Arial" w:hAnsi="Arial"/>
                <w:sz w:val="18"/>
                <w:szCs w:val="18"/>
                <w:color w:val="auto"/>
              </w:rPr>
              <w:t>101,655</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89.4%</w:t>
            </w:r>
          </w:p>
        </w:tc>
        <w:tc>
          <w:tcPr>
            <w:tcW w:w="400" w:type="dxa"/>
            <w:vAlign w:val="bottom"/>
          </w:tcPr>
          <w:p>
            <w:pPr>
              <w:jc w:val="right"/>
              <w:ind w:right="247"/>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ind w:right="670"/>
              <w:spacing w:after="0"/>
              <w:rPr>
                <w:sz w:val="20"/>
                <w:szCs w:val="20"/>
                <w:color w:val="auto"/>
              </w:rPr>
            </w:pPr>
            <w:r>
              <w:rPr>
                <w:rFonts w:ascii="Arial" w:cs="Arial" w:eastAsia="Arial" w:hAnsi="Arial"/>
                <w:sz w:val="18"/>
                <w:szCs w:val="18"/>
                <w:color w:val="auto"/>
              </w:rPr>
              <w:t>98,942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88.2%</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2,713</w:t>
            </w: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Logistics revenue</w:t>
            </w:r>
          </w:p>
        </w:tc>
        <w:tc>
          <w:tcPr>
            <w:tcW w:w="24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70"/>
              <w:spacing w:after="0"/>
              <w:rPr>
                <w:sz w:val="20"/>
                <w:szCs w:val="20"/>
                <w:color w:val="auto"/>
              </w:rPr>
            </w:pPr>
            <w:r>
              <w:rPr>
                <w:rFonts w:ascii="Arial" w:cs="Arial" w:eastAsia="Arial" w:hAnsi="Arial"/>
                <w:sz w:val="18"/>
                <w:szCs w:val="18"/>
                <w:color w:val="auto"/>
              </w:rPr>
              <w:t>12,018</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10.6%</w:t>
            </w:r>
          </w:p>
        </w:tc>
        <w:tc>
          <w:tcPr>
            <w:tcW w:w="4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70"/>
              <w:spacing w:after="0"/>
              <w:rPr>
                <w:sz w:val="20"/>
                <w:szCs w:val="20"/>
                <w:color w:val="auto"/>
              </w:rPr>
            </w:pPr>
            <w:r>
              <w:rPr>
                <w:rFonts w:ascii="Arial" w:cs="Arial" w:eastAsia="Arial" w:hAnsi="Arial"/>
                <w:sz w:val="18"/>
                <w:szCs w:val="18"/>
                <w:color w:val="auto"/>
              </w:rPr>
              <w:t>13,178</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(1,160)</w:t>
            </w:r>
          </w:p>
        </w:tc>
        <w:tc>
          <w:tcPr>
            <w:tcW w:w="9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6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tcPr>
          <w:p>
            <w:pPr>
              <w:ind w:left="320"/>
              <w:spacing w:after="0"/>
              <w:rPr>
                <w:sz w:val="20"/>
                <w:szCs w:val="20"/>
                <w:color w:val="auto"/>
              </w:rPr>
            </w:pPr>
            <w:r>
              <w:rPr>
                <w:rFonts w:ascii="Arial" w:cs="Arial" w:eastAsia="Arial" w:hAnsi="Arial"/>
                <w:sz w:val="18"/>
                <w:szCs w:val="18"/>
                <w:color w:val="auto"/>
              </w:rPr>
              <w:t>Total sales revenue</w:t>
            </w:r>
          </w:p>
        </w:tc>
        <w:tc>
          <w:tcPr>
            <w:tcW w:w="240" w:type="dxa"/>
            <w:vAlign w:val="bottom"/>
          </w:tcPr>
          <w:p>
            <w:pPr>
              <w:spacing w:after="0"/>
              <w:rPr>
                <w:sz w:val="18"/>
                <w:szCs w:val="18"/>
                <w:color w:val="auto"/>
              </w:rPr>
            </w:pPr>
          </w:p>
        </w:tc>
        <w:tc>
          <w:tcPr>
            <w:tcW w:w="1520" w:type="dxa"/>
            <w:vAlign w:val="bottom"/>
          </w:tcPr>
          <w:p>
            <w:pPr>
              <w:jc w:val="right"/>
              <w:ind w:right="670"/>
              <w:spacing w:after="0"/>
              <w:rPr>
                <w:sz w:val="20"/>
                <w:szCs w:val="20"/>
                <w:color w:val="auto"/>
              </w:rPr>
            </w:pPr>
            <w:r>
              <w:rPr>
                <w:rFonts w:ascii="Arial" w:cs="Arial" w:eastAsia="Arial" w:hAnsi="Arial"/>
                <w:sz w:val="18"/>
                <w:szCs w:val="18"/>
                <w:color w:val="auto"/>
              </w:rPr>
              <w:t>113,673</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w w:val="88"/>
              </w:rPr>
              <w:t>100.0%</w:t>
            </w:r>
          </w:p>
        </w:tc>
        <w:tc>
          <w:tcPr>
            <w:tcW w:w="400" w:type="dxa"/>
            <w:vAlign w:val="bottom"/>
          </w:tcPr>
          <w:p>
            <w:pPr>
              <w:spacing w:after="0"/>
              <w:rPr>
                <w:sz w:val="18"/>
                <w:szCs w:val="18"/>
                <w:color w:val="auto"/>
              </w:rPr>
            </w:pPr>
          </w:p>
        </w:tc>
        <w:tc>
          <w:tcPr>
            <w:tcW w:w="1360" w:type="dxa"/>
            <w:vAlign w:val="bottom"/>
          </w:tcPr>
          <w:p>
            <w:pPr>
              <w:jc w:val="right"/>
              <w:ind w:right="670"/>
              <w:spacing w:after="0"/>
              <w:rPr>
                <w:sz w:val="20"/>
                <w:szCs w:val="20"/>
                <w:color w:val="auto"/>
              </w:rPr>
            </w:pPr>
            <w:r>
              <w:rPr>
                <w:rFonts w:ascii="Arial" w:cs="Arial" w:eastAsia="Arial" w:hAnsi="Arial"/>
                <w:sz w:val="18"/>
                <w:szCs w:val="18"/>
                <w:color w:val="auto"/>
                <w:w w:val="89"/>
              </w:rPr>
              <w:t>112,120</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91"/>
              </w:rPr>
              <w:t>100.0%</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1,553</w:t>
            </w: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8"/>
                <w:szCs w:val="18"/>
                <w:color w:val="auto"/>
                <w:w w:val="94"/>
              </w:rPr>
              <w:t>Cost of furniture and accessories sold</w:t>
            </w:r>
          </w:p>
        </w:tc>
        <w:tc>
          <w:tcPr>
            <w:tcW w:w="24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70"/>
              <w:spacing w:after="0"/>
              <w:rPr>
                <w:sz w:val="20"/>
                <w:szCs w:val="20"/>
                <w:color w:val="auto"/>
              </w:rPr>
            </w:pPr>
            <w:r>
              <w:rPr>
                <w:rFonts w:ascii="Arial" w:cs="Arial" w:eastAsia="Arial" w:hAnsi="Arial"/>
                <w:sz w:val="18"/>
                <w:szCs w:val="18"/>
                <w:color w:val="auto"/>
              </w:rPr>
              <w:t>48,252</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42.4%</w:t>
            </w:r>
          </w:p>
        </w:tc>
        <w:tc>
          <w:tcPr>
            <w:tcW w:w="4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70"/>
              <w:spacing w:after="0"/>
              <w:rPr>
                <w:sz w:val="20"/>
                <w:szCs w:val="20"/>
                <w:color w:val="auto"/>
              </w:rPr>
            </w:pPr>
            <w:r>
              <w:rPr>
                <w:rFonts w:ascii="Arial" w:cs="Arial" w:eastAsia="Arial" w:hAnsi="Arial"/>
                <w:sz w:val="18"/>
                <w:szCs w:val="18"/>
                <w:color w:val="auto"/>
              </w:rPr>
              <w:t>45,270</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40.4%</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2,982</w:t>
            </w:r>
          </w:p>
        </w:tc>
        <w:tc>
          <w:tcPr>
            <w:tcW w:w="9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SG&amp;A expenses</w:t>
            </w:r>
          </w:p>
        </w:tc>
        <w:tc>
          <w:tcPr>
            <w:tcW w:w="240" w:type="dxa"/>
            <w:vAlign w:val="bottom"/>
          </w:tcPr>
          <w:p>
            <w:pPr>
              <w:spacing w:after="0"/>
              <w:rPr>
                <w:sz w:val="18"/>
                <w:szCs w:val="18"/>
                <w:color w:val="auto"/>
              </w:rPr>
            </w:pPr>
          </w:p>
        </w:tc>
        <w:tc>
          <w:tcPr>
            <w:tcW w:w="1520" w:type="dxa"/>
            <w:vAlign w:val="bottom"/>
          </w:tcPr>
          <w:p>
            <w:pPr>
              <w:jc w:val="right"/>
              <w:ind w:right="670"/>
              <w:spacing w:after="0"/>
              <w:rPr>
                <w:sz w:val="20"/>
                <w:szCs w:val="20"/>
                <w:color w:val="auto"/>
              </w:rPr>
            </w:pPr>
            <w:r>
              <w:rPr>
                <w:rFonts w:ascii="Arial" w:cs="Arial" w:eastAsia="Arial" w:hAnsi="Arial"/>
                <w:sz w:val="18"/>
                <w:szCs w:val="18"/>
                <w:color w:val="auto"/>
              </w:rPr>
              <w:t>59,400</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52.3%</w:t>
            </w:r>
          </w:p>
        </w:tc>
        <w:tc>
          <w:tcPr>
            <w:tcW w:w="400" w:type="dxa"/>
            <w:vAlign w:val="bottom"/>
          </w:tcPr>
          <w:p>
            <w:pPr>
              <w:spacing w:after="0"/>
              <w:rPr>
                <w:sz w:val="18"/>
                <w:szCs w:val="18"/>
                <w:color w:val="auto"/>
              </w:rPr>
            </w:pPr>
          </w:p>
        </w:tc>
        <w:tc>
          <w:tcPr>
            <w:tcW w:w="1360" w:type="dxa"/>
            <w:vAlign w:val="bottom"/>
          </w:tcPr>
          <w:p>
            <w:pPr>
              <w:jc w:val="right"/>
              <w:ind w:right="670"/>
              <w:spacing w:after="0"/>
              <w:rPr>
                <w:sz w:val="20"/>
                <w:szCs w:val="20"/>
                <w:color w:val="auto"/>
              </w:rPr>
            </w:pPr>
            <w:r>
              <w:rPr>
                <w:rFonts w:ascii="Arial" w:cs="Arial" w:eastAsia="Arial" w:hAnsi="Arial"/>
                <w:sz w:val="18"/>
                <w:szCs w:val="18"/>
                <w:color w:val="auto"/>
              </w:rPr>
              <w:t>64,640</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57.7%</w:t>
            </w:r>
          </w:p>
        </w:tc>
        <w:tc>
          <w:tcPr>
            <w:tcW w:w="160" w:type="dxa"/>
            <w:vAlign w:val="bottom"/>
          </w:tcPr>
          <w:p>
            <w:pPr>
              <w:spacing w:after="0"/>
              <w:rPr>
                <w:sz w:val="18"/>
                <w:szCs w:val="18"/>
                <w:color w:val="auto"/>
              </w:rPr>
            </w:pPr>
          </w:p>
        </w:tc>
        <w:tc>
          <w:tcPr>
            <w:tcW w:w="1240" w:type="dxa"/>
            <w:vAlign w:val="bottom"/>
          </w:tcPr>
          <w:p>
            <w:pPr>
              <w:jc w:val="right"/>
              <w:ind w:right="250"/>
              <w:spacing w:after="0"/>
              <w:rPr>
                <w:sz w:val="20"/>
                <w:szCs w:val="20"/>
                <w:color w:val="auto"/>
              </w:rPr>
            </w:pPr>
            <w:r>
              <w:rPr>
                <w:rFonts w:ascii="Arial" w:cs="Arial" w:eastAsia="Arial" w:hAnsi="Arial"/>
                <w:sz w:val="18"/>
                <w:szCs w:val="18"/>
                <w:color w:val="auto"/>
              </w:rPr>
              <w:t>(5,240)</w:t>
            </w: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2"/>
          </w:tcPr>
          <w:p>
            <w:pPr>
              <w:spacing w:after="0"/>
              <w:rPr>
                <w:sz w:val="20"/>
                <w:szCs w:val="20"/>
                <w:color w:val="auto"/>
              </w:rPr>
            </w:pPr>
            <w:r>
              <w:rPr>
                <w:rFonts w:ascii="Arial" w:cs="Arial" w:eastAsia="Arial" w:hAnsi="Arial"/>
                <w:sz w:val="18"/>
                <w:szCs w:val="18"/>
                <w:color w:val="auto"/>
              </w:rPr>
              <w:t>Income from operations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70"/>
              <w:spacing w:after="0"/>
              <w:rPr>
                <w:sz w:val="20"/>
                <w:szCs w:val="20"/>
                <w:color w:val="auto"/>
              </w:rPr>
            </w:pPr>
            <w:r>
              <w:rPr>
                <w:rFonts w:ascii="Arial" w:cs="Arial" w:eastAsia="Arial" w:hAnsi="Arial"/>
                <w:sz w:val="18"/>
                <w:szCs w:val="18"/>
                <w:color w:val="auto"/>
              </w:rPr>
              <w:t>6,021</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5.3%</w:t>
            </w:r>
          </w:p>
        </w:tc>
        <w:tc>
          <w:tcPr>
            <w:tcW w:w="400" w:type="dxa"/>
            <w:vAlign w:val="bottom"/>
          </w:tcPr>
          <w:p>
            <w:pPr>
              <w:jc w:val="right"/>
              <w:ind w:right="247"/>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ind w:right="670"/>
              <w:spacing w:after="0"/>
              <w:rPr>
                <w:sz w:val="20"/>
                <w:szCs w:val="20"/>
                <w:color w:val="auto"/>
              </w:rPr>
            </w:pPr>
            <w:r>
              <w:rPr>
                <w:rFonts w:ascii="Arial" w:cs="Arial" w:eastAsia="Arial" w:hAnsi="Arial"/>
                <w:sz w:val="18"/>
                <w:szCs w:val="18"/>
                <w:color w:val="auto"/>
              </w:rPr>
              <w:t>2,210</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3,811</w:t>
            </w: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172.4%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Refer to the segment information which follows for a discussion of the significant factors and trends affecting our results of operations for the three months ended February 27, 2021 as compared with the prior year period.</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54" w:lineRule="auto"/>
        <w:rPr>
          <w:sz w:val="20"/>
          <w:szCs w:val="20"/>
          <w:color w:val="auto"/>
        </w:rPr>
      </w:pPr>
      <w:r>
        <w:rPr>
          <w:rFonts w:ascii="Arial" w:cs="Arial" w:eastAsia="Arial" w:hAnsi="Arial"/>
          <w:sz w:val="18"/>
          <w:szCs w:val="18"/>
          <w:b w:val="1"/>
          <w:bCs w:val="1"/>
          <w:color w:val="auto"/>
        </w:rPr>
        <w:t xml:space="preserve">Wholesale. </w:t>
      </w:r>
      <w:r>
        <w:rPr>
          <w:rFonts w:ascii="Arial" w:cs="Arial" w:eastAsia="Arial" w:hAnsi="Arial"/>
          <w:sz w:val="18"/>
          <w:szCs w:val="18"/>
          <w:color w:val="auto"/>
        </w:rPr>
        <w:t>The wholesale home furnishings segment is involved principally in the design, manufacture, sourcing, sale and distribution of</w:t>
      </w:r>
      <w:r>
        <w:rPr>
          <w:rFonts w:ascii="Arial" w:cs="Arial" w:eastAsia="Arial" w:hAnsi="Arial"/>
          <w:sz w:val="18"/>
          <w:szCs w:val="18"/>
          <w:b w:val="1"/>
          <w:bCs w:val="1"/>
          <w:color w:val="auto"/>
        </w:rPr>
        <w:t xml:space="preserve"> </w:t>
      </w:r>
      <w:r>
        <w:rPr>
          <w:rFonts w:ascii="Arial" w:cs="Arial" w:eastAsia="Arial" w:hAnsi="Arial"/>
          <w:sz w:val="18"/>
          <w:szCs w:val="18"/>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income.</w:t>
      </w:r>
    </w:p>
    <w:p>
      <w:pPr>
        <w:spacing w:after="0" w:line="192"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b w:val="1"/>
          <w:bCs w:val="1"/>
          <w:color w:val="auto"/>
        </w:rPr>
        <w:t xml:space="preserve">Retail </w:t>
      </w:r>
      <w:r>
        <w:rPr>
          <w:rFonts w:ascii="Arial" w:cs="Arial" w:eastAsia="Arial" w:hAnsi="Arial"/>
          <w:sz w:val="18"/>
          <w:szCs w:val="18"/>
          <w:color w:val="auto"/>
        </w:rPr>
        <w:t>–</w:t>
      </w:r>
      <w:r>
        <w:rPr>
          <w:rFonts w:ascii="Arial" w:cs="Arial" w:eastAsia="Arial" w:hAnsi="Arial"/>
          <w:sz w:val="18"/>
          <w:szCs w:val="18"/>
          <w:b w:val="1"/>
          <w:bCs w:val="1"/>
          <w:color w:val="auto"/>
        </w:rPr>
        <w:t xml:space="preserve"> Company-owned stores. </w:t>
      </w:r>
      <w:r>
        <w:rPr>
          <w:rFonts w:ascii="Arial" w:cs="Arial" w:eastAsia="Arial" w:hAnsi="Arial"/>
          <w:sz w:val="18"/>
          <w:szCs w:val="18"/>
          <w:color w:val="auto"/>
        </w:rPr>
        <w:t>Our retail segment consists of Company-owned stores and includes the revenues, expenses, assets and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liabilities (including real estate) and capital expenditures directly related to these stores and the Company-owned distribution network utilized to deliver products to our retail customers.</w:t>
      </w:r>
    </w:p>
    <w:p>
      <w:pPr>
        <w:spacing w:after="0" w:line="176" w:lineRule="exact"/>
        <w:rPr>
          <w:sz w:val="20"/>
          <w:szCs w:val="20"/>
          <w:color w:val="auto"/>
        </w:rPr>
      </w:pPr>
    </w:p>
    <w:p>
      <w:pPr>
        <w:jc w:val="both"/>
        <w:ind w:left="660"/>
        <w:spacing w:after="0" w:line="261" w:lineRule="auto"/>
        <w:rPr>
          <w:sz w:val="20"/>
          <w:szCs w:val="20"/>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segment reflects the operations of Zenith. In addition to providing shipping and warehousing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Company, Zenith also provides similar services to other customers, primarily in the furniture industry. Revenue from the performance of these services to other customers is included in logistical services revenue in our condensed consolidated statements of income. Zenith’s operating costs are included in selling, general and administrative expenses.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3" w:name="page24"/>
    <w:bookmarkEnd w:id="23"/>
    <w:p>
      <w:pPr>
        <w:jc w:val="center"/>
        <w:ind w:right="-1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tables illustrate the effects of various intercompany eliminations on income from operations in the consolidation of our segment results:</w:t>
      </w:r>
    </w:p>
    <w:p>
      <w:pPr>
        <w:sectPr>
          <w:pgSz w:w="11900" w:h="16838" w:orient="portrait"/>
          <w:cols w:equalWidth="0" w:num="1">
            <w:col w:w="11240"/>
          </w:cols>
          <w:pgMar w:left="320" w:top="58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Sales revenue:</w:t>
      </w:r>
    </w:p>
    <w:p>
      <w:pPr>
        <w:spacing w:after="0" w:line="225" w:lineRule="exact"/>
        <w:rPr>
          <w:sz w:val="20"/>
          <w:szCs w:val="20"/>
          <w:color w:val="auto"/>
        </w:rPr>
      </w:pPr>
    </w:p>
    <w:p>
      <w:pPr>
        <w:ind w:left="180"/>
        <w:spacing w:after="0"/>
        <w:rPr>
          <w:sz w:val="20"/>
          <w:szCs w:val="20"/>
          <w:color w:val="auto"/>
        </w:rPr>
      </w:pPr>
      <w:r>
        <w:rPr>
          <w:rFonts w:ascii="Arial" w:cs="Arial" w:eastAsia="Arial" w:hAnsi="Arial"/>
          <w:sz w:val="18"/>
          <w:szCs w:val="18"/>
          <w:color w:val="auto"/>
        </w:rPr>
        <w:t>Furniture &amp; accessories</w:t>
      </w:r>
    </w:p>
    <w:p>
      <w:pPr>
        <w:spacing w:after="0" w:line="23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Logistics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Total sales revenue</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Cost of furniture and accessories sold</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SG&amp;A expense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Income from operations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Sales revenue:</w:t>
      </w:r>
    </w:p>
    <w:p>
      <w:pPr>
        <w:spacing w:after="0" w:line="225" w:lineRule="exact"/>
        <w:rPr>
          <w:sz w:val="20"/>
          <w:szCs w:val="20"/>
          <w:color w:val="auto"/>
        </w:rPr>
      </w:pPr>
    </w:p>
    <w:p>
      <w:pPr>
        <w:ind w:left="180"/>
        <w:spacing w:after="0"/>
        <w:rPr>
          <w:sz w:val="20"/>
          <w:szCs w:val="20"/>
          <w:color w:val="auto"/>
        </w:rPr>
      </w:pPr>
      <w:r>
        <w:rPr>
          <w:rFonts w:ascii="Arial" w:cs="Arial" w:eastAsia="Arial" w:hAnsi="Arial"/>
          <w:sz w:val="18"/>
          <w:szCs w:val="18"/>
          <w:color w:val="auto"/>
        </w:rPr>
        <w:t>Furniture &amp; accessories</w:t>
      </w:r>
    </w:p>
    <w:p>
      <w:pPr>
        <w:spacing w:after="0" w:line="23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Logistics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Total sales revenue</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Cost of furniture and accessories sold</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SG&amp;A expense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Income (loss) from operations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6"/>
          <w:szCs w:val="16"/>
          <w:color w:val="auto"/>
        </w:rPr>
        <w:t>Notes to segment consolidation table:</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Quarter Ended February 27, 2021</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5"/>
              </w:rPr>
              <w:t>Wholesale</w:t>
            </w:r>
          </w:p>
        </w:tc>
        <w:tc>
          <w:tcPr>
            <w:tcW w:w="34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color w:val="auto"/>
              </w:rPr>
              <w:t>Retail</w:t>
            </w:r>
          </w:p>
        </w:tc>
        <w:tc>
          <w:tcPr>
            <w:tcW w:w="2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rPr>
              <w:t>Logistics</w:t>
            </w:r>
          </w:p>
        </w:tc>
        <w:tc>
          <w:tcPr>
            <w:tcW w:w="220" w:type="dxa"/>
            <w:vAlign w:val="bottom"/>
            <w:tcBorders>
              <w:top w:val="single" w:sz="8" w:color="auto"/>
              <w:bottom w:val="single" w:sz="8" w:color="auto"/>
            </w:tcBorders>
          </w:tcPr>
          <w:p>
            <w:pPr>
              <w:spacing w:after="0"/>
              <w:rPr>
                <w:sz w:val="18"/>
                <w:szCs w:val="18"/>
                <w:color w:val="auto"/>
              </w:rPr>
            </w:pPr>
          </w:p>
        </w:tc>
        <w:tc>
          <w:tcPr>
            <w:tcW w:w="13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92"/>
              </w:rPr>
              <w:t>Eliminations</w:t>
            </w:r>
          </w:p>
        </w:tc>
        <w:tc>
          <w:tcPr>
            <w:tcW w:w="16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r>
      <w:tr>
        <w:trPr>
          <w:trHeight w:val="411"/>
        </w:trPr>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70,264</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60,395</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(29,004(1)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101,655</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20,081</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(8,063(2)</w:t>
            </w:r>
          </w:p>
        </w:tc>
        <w:tc>
          <w:tcPr>
            <w:tcW w:w="1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12,018</w:t>
            </w:r>
          </w:p>
        </w:tc>
      </w:tr>
      <w:tr>
        <w:trPr>
          <w:trHeight w:val="195"/>
        </w:trPr>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70,264</w:t>
            </w:r>
          </w:p>
        </w:tc>
        <w:tc>
          <w:tcPr>
            <w:tcW w:w="340" w:type="dxa"/>
            <w:vAlign w:val="bottom"/>
          </w:tcPr>
          <w:p>
            <w:pPr>
              <w:spacing w:after="0"/>
              <w:rPr>
                <w:sz w:val="16"/>
                <w:szCs w:val="16"/>
                <w:color w:val="auto"/>
              </w:rPr>
            </w:pPr>
          </w:p>
        </w:tc>
        <w:tc>
          <w:tcPr>
            <w:tcW w:w="1100" w:type="dxa"/>
            <w:vAlign w:val="bottom"/>
          </w:tcPr>
          <w:p>
            <w:pPr>
              <w:jc w:val="right"/>
              <w:ind w:right="50"/>
              <w:spacing w:after="0" w:line="195" w:lineRule="exact"/>
              <w:rPr>
                <w:sz w:val="20"/>
                <w:szCs w:val="20"/>
                <w:color w:val="auto"/>
              </w:rPr>
            </w:pPr>
            <w:r>
              <w:rPr>
                <w:rFonts w:ascii="Arial" w:cs="Arial" w:eastAsia="Arial" w:hAnsi="Arial"/>
                <w:sz w:val="18"/>
                <w:szCs w:val="18"/>
                <w:color w:val="auto"/>
              </w:rPr>
              <w:t>60,395</w:t>
            </w:r>
          </w:p>
        </w:tc>
        <w:tc>
          <w:tcPr>
            <w:tcW w:w="260" w:type="dxa"/>
            <w:vAlign w:val="bottom"/>
          </w:tcPr>
          <w:p>
            <w:pPr>
              <w:spacing w:after="0"/>
              <w:rPr>
                <w:sz w:val="16"/>
                <w:szCs w:val="16"/>
                <w:color w:val="auto"/>
              </w:rPr>
            </w:pPr>
          </w:p>
        </w:tc>
        <w:tc>
          <w:tcPr>
            <w:tcW w:w="11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20,081</w:t>
            </w:r>
          </w:p>
        </w:tc>
        <w:tc>
          <w:tcPr>
            <w:tcW w:w="220" w:type="dxa"/>
            <w:vAlign w:val="bottom"/>
          </w:tcPr>
          <w:p>
            <w:pPr>
              <w:spacing w:after="0"/>
              <w:rPr>
                <w:sz w:val="16"/>
                <w:szCs w:val="16"/>
                <w:color w:val="auto"/>
              </w:rPr>
            </w:pPr>
          </w:p>
        </w:tc>
        <w:tc>
          <w:tcPr>
            <w:tcW w:w="1300" w:type="dxa"/>
            <w:vAlign w:val="bottom"/>
          </w:tcPr>
          <w:p>
            <w:pPr>
              <w:jc w:val="right"/>
              <w:ind w:right="110"/>
              <w:spacing w:after="0" w:line="195" w:lineRule="exact"/>
              <w:rPr>
                <w:sz w:val="20"/>
                <w:szCs w:val="20"/>
                <w:color w:val="auto"/>
              </w:rPr>
            </w:pPr>
            <w:r>
              <w:rPr>
                <w:rFonts w:ascii="Arial" w:cs="Arial" w:eastAsia="Arial" w:hAnsi="Arial"/>
                <w:sz w:val="18"/>
                <w:szCs w:val="18"/>
                <w:color w:val="auto"/>
              </w:rPr>
              <w:t>(37,067)</w:t>
            </w:r>
          </w:p>
        </w:tc>
        <w:tc>
          <w:tcPr>
            <w:tcW w:w="160" w:type="dxa"/>
            <w:vAlign w:val="bottom"/>
          </w:tcPr>
          <w:p>
            <w:pPr>
              <w:spacing w:after="0"/>
              <w:rPr>
                <w:sz w:val="16"/>
                <w:szCs w:val="16"/>
                <w:color w:val="auto"/>
              </w:rPr>
            </w:pPr>
          </w:p>
        </w:tc>
        <w:tc>
          <w:tcPr>
            <w:tcW w:w="1080" w:type="dxa"/>
            <w:vAlign w:val="bottom"/>
            <w:gridSpan w:val="2"/>
          </w:tcPr>
          <w:p>
            <w:pPr>
              <w:jc w:val="right"/>
              <w:ind w:right="20"/>
              <w:spacing w:after="0" w:line="195" w:lineRule="exact"/>
              <w:rPr>
                <w:sz w:val="20"/>
                <w:szCs w:val="20"/>
                <w:color w:val="auto"/>
              </w:rPr>
            </w:pPr>
            <w:r>
              <w:rPr>
                <w:rFonts w:ascii="Arial" w:cs="Arial" w:eastAsia="Arial" w:hAnsi="Arial"/>
                <w:sz w:val="18"/>
                <w:szCs w:val="18"/>
                <w:color w:val="auto"/>
              </w:rPr>
              <w:t>113,673</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47,288</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29,309</w:t>
            </w:r>
          </w:p>
        </w:tc>
        <w:tc>
          <w:tcPr>
            <w:tcW w:w="26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(28,345(3)</w:t>
            </w:r>
          </w:p>
        </w:tc>
        <w:tc>
          <w:tcPr>
            <w:tcW w:w="16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48,252</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18,179</w:t>
            </w:r>
          </w:p>
        </w:tc>
        <w:tc>
          <w:tcPr>
            <w:tcW w:w="3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29,992</w:t>
            </w: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19,622</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(8,393(4)</w:t>
            </w:r>
          </w:p>
        </w:tc>
        <w:tc>
          <w:tcPr>
            <w:tcW w:w="1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59,400</w:t>
            </w:r>
          </w:p>
        </w:tc>
      </w:tr>
      <w:tr>
        <w:trPr>
          <w:trHeight w:val="209"/>
        </w:trPr>
        <w:tc>
          <w:tcPr>
            <w:tcW w:w="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4,797</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1,094</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459</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(329)</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6,021</w:t>
            </w:r>
          </w:p>
        </w:tc>
      </w:tr>
      <w:tr>
        <w:trPr>
          <w:trHeight w:val="20"/>
        </w:trPr>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980" w:type="dxa"/>
            <w:vAlign w:val="bottom"/>
            <w:tcBorders>
              <w:top w:val="single" w:sz="8" w:color="auto"/>
              <w:bottom w:val="single" w:sz="8" w:color="auto"/>
            </w:tcBorders>
            <w:gridSpan w:val="5"/>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gridSpan w:val="5"/>
          </w:tcPr>
          <w:p>
            <w:pPr>
              <w:jc w:val="right"/>
              <w:ind w:right="890"/>
              <w:spacing w:after="0"/>
              <w:rPr>
                <w:sz w:val="20"/>
                <w:szCs w:val="20"/>
                <w:color w:val="auto"/>
              </w:rPr>
            </w:pPr>
            <w:r>
              <w:rPr>
                <w:rFonts w:ascii="Arial" w:cs="Arial" w:eastAsia="Arial" w:hAnsi="Arial"/>
                <w:sz w:val="18"/>
                <w:szCs w:val="18"/>
                <w:color w:val="auto"/>
              </w:rPr>
              <w:t>Quarter Ended February 29, 2020</w:t>
            </w:r>
          </w:p>
        </w:tc>
        <w:tc>
          <w:tcPr>
            <w:tcW w:w="1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209"/>
        </w:trPr>
        <w:tc>
          <w:tcPr>
            <w:tcW w:w="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5"/>
              </w:rPr>
              <w:t>Wholesale</w:t>
            </w:r>
          </w:p>
        </w:tc>
        <w:tc>
          <w:tcPr>
            <w:tcW w:w="3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92"/>
              </w:rPr>
              <w:t>Eliminations</w:t>
            </w: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r>
      <w:tr>
        <w:trPr>
          <w:trHeight w:val="411"/>
        </w:trPr>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65,017</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65,846</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(31,921(1)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98,942</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21,315</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(8,137(2)</w:t>
            </w:r>
          </w:p>
        </w:tc>
        <w:tc>
          <w:tcPr>
            <w:tcW w:w="1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13,178</w:t>
            </w:r>
          </w:p>
        </w:tc>
      </w:tr>
      <w:tr>
        <w:trPr>
          <w:trHeight w:val="195"/>
        </w:trPr>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65,017</w:t>
            </w:r>
          </w:p>
        </w:tc>
        <w:tc>
          <w:tcPr>
            <w:tcW w:w="340" w:type="dxa"/>
            <w:vAlign w:val="bottom"/>
          </w:tcPr>
          <w:p>
            <w:pPr>
              <w:spacing w:after="0"/>
              <w:rPr>
                <w:sz w:val="16"/>
                <w:szCs w:val="16"/>
                <w:color w:val="auto"/>
              </w:rPr>
            </w:pPr>
          </w:p>
        </w:tc>
        <w:tc>
          <w:tcPr>
            <w:tcW w:w="1100" w:type="dxa"/>
            <w:vAlign w:val="bottom"/>
          </w:tcPr>
          <w:p>
            <w:pPr>
              <w:jc w:val="right"/>
              <w:ind w:right="50"/>
              <w:spacing w:after="0" w:line="195" w:lineRule="exact"/>
              <w:rPr>
                <w:sz w:val="20"/>
                <w:szCs w:val="20"/>
                <w:color w:val="auto"/>
              </w:rPr>
            </w:pPr>
            <w:r>
              <w:rPr>
                <w:rFonts w:ascii="Arial" w:cs="Arial" w:eastAsia="Arial" w:hAnsi="Arial"/>
                <w:sz w:val="18"/>
                <w:szCs w:val="18"/>
                <w:color w:val="auto"/>
              </w:rPr>
              <w:t>65,846</w:t>
            </w:r>
          </w:p>
        </w:tc>
        <w:tc>
          <w:tcPr>
            <w:tcW w:w="260" w:type="dxa"/>
            <w:vAlign w:val="bottom"/>
          </w:tcPr>
          <w:p>
            <w:pPr>
              <w:spacing w:after="0"/>
              <w:rPr>
                <w:sz w:val="16"/>
                <w:szCs w:val="16"/>
                <w:color w:val="auto"/>
              </w:rPr>
            </w:pPr>
          </w:p>
        </w:tc>
        <w:tc>
          <w:tcPr>
            <w:tcW w:w="11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21,315</w:t>
            </w:r>
          </w:p>
        </w:tc>
        <w:tc>
          <w:tcPr>
            <w:tcW w:w="220" w:type="dxa"/>
            <w:vAlign w:val="bottom"/>
          </w:tcPr>
          <w:p>
            <w:pPr>
              <w:spacing w:after="0"/>
              <w:rPr>
                <w:sz w:val="16"/>
                <w:szCs w:val="16"/>
                <w:color w:val="auto"/>
              </w:rPr>
            </w:pPr>
          </w:p>
        </w:tc>
        <w:tc>
          <w:tcPr>
            <w:tcW w:w="1300" w:type="dxa"/>
            <w:vAlign w:val="bottom"/>
          </w:tcPr>
          <w:p>
            <w:pPr>
              <w:jc w:val="right"/>
              <w:ind w:right="110"/>
              <w:spacing w:after="0" w:line="195" w:lineRule="exact"/>
              <w:rPr>
                <w:sz w:val="20"/>
                <w:szCs w:val="20"/>
                <w:color w:val="auto"/>
              </w:rPr>
            </w:pPr>
            <w:r>
              <w:rPr>
                <w:rFonts w:ascii="Arial" w:cs="Arial" w:eastAsia="Arial" w:hAnsi="Arial"/>
                <w:sz w:val="18"/>
                <w:szCs w:val="18"/>
                <w:color w:val="auto"/>
              </w:rPr>
              <w:t>(40,058)</w:t>
            </w:r>
          </w:p>
        </w:tc>
        <w:tc>
          <w:tcPr>
            <w:tcW w:w="160" w:type="dxa"/>
            <w:vAlign w:val="bottom"/>
          </w:tcPr>
          <w:p>
            <w:pPr>
              <w:spacing w:after="0"/>
              <w:rPr>
                <w:sz w:val="16"/>
                <w:szCs w:val="16"/>
                <w:color w:val="auto"/>
              </w:rPr>
            </w:pPr>
          </w:p>
        </w:tc>
        <w:tc>
          <w:tcPr>
            <w:tcW w:w="1080" w:type="dxa"/>
            <w:vAlign w:val="bottom"/>
            <w:gridSpan w:val="2"/>
          </w:tcPr>
          <w:p>
            <w:pPr>
              <w:jc w:val="right"/>
              <w:ind w:right="20"/>
              <w:spacing w:after="0" w:line="195" w:lineRule="exact"/>
              <w:rPr>
                <w:sz w:val="20"/>
                <w:szCs w:val="20"/>
                <w:color w:val="auto"/>
              </w:rPr>
            </w:pPr>
            <w:r>
              <w:rPr>
                <w:rFonts w:ascii="Arial" w:cs="Arial" w:eastAsia="Arial" w:hAnsi="Arial"/>
                <w:sz w:val="18"/>
                <w:szCs w:val="18"/>
                <w:color w:val="auto"/>
              </w:rPr>
              <w:t>112,120</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43,877</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32,906</w:t>
            </w:r>
          </w:p>
        </w:tc>
        <w:tc>
          <w:tcPr>
            <w:tcW w:w="260" w:type="dxa"/>
            <w:vAlign w:val="bottom"/>
          </w:tcPr>
          <w:p>
            <w:pPr>
              <w:spacing w:after="0"/>
              <w:rPr>
                <w:sz w:val="18"/>
                <w:szCs w:val="18"/>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(31,513(3)</w:t>
            </w:r>
          </w:p>
        </w:tc>
        <w:tc>
          <w:tcPr>
            <w:tcW w:w="160" w:type="dxa"/>
            <w:vAlign w:val="bottom"/>
          </w:tcPr>
          <w:p>
            <w:pPr>
              <w:spacing w:after="0"/>
              <w:rPr>
                <w:sz w:val="18"/>
                <w:szCs w:val="18"/>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45,270</w:t>
            </w:r>
          </w:p>
        </w:tc>
      </w:t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18,427</w:t>
            </w:r>
          </w:p>
        </w:tc>
        <w:tc>
          <w:tcPr>
            <w:tcW w:w="3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34,189</w:t>
            </w: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20,480</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(8,456(4)</w:t>
            </w:r>
          </w:p>
        </w:tc>
        <w:tc>
          <w:tcPr>
            <w:tcW w:w="1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64,640</w:t>
            </w:r>
          </w:p>
        </w:tc>
      </w:tr>
      <w:tr>
        <w:trPr>
          <w:trHeight w:val="210"/>
        </w:trPr>
        <w:tc>
          <w:tcPr>
            <w:tcW w:w="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2,713</w:t>
            </w:r>
          </w:p>
        </w:tc>
        <w:tc>
          <w:tcPr>
            <w:tcW w:w="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(1,249)</w:t>
            </w:r>
          </w:p>
        </w:tc>
        <w:tc>
          <w:tcPr>
            <w:tcW w:w="2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835</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(89)</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2,210</w:t>
            </w: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-2369185</wp:posOffset>
            </wp:positionH>
            <wp:positionV relativeFrom="paragraph">
              <wp:posOffset>-3531235</wp:posOffset>
            </wp:positionV>
            <wp:extent cx="6772275"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772275" cy="13716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-3119755</wp:posOffset>
            </wp:positionV>
            <wp:extent cx="6772275" cy="2832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772275" cy="28321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-2699385</wp:posOffset>
            </wp:positionV>
            <wp:extent cx="6772275" cy="2743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772275" cy="27432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-2142490</wp:posOffset>
            </wp:positionV>
            <wp:extent cx="6772275" cy="16319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772275" cy="163195"/>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-1551305</wp:posOffset>
            </wp:positionV>
            <wp:extent cx="6772275" cy="137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772275" cy="13716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-1139190</wp:posOffset>
            </wp:positionV>
            <wp:extent cx="6772275" cy="2825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772275" cy="282575"/>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-719455</wp:posOffset>
            </wp:positionV>
            <wp:extent cx="6772275" cy="2743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772275" cy="27432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-162560</wp:posOffset>
            </wp:positionV>
            <wp:extent cx="6772275" cy="1631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772275" cy="163195"/>
                    </a:xfrm>
                    <a:prstGeom prst="rect">
                      <a:avLst/>
                    </a:prstGeom>
                    <a:noFill/>
                  </pic:spPr>
                </pic:pic>
              </a:graphicData>
            </a:graphic>
          </wp:anchor>
        </w:drawing>
      </w:r>
    </w:p>
    <w:p>
      <w:pPr>
        <w:spacing w:after="0" w:line="801" w:lineRule="exact"/>
        <w:rPr>
          <w:sz w:val="20"/>
          <w:szCs w:val="20"/>
          <w:color w:val="auto"/>
        </w:rPr>
      </w:pPr>
    </w:p>
    <w:p>
      <w:pPr>
        <w:sectPr>
          <w:pgSz w:w="11900" w:h="16838" w:orient="portrait"/>
          <w:cols w:equalWidth="0" w:num="2">
            <w:col w:w="3020" w:space="720"/>
            <w:col w:w="7500"/>
          </w:cols>
          <w:pgMar w:left="320" w:top="584" w:right="339" w:bottom="1440" w:gutter="0" w:footer="0" w:header="0"/>
          <w:type w:val="continuous"/>
        </w:sectPr>
      </w:pPr>
    </w:p>
    <w:p>
      <w:pPr>
        <w:spacing w:after="0" w:line="48"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sales from our wholesale segment to our Company-owned BHF stores.</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logistical services billed to our wholesale segment.</w:t>
      </w:r>
    </w:p>
    <w:p>
      <w:pPr>
        <w:spacing w:after="0" w:line="9" w:lineRule="exact"/>
        <w:rPr>
          <w:rFonts w:ascii="Arial" w:cs="Arial" w:eastAsia="Arial" w:hAnsi="Arial"/>
          <w:sz w:val="18"/>
          <w:szCs w:val="18"/>
          <w:color w:val="auto"/>
        </w:rPr>
      </w:pPr>
    </w:p>
    <w:p>
      <w:pPr>
        <w:ind w:left="340" w:right="20" w:hanging="332"/>
        <w:spacing w:after="0" w:line="250"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purchases by our Company-owned BHF stores from our wholesale segment, as well as the change for the period in the elimination of intercompany profit in ending retail inventory.</w:t>
      </w:r>
    </w:p>
    <w:p>
      <w:pPr>
        <w:ind w:left="340" w:right="20" w:hanging="332"/>
        <w:spacing w:after="0" w:line="260"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rent paid by our retail stores occupying Company-owned real estate, and the elimination of logisitcal services charged by Zenith to Bassett's wholesale segment as follows: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86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40" w:type="dxa"/>
            <w:vAlign w:val="bottom"/>
            <w:gridSpan w:val="4"/>
          </w:tcPr>
          <w:p>
            <w:pPr>
              <w:jc w:val="right"/>
              <w:ind w:right="1160"/>
              <w:spacing w:after="0"/>
              <w:rPr>
                <w:sz w:val="20"/>
                <w:szCs w:val="20"/>
                <w:color w:val="auto"/>
              </w:rPr>
            </w:pPr>
            <w:r>
              <w:rPr>
                <w:rFonts w:ascii="Arial" w:cs="Arial" w:eastAsia="Arial" w:hAnsi="Arial"/>
                <w:sz w:val="18"/>
                <w:szCs w:val="18"/>
                <w:color w:val="auto"/>
              </w:rPr>
              <w:t>Quarter Ended</w:t>
            </w:r>
          </w:p>
        </w:tc>
        <w:tc>
          <w:tcPr>
            <w:tcW w:w="2260" w:type="dxa"/>
            <w:vAlign w:val="bottom"/>
          </w:tcPr>
          <w:p>
            <w:pPr>
              <w:spacing w:after="0"/>
              <w:rPr>
                <w:sz w:val="20"/>
                <w:szCs w:val="20"/>
                <w:color w:val="auto"/>
              </w:rPr>
            </w:pPr>
          </w:p>
        </w:tc>
      </w:tr>
      <w:tr>
        <w:trPr>
          <w:trHeight w:val="210"/>
        </w:trPr>
        <w:tc>
          <w:tcPr>
            <w:tcW w:w="38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640" w:type="dxa"/>
            <w:vAlign w:val="bottom"/>
            <w:tcBorders>
              <w:top w:val="single" w:sz="8" w:color="auto"/>
              <w:bottom w:val="single" w:sz="8" w:color="auto"/>
            </w:tcBorders>
            <w:gridSpan w:val="2"/>
          </w:tcPr>
          <w:p>
            <w:pPr>
              <w:jc w:val="right"/>
              <w:ind w:right="130"/>
              <w:spacing w:after="0"/>
              <w:rPr>
                <w:sz w:val="20"/>
                <w:szCs w:val="20"/>
                <w:color w:val="auto"/>
              </w:rPr>
            </w:pPr>
            <w:r>
              <w:rPr>
                <w:rFonts w:ascii="Arial" w:cs="Arial" w:eastAsia="Arial" w:hAnsi="Arial"/>
                <w:sz w:val="18"/>
                <w:szCs w:val="18"/>
                <w:color w:val="auto"/>
                <w:w w:val="95"/>
              </w:rPr>
              <w:t>February 27, 2021</w:t>
            </w:r>
          </w:p>
        </w:tc>
        <w:tc>
          <w:tcPr>
            <w:tcW w:w="160" w:type="dxa"/>
            <w:vAlign w:val="bottom"/>
            <w:tcBorders>
              <w:top w:val="single" w:sz="8" w:color="auto"/>
              <w:bottom w:val="single" w:sz="8" w:color="auto"/>
            </w:tcBorders>
          </w:tcPr>
          <w:p>
            <w:pPr>
              <w:spacing w:after="0"/>
              <w:rPr>
                <w:sz w:val="18"/>
                <w:szCs w:val="18"/>
                <w:color w:val="auto"/>
              </w:rPr>
            </w:pPr>
          </w:p>
        </w:tc>
        <w:tc>
          <w:tcPr>
            <w:tcW w:w="14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88"/>
              </w:rPr>
              <w:t>February 29, 2020</w:t>
            </w:r>
          </w:p>
        </w:tc>
        <w:tc>
          <w:tcPr>
            <w:tcW w:w="80" w:type="dxa"/>
            <w:vAlign w:val="bottom"/>
          </w:tcPr>
          <w:p>
            <w:pPr>
              <w:spacing w:after="0"/>
              <w:rPr>
                <w:sz w:val="18"/>
                <w:szCs w:val="18"/>
                <w:color w:val="auto"/>
              </w:rPr>
            </w:pPr>
          </w:p>
        </w:tc>
        <w:tc>
          <w:tcPr>
            <w:tcW w:w="2260" w:type="dxa"/>
            <w:vAlign w:val="bottom"/>
          </w:tcPr>
          <w:p>
            <w:pPr>
              <w:spacing w:after="0"/>
              <w:rPr>
                <w:sz w:val="18"/>
                <w:szCs w:val="18"/>
                <w:color w:val="auto"/>
              </w:rPr>
            </w:pPr>
          </w:p>
        </w:tc>
      </w:tr>
      <w:tr>
        <w:trPr>
          <w:trHeight w:val="210"/>
        </w:trPr>
        <w:tc>
          <w:tcPr>
            <w:tcW w:w="386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6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Intercompany logistical services</w:t>
            </w:r>
          </w:p>
        </w:tc>
        <w:tc>
          <w:tcPr>
            <w:tcW w:w="2480" w:type="dxa"/>
            <w:vAlign w:val="bottom"/>
            <w:gridSpan w:val="2"/>
            <w:shd w:val="clear" w:color="auto" w:fill="CCEEFF"/>
          </w:tcPr>
          <w:p>
            <w:pPr>
              <w:jc w:val="right"/>
              <w:ind w:right="49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(8,063)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(8,137)</w:t>
            </w:r>
          </w:p>
        </w:tc>
        <w:tc>
          <w:tcPr>
            <w:tcW w:w="2260" w:type="dxa"/>
            <w:vAlign w:val="bottom"/>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Intercompany rents</w:t>
            </w:r>
          </w:p>
        </w:tc>
        <w:tc>
          <w:tcPr>
            <w:tcW w:w="18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(330)</w:t>
            </w:r>
          </w:p>
        </w:tc>
        <w:tc>
          <w:tcPr>
            <w:tcW w:w="160" w:type="dxa"/>
            <w:vAlign w:val="bottom"/>
          </w:tcPr>
          <w:p>
            <w:pPr>
              <w:spacing w:after="0"/>
              <w:rPr>
                <w:sz w:val="18"/>
                <w:szCs w:val="18"/>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(319)</w:t>
            </w:r>
          </w:p>
        </w:tc>
        <w:tc>
          <w:tcPr>
            <w:tcW w:w="2260" w:type="dxa"/>
            <w:vAlign w:val="bottom"/>
          </w:tcPr>
          <w:p>
            <w:pPr>
              <w:spacing w:after="0"/>
              <w:rPr>
                <w:sz w:val="18"/>
                <w:szCs w:val="18"/>
                <w:color w:val="auto"/>
              </w:rPr>
            </w:pPr>
          </w:p>
        </w:tc>
      </w:tr>
      <w:tr>
        <w:trPr>
          <w:trHeight w:val="210"/>
        </w:trPr>
        <w:tc>
          <w:tcPr>
            <w:tcW w:w="3860" w:type="dxa"/>
            <w:vAlign w:val="bottom"/>
            <w:shd w:val="clear" w:color="auto" w:fill="CCEEFF"/>
          </w:tcPr>
          <w:p>
            <w:pPr>
              <w:spacing w:after="0"/>
              <w:rPr>
                <w:sz w:val="18"/>
                <w:szCs w:val="18"/>
                <w:color w:val="auto"/>
              </w:rPr>
            </w:pPr>
          </w:p>
        </w:tc>
        <w:tc>
          <w:tcPr>
            <w:tcW w:w="1820" w:type="dxa"/>
            <w:vAlign w:val="bottom"/>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60" w:type="dxa"/>
            <w:vAlign w:val="bottom"/>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Total SG&amp;A expense elimination</w:t>
            </w:r>
          </w:p>
        </w:tc>
        <w:tc>
          <w:tcPr>
            <w:tcW w:w="2480" w:type="dxa"/>
            <w:vAlign w:val="bottom"/>
            <w:gridSpan w:val="2"/>
          </w:tcPr>
          <w:p>
            <w:pPr>
              <w:jc w:val="right"/>
              <w:ind w:right="49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(8,393)</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(8,456)</w:t>
            </w:r>
          </w:p>
        </w:tc>
        <w:tc>
          <w:tcPr>
            <w:tcW w:w="2260" w:type="dxa"/>
            <w:vAlign w:val="bottom"/>
          </w:tcPr>
          <w:p>
            <w:pPr>
              <w:spacing w:after="0"/>
              <w:rPr>
                <w:sz w:val="18"/>
                <w:szCs w:val="18"/>
                <w:color w:val="auto"/>
              </w:rPr>
            </w:pPr>
          </w:p>
        </w:tc>
      </w:tr>
      <w:tr>
        <w:trPr>
          <w:trHeight w:val="20"/>
        </w:trPr>
        <w:tc>
          <w:tcPr>
            <w:tcW w:w="38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r>
      <w:tr>
        <w:trPr>
          <w:trHeight w:val="413"/>
        </w:trPr>
        <w:tc>
          <w:tcPr>
            <w:tcW w:w="3860" w:type="dxa"/>
            <w:vAlign w:val="bottom"/>
          </w:tcPr>
          <w:p>
            <w:pPr>
              <w:spacing w:after="0"/>
              <w:rPr>
                <w:sz w:val="24"/>
                <w:szCs w:val="24"/>
                <w:color w:val="auto"/>
              </w:rPr>
            </w:pPr>
          </w:p>
        </w:tc>
        <w:tc>
          <w:tcPr>
            <w:tcW w:w="2480" w:type="dxa"/>
            <w:vAlign w:val="bottom"/>
            <w:gridSpan w:val="2"/>
          </w:tcPr>
          <w:p>
            <w:pPr>
              <w:jc w:val="right"/>
              <w:ind w:right="330"/>
              <w:spacing w:after="0"/>
              <w:rPr>
                <w:sz w:val="20"/>
                <w:szCs w:val="20"/>
                <w:color w:val="auto"/>
              </w:rPr>
            </w:pPr>
            <w:r>
              <w:rPr>
                <w:rFonts w:ascii="Arial" w:cs="Arial" w:eastAsia="Arial" w:hAnsi="Arial"/>
                <w:sz w:val="18"/>
                <w:szCs w:val="18"/>
                <w:color w:val="auto"/>
              </w:rPr>
              <w:t>24 of 32</w:t>
            </w: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r>
      <w:tr>
        <w:trPr>
          <w:trHeight w:val="115"/>
        </w:trPr>
        <w:tc>
          <w:tcPr>
            <w:tcW w:w="3860" w:type="dxa"/>
            <w:vAlign w:val="bottom"/>
            <w:tcBorders>
              <w:bottom w:val="single" w:sz="8" w:color="auto"/>
            </w:tcBorders>
          </w:tcPr>
          <w:p>
            <w:pPr>
              <w:spacing w:after="0"/>
              <w:rPr>
                <w:sz w:val="10"/>
                <w:szCs w:val="10"/>
                <w:color w:val="auto"/>
              </w:rPr>
            </w:pPr>
          </w:p>
        </w:tc>
        <w:tc>
          <w:tcPr>
            <w:tcW w:w="182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26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type w:val="continuous"/>
        </w:sectPr>
      </w:pPr>
    </w:p>
    <w:bookmarkStart w:id="24" w:name="page25"/>
    <w:bookmarkEnd w:id="24"/>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Wholesale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wholesale segment for the periods ended February 27, 2021 and February 29, 2020 are as follows:</w:t>
      </w:r>
    </w:p>
    <w:p>
      <w:pPr>
        <w:spacing w:after="0" w:line="2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8"/>
                <w:szCs w:val="18"/>
                <w:color w:val="auto"/>
                <w:w w:val="96"/>
              </w:rPr>
              <w:t>Quarter Ended</w:t>
            </w:r>
          </w:p>
        </w:tc>
        <w:tc>
          <w:tcPr>
            <w:tcW w:w="152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9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February 27, 2021</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February 29, 2020</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rPr>
              <w:t>Dollars</w:t>
            </w:r>
          </w:p>
        </w:tc>
        <w:tc>
          <w:tcPr>
            <w:tcW w:w="92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0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0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70,264</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480" w:type="dxa"/>
            <w:vAlign w:val="bottom"/>
            <w:shd w:val="clear" w:color="auto" w:fill="CCEEFF"/>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65,017</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5,247</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08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080" w:type="dxa"/>
            <w:vAlign w:val="bottom"/>
          </w:tcPr>
          <w:p>
            <w:pPr>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22,976</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32.7%</w:t>
            </w:r>
          </w:p>
        </w:tc>
        <w:tc>
          <w:tcPr>
            <w:tcW w:w="480" w:type="dxa"/>
            <w:vAlign w:val="bottom"/>
          </w:tcPr>
          <w:p>
            <w:pPr>
              <w:spacing w:after="0"/>
              <w:rPr>
                <w:sz w:val="18"/>
                <w:szCs w:val="18"/>
                <w:color w:val="auto"/>
              </w:rPr>
            </w:pPr>
          </w:p>
        </w:tc>
        <w:tc>
          <w:tcPr>
            <w:tcW w:w="1520" w:type="dxa"/>
            <w:vAlign w:val="bottom"/>
          </w:tcPr>
          <w:p>
            <w:pPr>
              <w:jc w:val="right"/>
              <w:ind w:right="750"/>
              <w:spacing w:after="0"/>
              <w:rPr>
                <w:sz w:val="20"/>
                <w:szCs w:val="20"/>
                <w:color w:val="auto"/>
              </w:rPr>
            </w:pPr>
            <w:r>
              <w:rPr>
                <w:rFonts w:ascii="Arial" w:cs="Arial" w:eastAsia="Arial" w:hAnsi="Arial"/>
                <w:sz w:val="18"/>
                <w:szCs w:val="18"/>
                <w:color w:val="auto"/>
              </w:rPr>
              <w:t>21,140</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32.5%</w:t>
            </w:r>
          </w:p>
        </w:tc>
        <w:tc>
          <w:tcPr>
            <w:tcW w:w="200" w:type="dxa"/>
            <w:vAlign w:val="bottom"/>
          </w:tcPr>
          <w:p>
            <w:pPr>
              <w:spacing w:after="0"/>
              <w:rPr>
                <w:sz w:val="18"/>
                <w:szCs w:val="18"/>
                <w:color w:val="auto"/>
              </w:rPr>
            </w:pPr>
          </w:p>
        </w:tc>
        <w:tc>
          <w:tcPr>
            <w:tcW w:w="1400" w:type="dxa"/>
            <w:vAlign w:val="bottom"/>
          </w:tcPr>
          <w:p>
            <w:pPr>
              <w:jc w:val="right"/>
              <w:ind w:right="350"/>
              <w:spacing w:after="0"/>
              <w:rPr>
                <w:sz w:val="20"/>
                <w:szCs w:val="20"/>
                <w:color w:val="auto"/>
              </w:rPr>
            </w:pPr>
            <w:r>
              <w:rPr>
                <w:rFonts w:ascii="Arial" w:cs="Arial" w:eastAsia="Arial" w:hAnsi="Arial"/>
                <w:sz w:val="18"/>
                <w:szCs w:val="18"/>
                <w:color w:val="auto"/>
              </w:rPr>
              <w:t>1,836</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8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3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18,179</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25.9%</w:t>
            </w:r>
          </w:p>
        </w:tc>
        <w:tc>
          <w:tcPr>
            <w:tcW w:w="48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18,427</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28.3%</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(248)</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08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08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36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4,797</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6.8%</w:t>
            </w:r>
          </w:p>
        </w:tc>
        <w:tc>
          <w:tcPr>
            <w:tcW w:w="480" w:type="dxa"/>
            <w:vAlign w:val="bottom"/>
            <w:shd w:val="clear" w:color="auto" w:fill="CCEEFF"/>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2,713</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2,084</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08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68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0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Analysis of Results - Wholesale</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Net sales for the three months ended February 27, 2021 increased $5,247 or 8.1% over the prior year period. Wholesale orders for the first quarter of 2021 increased 44% as compared to 2020 resulting in a wholesale backlog of $67,469 at February 27, 2021 as compared to $54,874 at November 28, 2020 and $14,617 at February 29, 2020. Wholesale orders from independent dealers increased 98% for the current quarter as compared to the prior year period driven by increases from existing dealers along with an expansion of the dealer base. In addition, orders from the Bassett Home Furnishings store network increased 14% while Lane Venture orders increased by 75%. As previously discussed, Bassett and most of the home furnishings industry has been faced with continuing logistical challenges from COVID-related labor shortages and supply chain disruptions creating significant delays in order fulfillment and increasing backlogs. SG&amp;A expenses as a percentage of sales decreased 240 basis points due to increased leverage of fixed costs due to higher sales volume coupled with various expense reductions implemented in the second and third quarters of fiscal 2020 in response to the COVID-19 pandemic.</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580" w:type="dxa"/>
            <w:vAlign w:val="bottom"/>
            <w:gridSpan w:val="2"/>
          </w:tcPr>
          <w:p>
            <w:pPr>
              <w:ind w:left="280"/>
              <w:spacing w:after="0"/>
              <w:rPr>
                <w:sz w:val="20"/>
                <w:szCs w:val="20"/>
                <w:color w:val="auto"/>
              </w:rPr>
            </w:pPr>
            <w:r>
              <w:rPr>
                <w:rFonts w:ascii="Arial" w:cs="Arial" w:eastAsia="Arial" w:hAnsi="Arial"/>
                <w:sz w:val="18"/>
                <w:szCs w:val="18"/>
                <w:i w:val="1"/>
                <w:iCs w:val="1"/>
                <w:color w:val="auto"/>
                <w:w w:val="95"/>
              </w:rPr>
              <w:t>Wholesale shipments by type:</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8"/>
                <w:szCs w:val="18"/>
                <w:color w:val="auto"/>
                <w:w w:val="96"/>
              </w:rPr>
              <w:t>Quarter Ended</w:t>
            </w:r>
          </w:p>
        </w:tc>
        <w:tc>
          <w:tcPr>
            <w:tcW w:w="150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9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0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February 27, 2021</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February 29, 2020</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rPr>
              <w:t>Dollars</w:t>
            </w:r>
          </w:p>
        </w:tc>
        <w:tc>
          <w:tcPr>
            <w:tcW w:w="92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vMerge w:val="continue"/>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50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43,348</w:t>
            </w:r>
          </w:p>
        </w:tc>
        <w:tc>
          <w:tcPr>
            <w:tcW w:w="760" w:type="dxa"/>
            <w:vAlign w:val="bottom"/>
            <w:tcBorders>
              <w:right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61.7%</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150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40,033</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61.6%</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3,315</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8.3%</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Bassett Leather</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7,587</w:t>
            </w:r>
          </w:p>
        </w:tc>
        <w:tc>
          <w:tcPr>
            <w:tcW w:w="760" w:type="dxa"/>
            <w:vAlign w:val="bottom"/>
            <w:gridSpan w:val="2"/>
          </w:tcPr>
          <w:p>
            <w:pPr>
              <w:jc w:val="right"/>
              <w:ind w:right="30"/>
              <w:spacing w:after="0"/>
              <w:rPr>
                <w:sz w:val="20"/>
                <w:szCs w:val="20"/>
                <w:color w:val="auto"/>
              </w:rPr>
            </w:pPr>
            <w:r>
              <w:rPr>
                <w:rFonts w:ascii="Arial" w:cs="Arial" w:eastAsia="Arial" w:hAnsi="Arial"/>
                <w:sz w:val="18"/>
                <w:szCs w:val="18"/>
                <w:color w:val="auto"/>
              </w:rPr>
              <w:t>10.8%</w:t>
            </w:r>
          </w:p>
        </w:tc>
        <w:tc>
          <w:tcPr>
            <w:tcW w:w="500" w:type="dxa"/>
            <w:vAlign w:val="bottom"/>
          </w:tcPr>
          <w:p>
            <w:pPr>
              <w:spacing w:after="0"/>
              <w:rPr>
                <w:sz w:val="18"/>
                <w:szCs w:val="18"/>
                <w:color w:val="auto"/>
              </w:rPr>
            </w:pPr>
          </w:p>
        </w:tc>
        <w:tc>
          <w:tcPr>
            <w:tcW w:w="1500" w:type="dxa"/>
            <w:vAlign w:val="bottom"/>
          </w:tcPr>
          <w:p>
            <w:pPr>
              <w:jc w:val="right"/>
              <w:ind w:right="750"/>
              <w:spacing w:after="0"/>
              <w:rPr>
                <w:sz w:val="20"/>
                <w:szCs w:val="20"/>
                <w:color w:val="auto"/>
              </w:rPr>
            </w:pPr>
            <w:r>
              <w:rPr>
                <w:rFonts w:ascii="Arial" w:cs="Arial" w:eastAsia="Arial" w:hAnsi="Arial"/>
                <w:sz w:val="18"/>
                <w:szCs w:val="18"/>
                <w:color w:val="auto"/>
              </w:rPr>
              <w:t>4,700</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7.2%</w:t>
            </w:r>
          </w:p>
        </w:tc>
        <w:tc>
          <w:tcPr>
            <w:tcW w:w="200" w:type="dxa"/>
            <w:vAlign w:val="bottom"/>
          </w:tcPr>
          <w:p>
            <w:pPr>
              <w:spacing w:after="0"/>
              <w:rPr>
                <w:sz w:val="18"/>
                <w:szCs w:val="18"/>
                <w:color w:val="auto"/>
              </w:rPr>
            </w:pPr>
          </w:p>
        </w:tc>
        <w:tc>
          <w:tcPr>
            <w:tcW w:w="1400" w:type="dxa"/>
            <w:vAlign w:val="bottom"/>
          </w:tcPr>
          <w:p>
            <w:pPr>
              <w:jc w:val="right"/>
              <w:ind w:right="350"/>
              <w:spacing w:after="0"/>
              <w:rPr>
                <w:sz w:val="20"/>
                <w:szCs w:val="20"/>
                <w:color w:val="auto"/>
              </w:rPr>
            </w:pPr>
            <w:r>
              <w:rPr>
                <w:rFonts w:ascii="Arial" w:cs="Arial" w:eastAsia="Arial" w:hAnsi="Arial"/>
                <w:sz w:val="18"/>
                <w:szCs w:val="18"/>
                <w:color w:val="auto"/>
              </w:rPr>
              <w:t>2,887</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61.4%</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11,543</w:t>
            </w:r>
          </w:p>
        </w:tc>
        <w:tc>
          <w:tcPr>
            <w:tcW w:w="760" w:type="dxa"/>
            <w:vAlign w:val="bottom"/>
            <w:tcBorders>
              <w:right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16.4%</w:t>
            </w:r>
          </w:p>
        </w:tc>
        <w:tc>
          <w:tcPr>
            <w:tcW w:w="5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11,290</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253</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Bassett Casegoods</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7,786</w:t>
            </w:r>
          </w:p>
        </w:tc>
        <w:tc>
          <w:tcPr>
            <w:tcW w:w="760" w:type="dxa"/>
            <w:vAlign w:val="bottom"/>
            <w:gridSpan w:val="2"/>
          </w:tcPr>
          <w:p>
            <w:pPr>
              <w:jc w:val="right"/>
              <w:ind w:right="30"/>
              <w:spacing w:after="0"/>
              <w:rPr>
                <w:sz w:val="20"/>
                <w:szCs w:val="20"/>
                <w:color w:val="auto"/>
              </w:rPr>
            </w:pPr>
            <w:r>
              <w:rPr>
                <w:rFonts w:ascii="Arial" w:cs="Arial" w:eastAsia="Arial" w:hAnsi="Arial"/>
                <w:sz w:val="18"/>
                <w:szCs w:val="18"/>
                <w:color w:val="auto"/>
              </w:rPr>
              <w:t>11.1%</w:t>
            </w:r>
          </w:p>
        </w:tc>
        <w:tc>
          <w:tcPr>
            <w:tcW w:w="500" w:type="dxa"/>
            <w:vAlign w:val="bottom"/>
          </w:tcPr>
          <w:p>
            <w:pPr>
              <w:spacing w:after="0"/>
              <w:rPr>
                <w:sz w:val="18"/>
                <w:szCs w:val="18"/>
                <w:color w:val="auto"/>
              </w:rPr>
            </w:pPr>
          </w:p>
        </w:tc>
        <w:tc>
          <w:tcPr>
            <w:tcW w:w="1500" w:type="dxa"/>
            <w:vAlign w:val="bottom"/>
          </w:tcPr>
          <w:p>
            <w:pPr>
              <w:jc w:val="right"/>
              <w:ind w:right="750"/>
              <w:spacing w:after="0"/>
              <w:rPr>
                <w:sz w:val="20"/>
                <w:szCs w:val="20"/>
                <w:color w:val="auto"/>
              </w:rPr>
            </w:pPr>
            <w:r>
              <w:rPr>
                <w:rFonts w:ascii="Arial" w:cs="Arial" w:eastAsia="Arial" w:hAnsi="Arial"/>
                <w:sz w:val="18"/>
                <w:szCs w:val="18"/>
                <w:color w:val="auto"/>
              </w:rPr>
              <w:t>8,994</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13.8%</w:t>
            </w:r>
          </w:p>
        </w:tc>
        <w:tc>
          <w:tcPr>
            <w:tcW w:w="200" w:type="dxa"/>
            <w:vAlign w:val="bottom"/>
          </w:tcPr>
          <w:p>
            <w:pPr>
              <w:spacing w:after="0"/>
              <w:rPr>
                <w:sz w:val="18"/>
                <w:szCs w:val="18"/>
                <w:color w:val="auto"/>
              </w:rPr>
            </w:pPr>
          </w:p>
        </w:tc>
        <w:tc>
          <w:tcPr>
            <w:tcW w:w="1400" w:type="dxa"/>
            <w:vAlign w:val="bottom"/>
          </w:tcPr>
          <w:p>
            <w:pPr>
              <w:jc w:val="right"/>
              <w:ind w:right="290"/>
              <w:spacing w:after="0"/>
              <w:rPr>
                <w:sz w:val="20"/>
                <w:szCs w:val="20"/>
                <w:color w:val="auto"/>
              </w:rPr>
            </w:pPr>
            <w:r>
              <w:rPr>
                <w:rFonts w:ascii="Arial" w:cs="Arial" w:eastAsia="Arial" w:hAnsi="Arial"/>
                <w:sz w:val="18"/>
                <w:szCs w:val="18"/>
                <w:color w:val="auto"/>
              </w:rPr>
              <w:t>(1,208)</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-13.4%</w:t>
            </w: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00" w:type="dxa"/>
            <w:vAlign w:val="bottom"/>
          </w:tcPr>
          <w:p>
            <w:pPr>
              <w:spacing w:after="0"/>
              <w:rPr>
                <w:sz w:val="19"/>
                <w:szCs w:val="19"/>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70,264</w:t>
            </w:r>
          </w:p>
        </w:tc>
        <w:tc>
          <w:tcPr>
            <w:tcW w:w="760" w:type="dxa"/>
            <w:vAlign w:val="bottom"/>
            <w:tcBorders>
              <w:right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100.0%</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150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65,017</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5,247</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8.1%</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228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68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150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0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60" w:type="dxa"/>
            <w:vAlign w:val="bottom"/>
            <w:gridSpan w:val="2"/>
          </w:tcPr>
          <w:p>
            <w:pPr>
              <w:jc w:val="right"/>
              <w:ind w:right="27"/>
              <w:spacing w:after="0"/>
              <w:rPr>
                <w:sz w:val="20"/>
                <w:szCs w:val="20"/>
                <w:color w:val="auto"/>
              </w:rPr>
            </w:pPr>
            <w:r>
              <w:rPr>
                <w:rFonts w:ascii="Arial" w:cs="Arial" w:eastAsia="Arial" w:hAnsi="Arial"/>
                <w:sz w:val="18"/>
                <w:szCs w:val="18"/>
                <w:color w:val="auto"/>
                <w:w w:val="98"/>
              </w:rPr>
              <w:t>25 of 32</w:t>
            </w:r>
          </w:p>
        </w:tc>
        <w:tc>
          <w:tcPr>
            <w:tcW w:w="1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0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68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5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84" w:right="33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 xml:space="preserve">Retail </w:t>
      </w:r>
      <w:r>
        <w:rPr>
          <w:rFonts w:ascii="Arial" w:cs="Arial" w:eastAsia="Arial" w:hAnsi="Arial"/>
          <w:sz w:val="18"/>
          <w:szCs w:val="18"/>
          <w:u w:val="single" w:color="auto"/>
          <w:color w:val="auto"/>
        </w:rPr>
        <w:t>–</w:t>
      </w:r>
      <w:r>
        <w:rPr>
          <w:rFonts w:ascii="Arial" w:cs="Arial" w:eastAsia="Arial" w:hAnsi="Arial"/>
          <w:sz w:val="18"/>
          <w:szCs w:val="18"/>
          <w:b w:val="1"/>
          <w:bCs w:val="1"/>
          <w:u w:val="single" w:color="auto"/>
          <w:color w:val="auto"/>
        </w:rPr>
        <w:t xml:space="preserve"> Company-owned Stores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retail segment for the periods ended February 27, 2021 and February 29, 2020 are as follows:</w:t>
      </w:r>
    </w:p>
    <w:p>
      <w:pPr>
        <w:spacing w:after="0" w:line="2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8"/>
                <w:szCs w:val="18"/>
                <w:color w:val="auto"/>
                <w:w w:val="96"/>
              </w:rPr>
              <w:t>Quarter Ended</w:t>
            </w:r>
          </w:p>
        </w:tc>
        <w:tc>
          <w:tcPr>
            <w:tcW w:w="152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9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February 27, 2021</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February 29, 2020</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rPr>
              <w:t>Dollars</w:t>
            </w:r>
          </w:p>
        </w:tc>
        <w:tc>
          <w:tcPr>
            <w:tcW w:w="9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3"/>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4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4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60,395</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480" w:type="dxa"/>
            <w:vAlign w:val="bottom"/>
            <w:shd w:val="clear" w:color="auto" w:fill="CCEEFF"/>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65,846</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(5,451)</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44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440" w:type="dxa"/>
            <w:vAlign w:val="bottom"/>
          </w:tcPr>
          <w:p>
            <w:pPr>
              <w:spacing w:after="0"/>
              <w:rPr>
                <w:sz w:val="20"/>
                <w:szCs w:val="20"/>
                <w:color w:val="auto"/>
              </w:rPr>
            </w:pPr>
            <w:r>
              <w:rPr>
                <w:rFonts w:ascii="Arial" w:cs="Arial" w:eastAsia="Arial" w:hAnsi="Arial"/>
                <w:sz w:val="18"/>
                <w:szCs w:val="18"/>
                <w:color w:val="auto"/>
              </w:rPr>
              <w:t>Gross profit</w:t>
            </w:r>
          </w:p>
        </w:tc>
        <w:tc>
          <w:tcPr>
            <w:tcW w:w="340" w:type="dxa"/>
            <w:vAlign w:val="bottom"/>
          </w:tcPr>
          <w:p>
            <w:pPr>
              <w:spacing w:after="0"/>
              <w:rPr>
                <w:sz w:val="18"/>
                <w:szCs w:val="18"/>
                <w:color w:val="auto"/>
              </w:rPr>
            </w:pP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31,086</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51.5%</w:t>
            </w:r>
          </w:p>
        </w:tc>
        <w:tc>
          <w:tcPr>
            <w:tcW w:w="480" w:type="dxa"/>
            <w:vAlign w:val="bottom"/>
          </w:tcPr>
          <w:p>
            <w:pPr>
              <w:spacing w:after="0"/>
              <w:rPr>
                <w:sz w:val="18"/>
                <w:szCs w:val="18"/>
                <w:color w:val="auto"/>
              </w:rPr>
            </w:pPr>
          </w:p>
        </w:tc>
        <w:tc>
          <w:tcPr>
            <w:tcW w:w="1520" w:type="dxa"/>
            <w:vAlign w:val="bottom"/>
          </w:tcPr>
          <w:p>
            <w:pPr>
              <w:jc w:val="right"/>
              <w:ind w:right="750"/>
              <w:spacing w:after="0"/>
              <w:rPr>
                <w:sz w:val="20"/>
                <w:szCs w:val="20"/>
                <w:color w:val="auto"/>
              </w:rPr>
            </w:pPr>
            <w:r>
              <w:rPr>
                <w:rFonts w:ascii="Arial" w:cs="Arial" w:eastAsia="Arial" w:hAnsi="Arial"/>
                <w:sz w:val="18"/>
                <w:szCs w:val="18"/>
                <w:color w:val="auto"/>
              </w:rPr>
              <w:t>32,940</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c>
          <w:tcPr>
            <w:tcW w:w="200" w:type="dxa"/>
            <w:vAlign w:val="bottom"/>
          </w:tcPr>
          <w:p>
            <w:pPr>
              <w:spacing w:after="0"/>
              <w:rPr>
                <w:sz w:val="18"/>
                <w:szCs w:val="18"/>
                <w:color w:val="auto"/>
              </w:rPr>
            </w:pPr>
          </w:p>
        </w:tc>
        <w:tc>
          <w:tcPr>
            <w:tcW w:w="1400" w:type="dxa"/>
            <w:vAlign w:val="bottom"/>
          </w:tcPr>
          <w:p>
            <w:pPr>
              <w:jc w:val="right"/>
              <w:ind w:right="290"/>
              <w:spacing w:after="0"/>
              <w:rPr>
                <w:sz w:val="20"/>
                <w:szCs w:val="20"/>
                <w:color w:val="auto"/>
              </w:rPr>
            </w:pPr>
            <w:r>
              <w:rPr>
                <w:rFonts w:ascii="Arial" w:cs="Arial" w:eastAsia="Arial" w:hAnsi="Arial"/>
                <w:sz w:val="18"/>
                <w:szCs w:val="18"/>
                <w:color w:val="auto"/>
              </w:rPr>
              <w:t>(1,854)</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4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340" w:type="dxa"/>
            <w:vAlign w:val="bottom"/>
            <w:shd w:val="clear" w:color="auto" w:fill="CCEEFF"/>
          </w:tcPr>
          <w:p>
            <w:pPr>
              <w:spacing w:after="0"/>
              <w:rPr>
                <w:sz w:val="18"/>
                <w:szCs w:val="18"/>
                <w:color w:val="auto"/>
              </w:rPr>
            </w:pP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29,992</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49.7%</w:t>
            </w:r>
          </w:p>
        </w:tc>
        <w:tc>
          <w:tcPr>
            <w:tcW w:w="48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34,189</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51.9%</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(4,197)</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4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460" w:type="dxa"/>
            <w:vAlign w:val="bottom"/>
            <w:gridSpan w:val="2"/>
          </w:tcPr>
          <w:p>
            <w:pPr>
              <w:spacing w:after="0"/>
              <w:rPr>
                <w:sz w:val="20"/>
                <w:szCs w:val="20"/>
                <w:color w:val="auto"/>
              </w:rPr>
            </w:pPr>
            <w:r>
              <w:rPr>
                <w:rFonts w:ascii="Arial" w:cs="Arial" w:eastAsia="Arial" w:hAnsi="Arial"/>
                <w:sz w:val="18"/>
                <w:szCs w:val="18"/>
                <w:color w:val="auto"/>
              </w:rPr>
              <w:t>Income (loss) from operations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1,094</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1.8%</w:t>
            </w:r>
          </w:p>
        </w:tc>
        <w:tc>
          <w:tcPr>
            <w:tcW w:w="480" w:type="dxa"/>
            <w:vAlign w:val="bottom"/>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(1,249)</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-1.9%</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ind w:right="350"/>
              <w:spacing w:after="0"/>
              <w:rPr>
                <w:sz w:val="20"/>
                <w:szCs w:val="20"/>
                <w:color w:val="auto"/>
              </w:rPr>
            </w:pPr>
            <w:r>
              <w:rPr>
                <w:rFonts w:ascii="Arial" w:cs="Arial" w:eastAsia="Arial" w:hAnsi="Arial"/>
                <w:sz w:val="18"/>
                <w:szCs w:val="18"/>
                <w:color w:val="auto"/>
              </w:rPr>
              <w:t>2,343</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N/M</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Analysis of Results - Retail</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Net sales for the three months ended February 27, 2021 declined $5,451 or 8.3% from the prior year period. Written sales, the value of sales orders taken, but not delivered, increased 4.1% for the quarter ended February 27, 2021 as compared to the prior year quarter in spite of having seven fewer stores in operation this year, resulting in a retail backlog of $64,806 at February 27, 2021 as compared to $57,041 at November 28, 2020 and $29,775 at February 29, 2020. As previously discussed, Bassett and most of the home furnishings industry has been faced with continuing logistical challenges from COVID-related labor shortages and supply chain disruptions creating significant delays in order fulfillment and increasing backlogs. Gross margins for the first quarter of 2021 increased by 150 basis points primarily driven by lower levels of promotional activity coupled with improved margins on clearance activity. SG&amp;A expenses for the first quarter of 2021 as a percentage of sales decreased by 220 basis points as compared to the first quarter of 2020. This was driven by workforce reductions, lower advertising spending, and overall cost containment activities. In addition, over the course of fiscal 2020 we closed seven unprofitable store locations, six of which were closed subsequent to the first quarter of 2020.</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Logistical Services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our logistical services segment for the periods ended February 27, 2021 and February 29, 2020 are as follows:</w:t>
      </w:r>
    </w:p>
    <w:p>
      <w:pPr>
        <w:spacing w:after="0" w:line="2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gridSpan w:val="3"/>
          </w:tcPr>
          <w:p>
            <w:pPr>
              <w:jc w:val="right"/>
              <w:ind w:right="7"/>
              <w:spacing w:after="0"/>
              <w:rPr>
                <w:sz w:val="20"/>
                <w:szCs w:val="20"/>
                <w:color w:val="auto"/>
              </w:rPr>
            </w:pPr>
            <w:r>
              <w:rPr>
                <w:rFonts w:ascii="Arial" w:cs="Arial" w:eastAsia="Arial" w:hAnsi="Arial"/>
                <w:sz w:val="18"/>
                <w:szCs w:val="18"/>
                <w:color w:val="auto"/>
                <w:w w:val="96"/>
              </w:rPr>
              <w:t>Quarter Ended</w:t>
            </w:r>
          </w:p>
        </w:tc>
        <w:tc>
          <w:tcPr>
            <w:tcW w:w="152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9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February 27, 2021</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6"/>
              </w:rPr>
              <w:t>February 29, 2020</w:t>
            </w: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rPr>
              <w:t>Dollars</w:t>
            </w:r>
          </w:p>
        </w:tc>
        <w:tc>
          <w:tcPr>
            <w:tcW w:w="92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 revenue</w:t>
            </w:r>
          </w:p>
        </w:tc>
        <w:tc>
          <w:tcPr>
            <w:tcW w:w="5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20,081</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480" w:type="dxa"/>
            <w:vAlign w:val="bottom"/>
            <w:shd w:val="clear" w:color="auto" w:fill="CCEEFF"/>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21,315</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(1,234)</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00" w:type="dxa"/>
            <w:vAlign w:val="bottom"/>
          </w:tcPr>
          <w:p>
            <w:pPr>
              <w:spacing w:after="0"/>
              <w:rPr>
                <w:sz w:val="20"/>
                <w:szCs w:val="20"/>
                <w:color w:val="auto"/>
              </w:rPr>
            </w:pPr>
            <w:r>
              <w:rPr>
                <w:rFonts w:ascii="Arial" w:cs="Arial" w:eastAsia="Arial" w:hAnsi="Arial"/>
                <w:sz w:val="18"/>
                <w:szCs w:val="18"/>
                <w:color w:val="auto"/>
              </w:rPr>
              <w:t>Operating expenses</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80" w:type="dxa"/>
            <w:vAlign w:val="bottom"/>
          </w:tcPr>
          <w:p>
            <w:pPr>
              <w:jc w:val="right"/>
              <w:ind w:right="770"/>
              <w:spacing w:after="0"/>
              <w:rPr>
                <w:sz w:val="20"/>
                <w:szCs w:val="20"/>
                <w:color w:val="auto"/>
              </w:rPr>
            </w:pPr>
            <w:r>
              <w:rPr>
                <w:rFonts w:ascii="Arial" w:cs="Arial" w:eastAsia="Arial" w:hAnsi="Arial"/>
                <w:sz w:val="18"/>
                <w:szCs w:val="18"/>
                <w:color w:val="auto"/>
              </w:rPr>
              <w:t>19,622</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97.7%</w:t>
            </w:r>
          </w:p>
        </w:tc>
        <w:tc>
          <w:tcPr>
            <w:tcW w:w="480" w:type="dxa"/>
            <w:vAlign w:val="bottom"/>
          </w:tcPr>
          <w:p>
            <w:pPr>
              <w:spacing w:after="0"/>
              <w:rPr>
                <w:sz w:val="18"/>
                <w:szCs w:val="18"/>
                <w:color w:val="auto"/>
              </w:rPr>
            </w:pPr>
          </w:p>
        </w:tc>
        <w:tc>
          <w:tcPr>
            <w:tcW w:w="1520" w:type="dxa"/>
            <w:vAlign w:val="bottom"/>
          </w:tcPr>
          <w:p>
            <w:pPr>
              <w:jc w:val="right"/>
              <w:ind w:right="750"/>
              <w:spacing w:after="0"/>
              <w:rPr>
                <w:sz w:val="20"/>
                <w:szCs w:val="20"/>
                <w:color w:val="auto"/>
              </w:rPr>
            </w:pPr>
            <w:r>
              <w:rPr>
                <w:rFonts w:ascii="Arial" w:cs="Arial" w:eastAsia="Arial" w:hAnsi="Arial"/>
                <w:sz w:val="18"/>
                <w:szCs w:val="18"/>
                <w:color w:val="auto"/>
              </w:rPr>
              <w:t>20,480</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96.1%</w:t>
            </w:r>
          </w:p>
        </w:tc>
        <w:tc>
          <w:tcPr>
            <w:tcW w:w="200" w:type="dxa"/>
            <w:vAlign w:val="bottom"/>
          </w:tcPr>
          <w:p>
            <w:pPr>
              <w:spacing w:after="0"/>
              <w:rPr>
                <w:sz w:val="18"/>
                <w:szCs w:val="18"/>
                <w:color w:val="auto"/>
              </w:rPr>
            </w:pPr>
          </w:p>
        </w:tc>
        <w:tc>
          <w:tcPr>
            <w:tcW w:w="1400" w:type="dxa"/>
            <w:vAlign w:val="bottom"/>
          </w:tcPr>
          <w:p>
            <w:pPr>
              <w:jc w:val="right"/>
              <w:ind w:right="290"/>
              <w:spacing w:after="0"/>
              <w:rPr>
                <w:sz w:val="20"/>
                <w:szCs w:val="20"/>
                <w:color w:val="auto"/>
              </w:rPr>
            </w:pPr>
            <w:r>
              <w:rPr>
                <w:rFonts w:ascii="Arial" w:cs="Arial" w:eastAsia="Arial" w:hAnsi="Arial"/>
                <w:sz w:val="18"/>
                <w:szCs w:val="18"/>
                <w:color w:val="auto"/>
              </w:rPr>
              <w:t>(858)</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rPr>
              <w:t>459</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w:t>
            </w:r>
          </w:p>
        </w:tc>
        <w:tc>
          <w:tcPr>
            <w:tcW w:w="480" w:type="dxa"/>
            <w:vAlign w:val="bottom"/>
            <w:shd w:val="clear" w:color="auto" w:fill="CCEEFF"/>
          </w:tcPr>
          <w:p>
            <w:pPr>
              <w:jc w:val="right"/>
              <w:ind w:right="32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835</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(376)</w:t>
            </w: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68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0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Analysis of Operations </w:t>
      </w:r>
      <w:r>
        <w:rPr>
          <w:rFonts w:ascii="Arial" w:cs="Arial" w:eastAsia="Arial" w:hAnsi="Arial"/>
          <w:sz w:val="18"/>
          <w:szCs w:val="18"/>
          <w:color w:val="auto"/>
        </w:rPr>
        <w:t>–</w:t>
      </w:r>
      <w:r>
        <w:rPr>
          <w:rFonts w:ascii="Arial" w:cs="Arial" w:eastAsia="Arial" w:hAnsi="Arial"/>
          <w:sz w:val="18"/>
          <w:szCs w:val="18"/>
          <w:i w:val="1"/>
          <w:iCs w:val="1"/>
          <w:color w:val="auto"/>
        </w:rPr>
        <w:t xml:space="preserve"> Logistical Services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revenues for the three months ended February 27, 2021 declined $1,234 or 5.8% from the prior year period. Operating profit declined for the first quarter of 2021 as compared to 2020 primarily due to higher warehousing labor costs as Zenith has been challenged to find and maintain freight-handling personnel in the warehousing operation due to the previously discussed COVID-related labor shortages, partially offset by improved fleet costs driven by lower fuel prices.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Items Affecting Net Income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loss, net, for the three months ended February 27, 2021 was $337 compared to $362 for the three months ended February 29, 2020, a decrease of $25. The net change was primarily due to reduced interest income from our investments in CDs along with higher interest expense resulting from additional finance leases, partially offset by lower net cost of Company-owned life insurance.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effective tax rates for the quarters ended February 27, 2021 and February 29, 2020 of 29.4% and 34.5%, respectively, differ from the federal statutory rate of 21% primarily due to the effects of state income taxes and various permanent differences, including tax deficiencies of $135 and $114 during the quarters ended February 27, 2021 and February 29, 2020, respectively, arising from stock-based compensation.</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Cash Flows</w:t>
      </w:r>
    </w:p>
    <w:p>
      <w:pPr>
        <w:spacing w:after="0" w:line="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Cash provided by operations for the first quarter of fiscal 2021 was $4,984 compared to $5,243 used in operations for the first quarter of fiscal 2020, representing an increase in cash provided by operations of $10,277. This increase in operating cash flow is primarily due to higher operating income along with a substantial increase in customer deposits taken against unfilled orders, partially offset by other changes in working capital including increased investment in inventory as we work to fulfill our order backlog.</w:t>
      </w:r>
    </w:p>
    <w:p>
      <w:pPr>
        <w:spacing w:after="0" w:line="19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Our overall cash position decreased by $766 during the first quarter of fiscal 2021, compared to an overall decrease of $7,498 during the first quarter of fiscal 2020, an improvement of $6,732 over the prior year period. Partially offsetting the improvement in cash flows from operations, net cash used in investing activities during the first quarter of 2021 increased $1,112 to a net use of $1,189 compared to a net use of $77 for the prior year period. This increase was primarily due to proceeds from the sale of our closed Gulfport store location included in the first quarter of 2020 partially offset by lower capital expenditures in the current year. Net cash used in financing activities during the first quarter of 2021 increased $2,383 to a net use of $4,561 as compared to a net use of $2,178 for the prior year period, primarily due to a special dividend of $2,479 declared and paid during the first quarter of 2021. Share repurchases totaled $534 during the first quarter of fiscal 2021 as compared to $766 repurchased during the first quarter of fiscal 2020. As of February 27, 2021, $7,897 remains authorized under our existing share repurchase plan. With cash and cash equivalents and short-term investments totaling $62,748 on hand at February 27, 2021, expected future operating cash flows and the availability under our credit line noted below, we believe we have sufficient liquidity to fund operations for the foreseeable future.</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Debt and Other Obligations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bank credit facility provides for a line of credit of up to $25,000. At February 27, 2021, we had $3,181 outstanding under standby letters of credit against our line, leaving availability under our credit line of $21,819. In addition, we have outstanding standby letters of credit with another bank totaling $325. The line bears interest at the rate of LIBOR plus 1.9%, with a fee of 0.25% charged for the unused portion of the line and is secured by a general lien on our accounts receivable and inventory. We were in compliance with all covenants under the agreement as of February 27, 2021 and expect to remain in compliance through the end of fiscal 2021. The credit facility matures on January 31, 2022.</w:t>
      </w:r>
    </w:p>
    <w:p>
      <w:pPr>
        <w:spacing w:after="0" w:line="17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and retail segments. The present value of our obligations for leases with terms in excess of one year at February 27, 2021 is $139,434 and is included in our accompanying condensed consolidated balance sheet at February 27, 2021. We were contingently liable under licensee lease obligation guarantees in the amount of $2,064 at February 27, 2021. Remaining terms under these lease guarantees range from approximately one to three years. See Note 10 to our condensed consolidated financial statements for additional details regarding our lease guarantees.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Investment in Retail Real Estate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a substantial investment in real estate acquired for use as retail locations and occupied by Company-owned retail stores. Such real estate is included in property and equipment, net, in the accompanying condensed consolidated balance sheets and consists of eight properties with an aggregate square footage of 201,096 and a net book value of $17,211 at February 27, 2021.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28, 2020.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utilize stand-by letters of credit in the procurement of certain goods in the normal course of business. In addition, we have guaranteed certain lease obligations of licensee operators for some of their store locations. See Note 10 to our condensed consolidated financial statements for further discussion of lease guarantees, including descriptions of the terms of such commitments and methods used to mitigate risks associated with these arrangements.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9 to our condensed consolidated financial statements for further information regarding certain contingencies as of February 27, 2021.</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 about Market Risk:</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2021.</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exposed to market risk from changes in the cost of raw materials used in our manufacturing processes, principally wood, woven fabric, and foam products. The cost of foam products, which are petroleum-based, is sensitive to changes in the price of oil.</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also exposed to commodity price risk related to diesel fuel prices for fuel used in our logistical services and retail segments. We manage our exposure to that risk primarily through the application of fuel surcharges to our customers.</w:t>
      </w:r>
    </w:p>
    <w:p>
      <w:pPr>
        <w:spacing w:after="0" w:line="170"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have potential exposure to market risk related to conditions in the commercial real estate market. Our retail real estate holdings of $17,211 at February 27, 2021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$2,064 which we have guaranteed on behalf of licensees as of February 27, 2021 we may not be able to secure sufficient sub-lease income in the current market to offset the payments required under the guarantees. We are also exposed to risk related to conditions in the commercial real estate rental market with respect to the right-of-use assets we carry on our balance sheet for leased retail store locations, warehouse and distribution facilities. At February 27, 2021, the unamortized balance of such right-of-use assets totaled $103,257. Should we have to close or otherwise abandon one of these leased locations, we could incur additional impairment charges if rental market conditions do not support a fair value for the right of use asset in excess of its carrying value.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principal executive officer and principal accounting officer have evaluated the Company’s disclosure controls and procedures (as defined in Exchange Act Rule 13a-15(e)) as of the end of the period covered by this Quarterly Report on Form 10-Q. Based upon their evaluation, the principal executive officer and principal accounting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u w:val="single" w:color="auto"/>
          <w:color w:val="auto"/>
        </w:rPr>
        <w:t>PART II - OTHER INFORMATION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stock repurchase activity by or on behalf of the Company or any “affiliated purchaser,” as defined by Rule 10b-18(a)</w:t>
      </w:r>
    </w:p>
    <w:p>
      <w:pPr>
        <w:spacing w:after="0" w:line="46" w:lineRule="exact"/>
        <w:rPr>
          <w:sz w:val="20"/>
          <w:szCs w:val="20"/>
          <w:color w:val="auto"/>
        </w:rPr>
      </w:pPr>
    </w:p>
    <w:p>
      <w:pPr>
        <w:ind w:right="20" w:firstLine="8"/>
        <w:spacing w:after="0" w:line="260" w:lineRule="auto"/>
        <w:tabs>
          <w:tab w:leader="none" w:pos="264" w:val="left"/>
        </w:tabs>
        <w:numPr>
          <w:ilvl w:val="0"/>
          <w:numId w:val="9"/>
        </w:numPr>
        <w:rPr>
          <w:rFonts w:ascii="Arial" w:cs="Arial" w:eastAsia="Arial" w:hAnsi="Arial"/>
          <w:sz w:val="18"/>
          <w:szCs w:val="18"/>
          <w:color w:val="auto"/>
        </w:rPr>
      </w:pPr>
      <w:r>
        <w:rPr>
          <w:rFonts w:ascii="Arial" w:cs="Arial" w:eastAsia="Arial" w:hAnsi="Arial"/>
          <w:sz w:val="18"/>
          <w:szCs w:val="18"/>
          <w:color w:val="auto"/>
        </w:rPr>
        <w:t>of the Exchange Act, for the three months ended February 27, 2021 and the approximate dollar value of shares that may yet be purchased pursuant to our stock repurchase program:</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Total Number of</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Approximate</w:t>
            </w:r>
          </w:p>
        </w:tc>
      </w:tr>
      <w:tr>
        <w:trPr>
          <w:trHeight w:val="216"/>
        </w:trPr>
        <w:tc>
          <w:tcPr>
            <w:tcW w:w="45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3"/>
              </w:rPr>
              <w:t>Shares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Dollar Value of</w:t>
            </w:r>
          </w:p>
        </w:tc>
      </w:tr>
      <w:tr>
        <w:trPr>
          <w:trHeight w:val="216"/>
        </w:trPr>
        <w:tc>
          <w:tcPr>
            <w:tcW w:w="45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Purchased as Part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Shares that May</w:t>
            </w:r>
          </w:p>
        </w:tc>
      </w:tr>
      <w:tr>
        <w:trPr>
          <w:trHeight w:val="216"/>
        </w:trPr>
        <w:tc>
          <w:tcPr>
            <w:tcW w:w="45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2"/>
              </w:rPr>
              <w:t>of</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Yet Be</w:t>
            </w:r>
          </w:p>
        </w:tc>
      </w:tr>
      <w:tr>
        <w:trPr>
          <w:trHeight w:val="216"/>
        </w:trPr>
        <w:tc>
          <w:tcPr>
            <w:tcW w:w="4520" w:type="dxa"/>
            <w:vAlign w:val="bottom"/>
          </w:tcPr>
          <w:p>
            <w:pPr>
              <w:spacing w:after="0"/>
              <w:rPr>
                <w:sz w:val="18"/>
                <w:szCs w:val="18"/>
                <w:color w:val="auto"/>
              </w:rPr>
            </w:pPr>
          </w:p>
        </w:tc>
        <w:tc>
          <w:tcPr>
            <w:tcW w:w="17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Total</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Publicly</w:t>
            </w:r>
          </w:p>
        </w:tc>
        <w:tc>
          <w:tcPr>
            <w:tcW w:w="100" w:type="dxa"/>
            <w:vAlign w:val="bottom"/>
          </w:tcPr>
          <w:p>
            <w:pPr>
              <w:spacing w:after="0"/>
              <w:rPr>
                <w:sz w:val="18"/>
                <w:szCs w:val="18"/>
                <w:color w:val="auto"/>
              </w:rPr>
            </w:pPr>
          </w:p>
        </w:tc>
        <w:tc>
          <w:tcPr>
            <w:tcW w:w="15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Purchased Under</w:t>
            </w:r>
          </w:p>
        </w:tc>
      </w:tr>
      <w:tr>
        <w:trPr>
          <w:trHeight w:val="216"/>
        </w:trPr>
        <w:tc>
          <w:tcPr>
            <w:tcW w:w="4520" w:type="dxa"/>
            <w:vAlign w:val="bottom"/>
          </w:tcPr>
          <w:p>
            <w:pPr>
              <w:spacing w:after="0"/>
              <w:rPr>
                <w:sz w:val="18"/>
                <w:szCs w:val="18"/>
                <w:color w:val="auto"/>
              </w:rPr>
            </w:pPr>
          </w:p>
        </w:tc>
        <w:tc>
          <w:tcPr>
            <w:tcW w:w="17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6"/>
              </w:rPr>
              <w:t>Shares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7"/>
              </w:rPr>
              <w:t>Average</w:t>
            </w: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Announced Plans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the Plans</w:t>
            </w:r>
          </w:p>
        </w:tc>
      </w:tr>
      <w:tr>
        <w:trPr>
          <w:trHeight w:val="234"/>
        </w:trPr>
        <w:tc>
          <w:tcPr>
            <w:tcW w:w="4520" w:type="dxa"/>
            <w:vAlign w:val="bottom"/>
          </w:tcPr>
          <w:p>
            <w:pPr>
              <w:spacing w:after="0"/>
              <w:rPr>
                <w:sz w:val="20"/>
                <w:szCs w:val="20"/>
                <w:color w:val="auto"/>
              </w:rPr>
            </w:pPr>
          </w:p>
        </w:tc>
        <w:tc>
          <w:tcPr>
            <w:tcW w:w="17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Purchased</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1"/>
              </w:rPr>
              <w:t>Price Paid</w:t>
            </w: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or Programs (1)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or Programs (1)</w:t>
            </w:r>
          </w:p>
        </w:tc>
      </w:tr>
      <w:tr>
        <w:trPr>
          <w:trHeight w:val="209"/>
        </w:trPr>
        <w:tc>
          <w:tcPr>
            <w:tcW w:w="452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November 28, 2020 - January 2, 2021</w:t>
            </w: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8,431</w:t>
            </w: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January 3 - January 30, 2021</w:t>
            </w:r>
          </w:p>
        </w:tc>
        <w:tc>
          <w:tcPr>
            <w:tcW w:w="1760" w:type="dxa"/>
            <w:vAlign w:val="bottom"/>
            <w:gridSpan w:val="2"/>
          </w:tcPr>
          <w:p>
            <w:pPr>
              <w:jc w:val="right"/>
              <w:ind w:right="80"/>
              <w:spacing w:after="0"/>
              <w:rPr>
                <w:sz w:val="20"/>
                <w:szCs w:val="20"/>
                <w:color w:val="auto"/>
              </w:rPr>
            </w:pPr>
            <w:r>
              <w:rPr>
                <w:rFonts w:ascii="Arial" w:cs="Arial" w:eastAsia="Arial" w:hAnsi="Arial"/>
                <w:sz w:val="18"/>
                <w:szCs w:val="18"/>
                <w:color w:val="auto"/>
              </w:rPr>
              <w:t>12,850(2)</w:t>
            </w:r>
          </w:p>
        </w:tc>
        <w:tc>
          <w:tcPr>
            <w:tcW w:w="2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20.12</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2,000</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8,391</w:t>
            </w: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January 31 - February 27, 2021</w:t>
            </w:r>
          </w:p>
        </w:tc>
        <w:tc>
          <w:tcPr>
            <w:tcW w:w="1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22,662</w:t>
            </w:r>
          </w:p>
        </w:tc>
        <w:tc>
          <w:tcPr>
            <w:tcW w:w="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21.79</w:t>
            </w: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22,662</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7,897</w:t>
            </w:r>
          </w:p>
        </w:tc>
      </w:tr>
    </w:tbl>
    <w:p>
      <w:pPr>
        <w:spacing w:after="0" w:line="202" w:lineRule="exact"/>
        <w:rPr>
          <w:sz w:val="20"/>
          <w:szCs w:val="20"/>
          <w:color w:val="auto"/>
        </w:rPr>
      </w:pPr>
    </w:p>
    <w:p>
      <w:pPr>
        <w:ind w:left="500" w:right="160" w:hanging="330"/>
        <w:spacing w:after="0" w:line="255"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Company is authorized to repurchase Company stock under a plan which was originally announced in 1998. On October 3, 2018, the Board of Directors increased the remaining limit of the repurchase plan to $20,000. At February 27, 2021 $7,897 remains available for share repurchases under the plan.</w:t>
      </w:r>
    </w:p>
    <w:p>
      <w:pPr>
        <w:spacing w:after="0" w:line="2" w:lineRule="exact"/>
        <w:rPr>
          <w:rFonts w:ascii="Arial" w:cs="Arial" w:eastAsia="Arial" w:hAnsi="Arial"/>
          <w:sz w:val="18"/>
          <w:szCs w:val="18"/>
          <w:color w:val="auto"/>
        </w:rPr>
      </w:pPr>
    </w:p>
    <w:p>
      <w:pPr>
        <w:ind w:left="500" w:hanging="330"/>
        <w:spacing w:after="0"/>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10,850 shares which were tendered by employees to satisfy tax withholding obligations on vested restricted stock.</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rFonts w:ascii="Arial" w:cs="Arial" w:eastAsia="Arial" w:hAnsi="Arial"/>
          <w:sz w:val="18"/>
          <w:szCs w:val="18"/>
          <w:color w:val="auto"/>
        </w:rPr>
      </w:pPr>
    </w:p>
    <w:p>
      <w:pPr>
        <w:ind w:left="340"/>
        <w:spacing w:after="0" w:line="277" w:lineRule="auto"/>
        <w:rPr>
          <w:rFonts w:ascii="Arial" w:cs="Arial" w:eastAsia="Arial" w:hAnsi="Arial"/>
          <w:sz w:val="18"/>
          <w:szCs w:val="18"/>
          <w:color w:val="auto"/>
        </w:rPr>
      </w:pPr>
      <w:r>
        <w:rPr>
          <w:rFonts w:ascii="Arial" w:cs="Arial" w:eastAsia="Arial" w:hAnsi="Arial"/>
          <w:sz w:val="18"/>
          <w:szCs w:val="18"/>
          <w:color w:val="auto"/>
        </w:rPr>
        <w:t>Exhibit 3a – Articles of Incorporation as amended to date are incorporated herein by reference to the Exhibit to Form 10-Q for the fiscal quarter ended February 28, 1994.</w:t>
      </w:r>
    </w:p>
    <w:p>
      <w:pPr>
        <w:spacing w:after="0" w:line="170" w:lineRule="exact"/>
        <w:rPr>
          <w:rFonts w:ascii="Arial" w:cs="Arial" w:eastAsia="Arial" w:hAnsi="Arial"/>
          <w:sz w:val="18"/>
          <w:szCs w:val="18"/>
          <w:color w:val="auto"/>
        </w:rPr>
      </w:pPr>
    </w:p>
    <w:p>
      <w:pPr>
        <w:ind w:left="340"/>
        <w:spacing w:after="0"/>
        <w:rPr>
          <w:rFonts w:ascii="Arial" w:cs="Arial" w:eastAsia="Arial" w:hAnsi="Arial"/>
          <w:sz w:val="17"/>
          <w:szCs w:val="17"/>
          <w:color w:val="auto"/>
        </w:rPr>
      </w:pPr>
      <w:r>
        <w:rPr>
          <w:rFonts w:ascii="Arial" w:cs="Arial" w:eastAsia="Arial" w:hAnsi="Arial"/>
          <w:sz w:val="17"/>
          <w:szCs w:val="17"/>
          <w:color w:val="auto"/>
        </w:rPr>
        <w:t xml:space="preserve">Exhibit 3b – </w:t>
      </w:r>
      <w:hyperlink r:id="rId51">
        <w:r>
          <w:rPr>
            <w:rFonts w:ascii="Arial" w:cs="Arial" w:eastAsia="Arial" w:hAnsi="Arial"/>
            <w:sz w:val="17"/>
            <w:szCs w:val="17"/>
            <w:u w:val="single" w:color="auto"/>
            <w:color w:val="0000EE"/>
          </w:rPr>
          <w:t>By-laws as amended to date are incorporated herein by reference to Exhibit 3 to Form 8-K filed with the SEC on January 19, 2021.</w:t>
        </w:r>
      </w:hyperlink>
    </w:p>
    <w:p>
      <w:pPr>
        <w:spacing w:after="0" w:line="236" w:lineRule="exact"/>
        <w:rPr>
          <w:rFonts w:ascii="Arial" w:cs="Arial" w:eastAsia="Arial" w:hAnsi="Arial"/>
          <w:sz w:val="17"/>
          <w:szCs w:val="17"/>
          <w:color w:val="auto"/>
        </w:rPr>
      </w:pPr>
    </w:p>
    <w:p>
      <w:pPr>
        <w:ind w:left="340"/>
        <w:spacing w:after="0" w:line="277" w:lineRule="auto"/>
        <w:rPr>
          <w:rFonts w:ascii="Arial" w:cs="Arial" w:eastAsia="Arial" w:hAnsi="Arial"/>
          <w:sz w:val="17"/>
          <w:szCs w:val="17"/>
          <w:color w:val="auto"/>
        </w:rPr>
      </w:pPr>
      <w:r>
        <w:rPr>
          <w:rFonts w:ascii="Arial" w:cs="Arial" w:eastAsia="Arial" w:hAnsi="Arial"/>
          <w:sz w:val="18"/>
          <w:szCs w:val="18"/>
          <w:color w:val="auto"/>
        </w:rPr>
        <w:t>Exhibit 4 –Registrant hereby agrees to furnish the SEC, upon request, other instruments defining the rights of holders of long-term debt of the Registrant.</w:t>
      </w:r>
    </w:p>
    <w:p>
      <w:pPr>
        <w:spacing w:after="0" w:line="170" w:lineRule="exact"/>
        <w:rPr>
          <w:rFonts w:ascii="Arial" w:cs="Arial" w:eastAsia="Arial" w:hAnsi="Arial"/>
          <w:sz w:val="17"/>
          <w:szCs w:val="17"/>
          <w:color w:val="auto"/>
        </w:rPr>
      </w:pPr>
    </w:p>
    <w:p>
      <w:pPr>
        <w:jc w:val="both"/>
        <w:ind w:left="340" w:right="2820"/>
        <w:spacing w:after="0" w:line="563" w:lineRule="auto"/>
        <w:rPr>
          <w:rFonts w:ascii="Arial" w:cs="Arial" w:eastAsia="Arial" w:hAnsi="Arial"/>
          <w:sz w:val="16"/>
          <w:szCs w:val="16"/>
          <w:color w:val="auto"/>
        </w:rPr>
      </w:pPr>
      <w:r>
        <w:rPr>
          <w:rFonts w:ascii="Arial" w:cs="Arial" w:eastAsia="Arial" w:hAnsi="Arial"/>
          <w:sz w:val="16"/>
          <w:szCs w:val="16"/>
          <w:color w:val="auto"/>
        </w:rPr>
        <w:t xml:space="preserve">Exhibit 31a – </w:t>
      </w:r>
      <w:hyperlink w:anchor="page33">
        <w:r>
          <w:rPr>
            <w:rFonts w:ascii="Arial" w:cs="Arial" w:eastAsia="Arial" w:hAnsi="Arial"/>
            <w:sz w:val="16"/>
            <w:szCs w:val="16"/>
            <w:u w:val="single" w:color="auto"/>
            <w:color w:val="0000EE"/>
          </w:rPr>
          <w:t>Chief Executive Officer’s certification pursuant to Section 302 of the Sarbanes-Oxley Act of 2002</w:t>
        </w:r>
      </w:hyperlink>
      <w:r>
        <w:rPr>
          <w:rFonts w:ascii="Arial" w:cs="Arial" w:eastAsia="Arial" w:hAnsi="Arial"/>
          <w:sz w:val="16"/>
          <w:szCs w:val="16"/>
          <w:color w:val="auto"/>
        </w:rPr>
        <w:t xml:space="preserve"> Exhibit 31b – </w:t>
      </w:r>
      <w:hyperlink w:anchor="page34">
        <w:r>
          <w:rPr>
            <w:rFonts w:ascii="Arial" w:cs="Arial" w:eastAsia="Arial" w:hAnsi="Arial"/>
            <w:sz w:val="16"/>
            <w:szCs w:val="16"/>
            <w:u w:val="single" w:color="auto"/>
            <w:color w:val="0000EE"/>
          </w:rPr>
          <w:t>Chief Financial Officer’s certification pursuant to Section 302 of the Sarbanes-Oxley Act of 2002</w:t>
        </w:r>
      </w:hyperlink>
    </w:p>
    <w:p>
      <w:pPr>
        <w:spacing w:after="0" w:line="1" w:lineRule="exact"/>
        <w:rPr>
          <w:rFonts w:ascii="Arial" w:cs="Arial" w:eastAsia="Arial" w:hAnsi="Arial"/>
          <w:sz w:val="17"/>
          <w:szCs w:val="17"/>
          <w:color w:val="auto"/>
        </w:rPr>
      </w:pPr>
    </w:p>
    <w:p>
      <w:pPr>
        <w:ind w:left="340" w:right="20"/>
        <w:spacing w:after="0" w:line="277" w:lineRule="auto"/>
        <w:rPr>
          <w:rFonts w:ascii="Arial" w:cs="Arial" w:eastAsia="Arial" w:hAnsi="Arial"/>
          <w:sz w:val="18"/>
          <w:szCs w:val="18"/>
          <w:u w:val="single" w:color="auto"/>
          <w:color w:val="0000EE"/>
        </w:rPr>
      </w:pPr>
      <w:hyperlink w:anchor="page35">
        <w:r>
          <w:rPr>
            <w:rFonts w:ascii="Arial" w:cs="Arial" w:eastAsia="Arial" w:hAnsi="Arial"/>
            <w:sz w:val="18"/>
            <w:szCs w:val="18"/>
            <w:color w:val="auto"/>
          </w:rPr>
          <w:t xml:space="preserve">Exhibit 32a – </w:t>
        </w:r>
        <w:r>
          <w:rPr>
            <w:rFonts w:ascii="Arial" w:cs="Arial" w:eastAsia="Arial" w:hAnsi="Arial"/>
            <w:sz w:val="18"/>
            <w:szCs w:val="18"/>
            <w:u w:val="single" w:color="auto"/>
            <w:color w:val="0000EE"/>
          </w:rPr>
          <w:t>Chief Executive Officer’s certification pursuant to 18 U.S.C. 1350, as adopted pursuant to Section 906 of the Sarbanes-Oxley Act of</w:t>
        </w:r>
      </w:hyperlink>
      <w:r>
        <w:rPr>
          <w:rFonts w:ascii="Arial" w:cs="Arial" w:eastAsia="Arial" w:hAnsi="Arial"/>
          <w:sz w:val="18"/>
          <w:szCs w:val="18"/>
          <w:color w:val="auto"/>
        </w:rPr>
        <w:t xml:space="preserve"> </w:t>
      </w:r>
      <w:hyperlink w:anchor="page35">
        <w:r>
          <w:rPr>
            <w:rFonts w:ascii="Arial" w:cs="Arial" w:eastAsia="Arial" w:hAnsi="Arial"/>
            <w:sz w:val="18"/>
            <w:szCs w:val="18"/>
            <w:u w:val="single" w:color="auto"/>
            <w:color w:val="0000EE"/>
          </w:rPr>
          <w:t>2002</w:t>
        </w:r>
      </w:hyperlink>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0" w:name="page31"/>
    <w:bookmarkEnd w:id="30"/>
    <w:p>
      <w:pPr>
        <w:jc w:val="center"/>
        <w:ind w:right="320"/>
        <w:spacing w:after="0"/>
        <w:rPr>
          <w:sz w:val="20"/>
          <w:szCs w:val="20"/>
          <w:color w:val="auto"/>
        </w:rPr>
      </w:pPr>
      <w:r>
        <w:rPr>
          <w:rFonts w:ascii="Arial" w:cs="Arial" w:eastAsia="Arial" w:hAnsi="Arial"/>
          <w:sz w:val="18"/>
          <w:szCs w:val="18"/>
          <w:u w:val="single" w:color="auto"/>
          <w:color w:val="auto"/>
        </w:rPr>
        <w:t>PART II - OTHER INFORMATION</w:t>
      </w:r>
    </w:p>
    <w:p>
      <w:pPr>
        <w:spacing w:after="0" w:line="23" w:lineRule="exact"/>
        <w:rPr>
          <w:sz w:val="20"/>
          <w:szCs w:val="20"/>
          <w:color w:val="auto"/>
        </w:rPr>
      </w:pPr>
    </w:p>
    <w:p>
      <w:pPr>
        <w:jc w:val="center"/>
        <w:ind w:right="32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320"/>
        <w:spacing w:after="0"/>
        <w:rPr>
          <w:sz w:val="20"/>
          <w:szCs w:val="20"/>
          <w:color w:val="auto"/>
        </w:rPr>
      </w:pPr>
      <w:r>
        <w:rPr>
          <w:rFonts w:ascii="Arial" w:cs="Arial" w:eastAsia="Arial" w:hAnsi="Arial"/>
          <w:sz w:val="18"/>
          <w:szCs w:val="18"/>
          <w:u w:val="single" w:color="auto"/>
          <w:color w:val="auto"/>
        </w:rPr>
        <w:t>FEBRUARY 27, 2021</w:t>
      </w:r>
    </w:p>
    <w:p>
      <w:pPr>
        <w:spacing w:after="0" w:line="9" w:lineRule="exact"/>
        <w:rPr>
          <w:sz w:val="20"/>
          <w:szCs w:val="20"/>
          <w:color w:val="auto"/>
        </w:rPr>
      </w:pPr>
    </w:p>
    <w:p>
      <w:pPr>
        <w:jc w:val="center"/>
        <w:ind w:right="320"/>
        <w:spacing w:after="0"/>
        <w:rPr>
          <w:sz w:val="20"/>
          <w:szCs w:val="20"/>
          <w:color w:val="auto"/>
        </w:rPr>
      </w:pPr>
      <w:r>
        <w:rPr>
          <w:rFonts w:ascii="Arial" w:cs="Arial" w:eastAsia="Arial" w:hAnsi="Arial"/>
          <w:sz w:val="18"/>
          <w:szCs w:val="18"/>
          <w:color w:val="auto"/>
        </w:rPr>
        <w:t>(Dollars in thousands except share and per share data)</w:t>
      </w:r>
    </w:p>
    <w:p>
      <w:pPr>
        <w:spacing w:after="0" w:line="211" w:lineRule="exact"/>
        <w:rPr>
          <w:sz w:val="20"/>
          <w:szCs w:val="20"/>
          <w:color w:val="auto"/>
        </w:rPr>
      </w:pPr>
    </w:p>
    <w:p>
      <w:pPr>
        <w:spacing w:after="0" w:line="277" w:lineRule="auto"/>
        <w:rPr>
          <w:rFonts w:ascii="Arial" w:cs="Arial" w:eastAsia="Arial" w:hAnsi="Arial"/>
          <w:sz w:val="18"/>
          <w:szCs w:val="18"/>
          <w:u w:val="single" w:color="auto"/>
          <w:color w:val="0000EE"/>
        </w:rPr>
      </w:pPr>
      <w:hyperlink w:anchor="page36">
        <w:r>
          <w:rPr>
            <w:rFonts w:ascii="Arial" w:cs="Arial" w:eastAsia="Arial" w:hAnsi="Arial"/>
            <w:sz w:val="18"/>
            <w:szCs w:val="18"/>
            <w:color w:val="auto"/>
          </w:rPr>
          <w:t xml:space="preserve">Exhibit 32b – </w:t>
        </w:r>
        <w:r>
          <w:rPr>
            <w:rFonts w:ascii="Arial" w:cs="Arial" w:eastAsia="Arial" w:hAnsi="Arial"/>
            <w:sz w:val="18"/>
            <w:szCs w:val="18"/>
            <w:u w:val="single" w:color="auto"/>
            <w:color w:val="0000EE"/>
          </w:rPr>
          <w:t>Chief Financial Officer’s certification pursuant to 18 U.S.C. 1350, as adopted pursuant to Section 906 of the Sarbanes-Oxley Act of</w:t>
        </w:r>
      </w:hyperlink>
      <w:r>
        <w:rPr>
          <w:rFonts w:ascii="Arial" w:cs="Arial" w:eastAsia="Arial" w:hAnsi="Arial"/>
          <w:sz w:val="18"/>
          <w:szCs w:val="18"/>
          <w:color w:val="auto"/>
        </w:rPr>
        <w:t xml:space="preserve"> </w:t>
      </w:r>
      <w:hyperlink w:anchor="page36">
        <w:r>
          <w:rPr>
            <w:rFonts w:ascii="Arial" w:cs="Arial" w:eastAsia="Arial" w:hAnsi="Arial"/>
            <w:sz w:val="18"/>
            <w:szCs w:val="18"/>
            <w:u w:val="single" w:color="auto"/>
            <w:color w:val="0000EE"/>
          </w:rPr>
          <w:t>2002</w:t>
        </w:r>
      </w:hyperlink>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Exhibit 101.INS Inline XBRL Instance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101.SCH Inline XBRL Taxonomy Extension Schema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101.CAL Inline XBRL Taxonomy Extension Calculation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101.DEF Inline XBRL Taxonomy Extension Definition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101.LAB Inline XBRL Taxonomy Extension Labels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101.PRE Inline XBRL Taxonomy Extension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104. Cover Page Interactive Data File (formatted as Inline XBRL and contained in Exhibit 101).</w:t>
      </w:r>
    </w:p>
    <w:p>
      <w:pPr>
        <w:spacing w:after="0" w:line="225" w:lineRule="exact"/>
        <w:rPr>
          <w:sz w:val="20"/>
          <w:szCs w:val="20"/>
          <w:color w:val="auto"/>
        </w:rPr>
      </w:pPr>
    </w:p>
    <w:p>
      <w:pPr>
        <w:ind w:left="4980"/>
        <w:spacing w:after="0"/>
        <w:rPr>
          <w:sz w:val="20"/>
          <w:szCs w:val="20"/>
          <w:color w:val="auto"/>
        </w:rPr>
      </w:pPr>
      <w:r>
        <w:rPr>
          <w:rFonts w:ascii="Arial" w:cs="Arial" w:eastAsia="Arial" w:hAnsi="Arial"/>
          <w:sz w:val="18"/>
          <w:szCs w:val="18"/>
          <w:color w:val="auto"/>
        </w:rPr>
        <w:t>31 of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83185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60" w:top="584" w:right="339" w:bottom="1440" w:gutter="0" w:footer="0" w:header="0"/>
        </w:sectPr>
      </w:pPr>
    </w:p>
    <w:bookmarkStart w:id="31" w:name="page32"/>
    <w:bookmarkEnd w:id="31"/>
    <w:p>
      <w:pPr>
        <w:ind w:left="5080"/>
        <w:spacing w:after="0"/>
        <w:rPr>
          <w:sz w:val="20"/>
          <w:szCs w:val="20"/>
          <w:color w:val="auto"/>
        </w:rPr>
      </w:pPr>
      <w:r>
        <w:rPr>
          <w:rFonts w:ascii="Arial" w:cs="Arial" w:eastAsia="Arial" w:hAnsi="Arial"/>
          <w:sz w:val="18"/>
          <w:szCs w:val="18"/>
          <w:u w:val="single" w:color="auto"/>
          <w:color w:val="auto"/>
        </w:rPr>
        <w:t>SIGNATURES</w:t>
      </w:r>
    </w:p>
    <w:p>
      <w:pPr>
        <w:spacing w:after="0" w:line="200" w:lineRule="exact"/>
        <w:rPr>
          <w:sz w:val="20"/>
          <w:szCs w:val="20"/>
          <w:color w:val="auto"/>
        </w:rPr>
      </w:pPr>
    </w:p>
    <w:p>
      <w:pPr>
        <w:spacing w:after="0" w:line="24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40" w:type="dxa"/>
            <w:vAlign w:val="bottom"/>
          </w:tcPr>
          <w:p>
            <w:pPr>
              <w:spacing w:after="0"/>
              <w:rPr>
                <w:sz w:val="20"/>
                <w:szCs w:val="20"/>
                <w:color w:val="auto"/>
              </w:rPr>
            </w:pPr>
            <w:r>
              <w:rPr>
                <w:rFonts w:ascii="Arial" w:cs="Arial" w:eastAsia="Arial" w:hAnsi="Arial"/>
                <w:sz w:val="18"/>
                <w:szCs w:val="18"/>
                <w:color w:val="auto"/>
              </w:rPr>
              <w:t>/s/</w:t>
            </w:r>
          </w:p>
        </w:tc>
        <w:tc>
          <w:tcPr>
            <w:tcW w:w="74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tcPr>
          <w:p>
            <w:pPr>
              <w:jc w:val="center"/>
              <w:ind w:right="650"/>
              <w:spacing w:after="0"/>
              <w:rPr>
                <w:sz w:val="20"/>
                <w:szCs w:val="20"/>
                <w:color w:val="auto"/>
              </w:rPr>
            </w:pPr>
            <w:r>
              <w:rPr>
                <w:rFonts w:ascii="Arial" w:cs="Arial" w:eastAsia="Arial" w:hAnsi="Arial"/>
                <w:sz w:val="18"/>
                <w:szCs w:val="18"/>
                <w:color w:val="auto"/>
                <w:w w:val="94"/>
              </w:rPr>
              <w:t>R</w:t>
            </w:r>
            <w:r>
              <w:rPr>
                <w:rFonts w:ascii="Arial" w:cs="Arial" w:eastAsia="Arial" w:hAnsi="Arial"/>
                <w:sz w:val="12"/>
                <w:szCs w:val="12"/>
                <w:color w:val="auto"/>
                <w:w w:val="94"/>
              </w:rPr>
              <w:t>OBERT</w:t>
            </w:r>
            <w:r>
              <w:rPr>
                <w:rFonts w:ascii="Arial" w:cs="Arial" w:eastAsia="Arial" w:hAnsi="Arial"/>
                <w:sz w:val="18"/>
                <w:szCs w:val="18"/>
                <w:color w:val="auto"/>
                <w:w w:val="94"/>
              </w:rPr>
              <w:t xml:space="preserve"> H. S</w:t>
            </w:r>
            <w:r>
              <w:rPr>
                <w:rFonts w:ascii="Arial" w:cs="Arial" w:eastAsia="Arial" w:hAnsi="Arial"/>
                <w:sz w:val="12"/>
                <w:szCs w:val="12"/>
                <w:color w:val="auto"/>
                <w:w w:val="94"/>
              </w:rPr>
              <w:t>PILMAN</w:t>
            </w:r>
            <w:r>
              <w:rPr>
                <w:rFonts w:ascii="Arial" w:cs="Arial" w:eastAsia="Arial" w:hAnsi="Arial"/>
                <w:sz w:val="18"/>
                <w:szCs w:val="18"/>
                <w:color w:val="auto"/>
                <w:w w:val="94"/>
              </w:rPr>
              <w:t>, J</w:t>
            </w:r>
            <w:r>
              <w:rPr>
                <w:rFonts w:ascii="Arial" w:cs="Arial" w:eastAsia="Arial" w:hAnsi="Arial"/>
                <w:sz w:val="12"/>
                <w:szCs w:val="12"/>
                <w:color w:val="auto"/>
                <w:w w:val="94"/>
              </w:rPr>
              <w:t>R</w:t>
            </w:r>
            <w:r>
              <w:rPr>
                <w:rFonts w:ascii="Arial" w:cs="Arial" w:eastAsia="Arial" w:hAnsi="Arial"/>
                <w:sz w:val="18"/>
                <w:szCs w:val="18"/>
                <w:color w:val="auto"/>
                <w:w w:val="94"/>
              </w:rPr>
              <w:t>.</w:t>
            </w:r>
          </w:p>
        </w:tc>
        <w:tc>
          <w:tcPr>
            <w:tcW w:w="1120" w:type="dxa"/>
            <w:vAlign w:val="bottom"/>
          </w:tcPr>
          <w:p>
            <w:pPr>
              <w:spacing w:after="0"/>
              <w:rPr>
                <w:sz w:val="20"/>
                <w:szCs w:val="20"/>
                <w:color w:val="auto"/>
              </w:rPr>
            </w:pPr>
          </w:p>
        </w:tc>
      </w:tr>
      <w:tr>
        <w:trPr>
          <w:trHeight w:val="195"/>
        </w:trPr>
        <w:tc>
          <w:tcPr>
            <w:tcW w:w="3380" w:type="dxa"/>
            <w:vAlign w:val="bottom"/>
            <w:gridSpan w:val="3"/>
          </w:tcPr>
          <w:p>
            <w:pPr>
              <w:spacing w:after="0" w:line="195" w:lineRule="exact"/>
              <w:rPr>
                <w:sz w:val="20"/>
                <w:szCs w:val="20"/>
                <w:color w:val="auto"/>
              </w:rPr>
            </w:pPr>
            <w:r>
              <w:rPr>
                <w:rFonts w:ascii="Arial" w:cs="Arial" w:eastAsia="Arial" w:hAnsi="Arial"/>
                <w:sz w:val="18"/>
                <w:szCs w:val="18"/>
                <w:color w:val="auto"/>
                <w:w w:val="96"/>
              </w:rPr>
              <w:t>Robert H. Spilman, Jr., Chairman and Chief</w:t>
            </w:r>
          </w:p>
        </w:tc>
        <w:tc>
          <w:tcPr>
            <w:tcW w:w="1120" w:type="dxa"/>
            <w:vAlign w:val="bottom"/>
          </w:tcPr>
          <w:p>
            <w:pPr>
              <w:spacing w:after="0" w:line="195" w:lineRule="exact"/>
              <w:rPr>
                <w:sz w:val="20"/>
                <w:szCs w:val="20"/>
                <w:color w:val="auto"/>
              </w:rPr>
            </w:pPr>
            <w:r>
              <w:rPr>
                <w:rFonts w:ascii="Arial" w:cs="Arial" w:eastAsia="Arial" w:hAnsi="Arial"/>
                <w:sz w:val="18"/>
                <w:szCs w:val="18"/>
                <w:color w:val="auto"/>
                <w:w w:val="80"/>
              </w:rPr>
              <w:t>Executive Officer</w:t>
            </w:r>
          </w:p>
        </w:tc>
      </w:tr>
      <w:tr>
        <w:trPr>
          <w:trHeight w:val="230"/>
        </w:trPr>
        <w:tc>
          <w:tcPr>
            <w:tcW w:w="980" w:type="dxa"/>
            <w:vAlign w:val="bottom"/>
            <w:gridSpan w:val="2"/>
          </w:tcPr>
          <w:p>
            <w:pPr>
              <w:spacing w:after="0"/>
              <w:rPr>
                <w:sz w:val="20"/>
                <w:szCs w:val="20"/>
                <w:color w:val="auto"/>
              </w:rPr>
            </w:pPr>
            <w:r>
              <w:rPr>
                <w:rFonts w:ascii="Arial" w:cs="Arial" w:eastAsia="Arial" w:hAnsi="Arial"/>
                <w:sz w:val="18"/>
                <w:szCs w:val="18"/>
                <w:color w:val="auto"/>
                <w:w w:val="94"/>
              </w:rPr>
              <w:t>April 1, 2021</w:t>
            </w:r>
          </w:p>
        </w:tc>
        <w:tc>
          <w:tcPr>
            <w:tcW w:w="240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648"/>
        </w:trPr>
        <w:tc>
          <w:tcPr>
            <w:tcW w:w="980" w:type="dxa"/>
            <w:vAlign w:val="bottom"/>
            <w:gridSpan w:val="2"/>
          </w:tcPr>
          <w:p>
            <w:pPr>
              <w:spacing w:after="0"/>
              <w:rPr>
                <w:sz w:val="20"/>
                <w:szCs w:val="20"/>
                <w:color w:val="auto"/>
              </w:rPr>
            </w:pPr>
            <w:r>
              <w:rPr>
                <w:rFonts w:ascii="Arial" w:cs="Arial" w:eastAsia="Arial" w:hAnsi="Arial"/>
                <w:sz w:val="18"/>
                <w:szCs w:val="18"/>
                <w:color w:val="auto"/>
              </w:rPr>
              <w:t>/s/</w:t>
            </w:r>
          </w:p>
        </w:tc>
        <w:tc>
          <w:tcPr>
            <w:tcW w:w="3520" w:type="dxa"/>
            <w:vAlign w:val="bottom"/>
            <w:gridSpan w:val="2"/>
          </w:tcPr>
          <w:p>
            <w:pPr>
              <w:jc w:val="center"/>
              <w:ind w:right="1770"/>
              <w:spacing w:after="0"/>
              <w:rPr>
                <w:sz w:val="20"/>
                <w:szCs w:val="20"/>
                <w:color w:val="auto"/>
              </w:rPr>
            </w:pPr>
            <w:r>
              <w:rPr>
                <w:rFonts w:ascii="Arial" w:cs="Arial" w:eastAsia="Arial" w:hAnsi="Arial"/>
                <w:sz w:val="18"/>
                <w:szCs w:val="18"/>
                <w:color w:val="auto"/>
                <w:w w:val="99"/>
              </w:rPr>
              <w:t>J. M</w:t>
            </w:r>
            <w:r>
              <w:rPr>
                <w:rFonts w:ascii="Arial" w:cs="Arial" w:eastAsia="Arial" w:hAnsi="Arial"/>
                <w:sz w:val="12"/>
                <w:szCs w:val="12"/>
                <w:color w:val="auto"/>
                <w:w w:val="99"/>
              </w:rPr>
              <w:t>ICHAEL</w:t>
            </w:r>
            <w:r>
              <w:rPr>
                <w:rFonts w:ascii="Arial" w:cs="Arial" w:eastAsia="Arial" w:hAnsi="Arial"/>
                <w:sz w:val="18"/>
                <w:szCs w:val="18"/>
                <w:color w:val="auto"/>
                <w:w w:val="99"/>
              </w:rPr>
              <w:t xml:space="preserve"> D</w:t>
            </w:r>
            <w:r>
              <w:rPr>
                <w:rFonts w:ascii="Arial" w:cs="Arial" w:eastAsia="Arial" w:hAnsi="Arial"/>
                <w:sz w:val="12"/>
                <w:szCs w:val="12"/>
                <w:color w:val="auto"/>
                <w:w w:val="99"/>
              </w:rPr>
              <w:t>ANIEL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0</wp:posOffset>
            </wp:positionV>
            <wp:extent cx="199707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J. Michael Daniel, Senior Vice President and Chief Financial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1, 2021</w:t>
      </w:r>
    </w:p>
    <w:p>
      <w:pPr>
        <w:spacing w:after="0" w:line="211" w:lineRule="exact"/>
        <w:rPr>
          <w:sz w:val="20"/>
          <w:szCs w:val="20"/>
          <w:color w:val="auto"/>
        </w:rPr>
      </w:pPr>
    </w:p>
    <w:p>
      <w:pPr>
        <w:ind w:left="5320"/>
        <w:spacing w:after="0"/>
        <w:rPr>
          <w:sz w:val="20"/>
          <w:szCs w:val="20"/>
          <w:color w:val="auto"/>
        </w:rPr>
      </w:pPr>
      <w:r>
        <w:rPr>
          <w:rFonts w:ascii="Arial" w:cs="Arial" w:eastAsia="Arial" w:hAnsi="Arial"/>
          <w:sz w:val="18"/>
          <w:szCs w:val="18"/>
          <w:color w:val="auto"/>
        </w:rPr>
        <w:t>32 of 32</w:t>
      </w:r>
    </w:p>
    <w:p>
      <w:pPr>
        <w:sectPr>
          <w:pgSz w:w="11900" w:h="16838" w:orient="portrait"/>
          <w:cols w:equalWidth="0" w:num="1">
            <w:col w:w="10400"/>
          </w:cols>
          <w:pgMar w:left="320" w:top="584" w:right="117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color w:val="auto"/>
        </w:rPr>
        <w:t>Exhibit 31a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5" w:lineRule="exact"/>
        <w:rPr>
          <w:rFonts w:ascii="Arial" w:cs="Arial" w:eastAsia="Arial" w:hAnsi="Arial"/>
          <w:sz w:val="18"/>
          <w:szCs w:val="18"/>
          <w:color w:val="auto"/>
        </w:rPr>
      </w:pPr>
    </w:p>
    <w:p>
      <w:pPr>
        <w:jc w:val="both"/>
        <w:ind w:left="340" w:right="440" w:hanging="332"/>
        <w:spacing w:after="0" w:line="263"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340" w:right="400" w:hanging="332"/>
        <w:spacing w:after="0" w:line="308"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20" w:hanging="332"/>
        <w:spacing w:after="0" w:line="263"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ind w:left="660" w:right="380" w:hanging="328"/>
        <w:spacing w:after="0" w:line="263"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left="660" w:right="60" w:hanging="328"/>
        <w:spacing w:after="0" w:line="263"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jc w:val="both"/>
        <w:ind w:left="660" w:right="860" w:hanging="328"/>
        <w:spacing w:after="0" w:line="342" w:lineRule="auto"/>
        <w:tabs>
          <w:tab w:leader="none" w:pos="660" w:val="left"/>
        </w:tabs>
        <w:numPr>
          <w:ilvl w:val="1"/>
          <w:numId w:val="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660" w:right="80" w:hanging="328"/>
        <w:spacing w:after="0" w:line="263"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right="140" w:hanging="332"/>
        <w:spacing w:after="0" w:line="308"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right="280" w:hanging="328"/>
        <w:spacing w:after="0" w:line="277"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right="240" w:hanging="328"/>
        <w:spacing w:after="0" w:line="277"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April 1, 2021</w:t>
      </w:r>
    </w:p>
    <w:p>
      <w:pPr>
        <w:spacing w:after="0" w:line="200" w:lineRule="exact"/>
        <w:rPr>
          <w:sz w:val="20"/>
          <w:szCs w:val="20"/>
          <w:color w:val="auto"/>
        </w:rPr>
      </w:pPr>
    </w:p>
    <w:p>
      <w:pPr>
        <w:spacing w:after="0" w:line="24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14605</wp:posOffset>
            </wp:positionV>
            <wp:extent cx="199707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extLst>
                    </a:blip>
                    <a:srcRect/>
                    <a:stretch>
                      <a:fillRect/>
                    </a:stretch>
                  </pic:blipFill>
                  <pic:spPr bwMode="auto">
                    <a:xfrm>
                      <a:off x="0" y="0"/>
                      <a:ext cx="199707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 Chairman and Chief Executive Officer</w:t>
      </w:r>
    </w:p>
    <w:p>
      <w:pPr>
        <w:sectPr>
          <w:pgSz w:w="11900" w:h="16838" w:orient="portrait"/>
          <w:cols w:equalWidth="0" w:num="1">
            <w:col w:w="11240"/>
          </w:cols>
          <w:pgMar w:left="320" w:top="341" w:right="3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color w:val="auto"/>
        </w:rPr>
        <w:t>Exhibit 31b</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5" w:lineRule="exact"/>
        <w:rPr>
          <w:rFonts w:ascii="Arial" w:cs="Arial" w:eastAsia="Arial" w:hAnsi="Arial"/>
          <w:sz w:val="18"/>
          <w:szCs w:val="18"/>
          <w:color w:val="auto"/>
        </w:rPr>
      </w:pPr>
    </w:p>
    <w:p>
      <w:pPr>
        <w:jc w:val="both"/>
        <w:ind w:left="340" w:right="440" w:hanging="332"/>
        <w:spacing w:after="0" w:line="263"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340" w:right="400" w:hanging="332"/>
        <w:spacing w:after="0" w:line="308" w:lineRule="auto"/>
        <w:tabs>
          <w:tab w:leader="none" w:pos="3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20" w:hanging="332"/>
        <w:spacing w:after="0" w:line="263"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ind w:left="660" w:right="380" w:hanging="328"/>
        <w:spacing w:after="0" w:line="263" w:lineRule="auto"/>
        <w:tabs>
          <w:tab w:leader="none" w:pos="6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left="660" w:right="60" w:hanging="328"/>
        <w:spacing w:after="0" w:line="263" w:lineRule="auto"/>
        <w:tabs>
          <w:tab w:leader="none" w:pos="6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jc w:val="both"/>
        <w:ind w:left="660" w:right="860" w:hanging="328"/>
        <w:spacing w:after="0" w:line="342" w:lineRule="auto"/>
        <w:tabs>
          <w:tab w:leader="none" w:pos="660" w:val="left"/>
        </w:tabs>
        <w:numPr>
          <w:ilvl w:val="1"/>
          <w:numId w:val="1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660" w:right="80" w:hanging="328"/>
        <w:spacing w:after="0" w:line="263" w:lineRule="auto"/>
        <w:tabs>
          <w:tab w:leader="none" w:pos="6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right="140" w:hanging="332"/>
        <w:spacing w:after="0" w:line="308" w:lineRule="auto"/>
        <w:tabs>
          <w:tab w:leader="none" w:pos="3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right="280" w:hanging="328"/>
        <w:spacing w:after="0" w:line="277" w:lineRule="auto"/>
        <w:tabs>
          <w:tab w:leader="none" w:pos="6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right="240" w:hanging="328"/>
        <w:spacing w:after="0" w:line="277" w:lineRule="auto"/>
        <w:tabs>
          <w:tab w:leader="none" w:pos="6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April 1, 2021</w:t>
      </w:r>
    </w:p>
    <w:p>
      <w:pPr>
        <w:spacing w:after="0" w:line="200" w:lineRule="exact"/>
        <w:rPr>
          <w:sz w:val="20"/>
          <w:szCs w:val="20"/>
          <w:color w:val="auto"/>
        </w:rPr>
      </w:pPr>
    </w:p>
    <w:p>
      <w:pPr>
        <w:spacing w:after="0" w:line="241"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14605</wp:posOffset>
            </wp:positionV>
            <wp:extent cx="199707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 Senior Vice President and Chief Financial Officer</w:t>
      </w:r>
    </w:p>
    <w:p>
      <w:pPr>
        <w:sectPr>
          <w:pgSz w:w="11900" w:h="16838" w:orient="portrait"/>
          <w:cols w:equalWidth="0" w:num="1">
            <w:col w:w="11240"/>
          </w:cols>
          <w:pgMar w:left="320" w:top="341" w:right="3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color w:val="auto"/>
        </w:rPr>
        <w:t>Exhibit 32a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In connection with the Quarterly Report of Bassett Furniture Industries, Incorporated (the “Company”) on Form 10-Q for the period ending February 27, 2021,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65"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52" w:lineRule="exact"/>
        <w:rPr>
          <w:rFonts w:ascii="Arial" w:cs="Arial" w:eastAsia="Arial" w:hAnsi="Arial"/>
          <w:sz w:val="18"/>
          <w:szCs w:val="18"/>
          <w:color w:val="auto"/>
        </w:rPr>
      </w:pPr>
    </w:p>
    <w:p>
      <w:pPr>
        <w:ind w:right="140" w:firstLine="332"/>
        <w:spacing w:after="0" w:line="559" w:lineRule="auto"/>
        <w:tabs>
          <w:tab w:leader="none" w:pos="64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April 1, 2021</w:t>
      </w:r>
    </w:p>
    <w:p>
      <w:pPr>
        <w:spacing w:after="0" w:line="143"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14605</wp:posOffset>
            </wp:positionV>
            <wp:extent cx="199707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Chairman and Chief Executive Officer</w:t>
      </w:r>
    </w:p>
    <w:p>
      <w:pPr>
        <w:spacing w:after="0" w:line="200" w:lineRule="exact"/>
        <w:rPr>
          <w:sz w:val="20"/>
          <w:szCs w:val="20"/>
          <w:color w:val="auto"/>
        </w:rPr>
      </w:pPr>
    </w:p>
    <w:p>
      <w:pPr>
        <w:spacing w:after="0" w:line="227"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240"/>
          </w:cols>
          <w:pgMar w:left="320" w:top="341" w:right="33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color w:val="auto"/>
        </w:rPr>
        <w:t>Exhibit 32b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In connection with the Quarterly Report of Bassett Furniture Industries, Incorporated (the “Company”) on Form 10-Q for the period ending February 27, 2021, as filed with the Securities and Exchange Commission on the date hereof (the “Report”), I, J. Michael Daniel, Chief Accounting Officer of the Company, certify, pursuant to 18 U.S.C. ss.1350, as adopted pursuant to ss.906 of the Sarbanes-Oxley Act of 2002, that:</w:t>
      </w:r>
    </w:p>
    <w:p>
      <w:pPr>
        <w:spacing w:after="0" w:line="165" w:lineRule="exact"/>
        <w:rPr>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right="140" w:firstLine="332"/>
        <w:spacing w:after="0" w:line="527" w:lineRule="auto"/>
        <w:tabs>
          <w:tab w:leader="none" w:pos="648"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April 1, 2021</w:t>
      </w:r>
    </w:p>
    <w:p>
      <w:pPr>
        <w:spacing w:after="0" w:line="171"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14605</wp:posOffset>
            </wp:positionV>
            <wp:extent cx="199707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240"/>
      </w:cols>
      <w:pgMar w:left="320" w:top="34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5E146"/>
    <w:multiLevelType w:val="hybridMultilevel"/>
    <w:lvl w:ilvl="0">
      <w:lvlJc w:val="left"/>
      <w:lvlText w:val="☒"/>
      <w:numFmt w:val="bullet"/>
      <w:start w:val="1"/>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1."/>
      <w:numFmt w:val="decimal"/>
      <w:start w:val="1"/>
    </w:lvl>
  </w:abstractNum>
  <w:abstractNum w:abstractNumId="3">
    <w:nsid w:val="12200854"/>
    <w:multiLevelType w:val="hybridMultilevel"/>
    <w:lvl w:ilvl="0">
      <w:lvlJc w:val="left"/>
      <w:lvlText w:val="$"/>
      <w:numFmt w:val="bullet"/>
      <w:start w:val="1"/>
    </w:lvl>
  </w:abstractNum>
  <w:abstractNum w:abstractNumId="4">
    <w:nsid w:val="4DB127F8"/>
    <w:multiLevelType w:val="hybridMultilevel"/>
    <w:lvl w:ilvl="0">
      <w:lvlJc w:val="left"/>
      <w:lvlText w:val="$"/>
      <w:numFmt w:val="bullet"/>
      <w:start w:val="1"/>
    </w:lvl>
  </w:abstractNum>
  <w:abstractNum w:abstractNumId="5">
    <w:nsid w:val="216231B"/>
    <w:multiLevelType w:val="hybridMultilevel"/>
    <w:lvl w:ilvl="0">
      <w:lvlJc w:val="left"/>
      <w:lvlText w:val="●"/>
      <w:numFmt w:val="bullet"/>
      <w:start w:val="1"/>
    </w:lvl>
  </w:abstractNum>
  <w:abstractNum w:abstractNumId="6">
    <w:nsid w:val="1F16E9E8"/>
    <w:multiLevelType w:val="hybridMultilevel"/>
    <w:lvl w:ilvl="0">
      <w:lvlJc w:val="left"/>
      <w:lvlText w:val="•"/>
      <w:numFmt w:val="bullet"/>
      <w:start w:val="1"/>
    </w:lvl>
  </w:abstractNum>
  <w:abstractNum w:abstractNumId="7">
    <w:nsid w:val="1190CDE7"/>
    <w:multiLevelType w:val="hybridMultilevel"/>
    <w:lvl w:ilvl="0">
      <w:lvlJc w:val="left"/>
      <w:lvlText w:val="(%1)"/>
      <w:numFmt w:val="decimal"/>
      <w:start w:val="1"/>
    </w:lvl>
  </w:abstractNum>
  <w:abstractNum w:abstractNumId="8">
    <w:nsid w:val="66EF438D"/>
    <w:multiLevelType w:val="hybridMultilevel"/>
    <w:lvl w:ilvl="0">
      <w:lvlJc w:val="left"/>
      <w:lvlText w:val="(%1)"/>
      <w:numFmt w:val="decimal"/>
      <w:start w:val="3"/>
    </w:lvl>
  </w:abstractNum>
  <w:abstractNum w:abstractNumId="9">
    <w:nsid w:val="140E0F76"/>
    <w:multiLevelType w:val="hybridMultilevel"/>
    <w:lvl w:ilvl="0">
      <w:lvlJc w:val="left"/>
      <w:lvlText w:val="(%1)"/>
      <w:numFmt w:val="decimal"/>
      <w:start w:val="1"/>
    </w:lvl>
  </w:abstractNum>
  <w:abstractNum w:abstractNumId="10">
    <w:nsid w:val="3352255A"/>
    <w:multiLevelType w:val="hybridMultilevel"/>
    <w:lvl w:ilvl="0">
      <w:lvlJc w:val="left"/>
      <w:lvlText w:val="%1."/>
      <w:numFmt w:val="lowerLetter"/>
      <w:start w:val="1"/>
    </w:lvl>
  </w:abstractNum>
  <w:abstractNum w:abstractNumId="11">
    <w:nsid w:val="109CF92E"/>
    <w:multiLevelType w:val="hybridMultilevel"/>
    <w:lvl w:ilvl="0">
      <w:lvlJc w:val="left"/>
      <w:lvlText w:val="%1."/>
      <w:numFmt w:val="decimal"/>
      <w:start w:val="1"/>
    </w:lvl>
    <w:lvl w:ilvl="1">
      <w:lvlJc w:val="left"/>
      <w:lvlText w:val="%2)"/>
      <w:numFmt w:val="lowerLetter"/>
      <w:start w:val="1"/>
    </w:lvl>
  </w:abstractNum>
  <w:abstractNum w:abstractNumId="12">
    <w:nsid w:val="DED7263"/>
    <w:multiLevelType w:val="hybridMultilevel"/>
    <w:lvl w:ilvl="0">
      <w:lvlJc w:val="left"/>
      <w:lvlText w:val="%1."/>
      <w:numFmt w:val="decimal"/>
      <w:start w:val="1"/>
    </w:lvl>
    <w:lvl w:ilvl="1">
      <w:lvlJc w:val="left"/>
      <w:lvlText w:val="%2)"/>
      <w:numFmt w:val="lowerLetter"/>
      <w:start w:val="1"/>
    </w:lvl>
  </w:abstractNum>
  <w:abstractNum w:abstractNumId="13">
    <w:nsid w:val="7FDCC233"/>
    <w:multiLevelType w:val="hybridMultilevel"/>
    <w:lvl w:ilvl="0">
      <w:lvlJc w:val="left"/>
      <w:lvlText w:val="%1."/>
      <w:numFmt w:val="decimal"/>
      <w:start w:val="1"/>
    </w:lvl>
  </w:abstractNum>
  <w:abstractNum w:abstractNumId="14">
    <w:nsid w:val="1BEFD79F"/>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1" Type="http://schemas.openxmlformats.org/officeDocument/2006/relationships/hyperlink" Target="http://www.sec.gov/Archives/edgar/data/0000010329/000143774921000856/ex_22125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2021-04-01T08:32:12Z</dcterms:created>
  <dcterms:modified xsi:type="dcterms:W3CDTF">2021-04-01T08:32:12Z</dcterms:modified>
</cp:coreProperties>
</file>