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247" w:lineRule="exact"/>
        <w:rPr>
          <w:sz w:val="24"/>
          <w:szCs w:val="24"/>
          <w:color w:val="auto"/>
        </w:rPr>
      </w:pPr>
    </w:p>
    <w:p>
      <w:pPr>
        <w:ind w:left="3380" w:right="2260" w:hanging="1104"/>
        <w:spacing w:after="0" w:line="262" w:lineRule="auto"/>
        <w:tabs>
          <w:tab w:leader="none" w:pos="251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 the quarterly period ended May 31, 2025</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OR</w:t>
      </w:r>
    </w:p>
    <w:p>
      <w:pPr>
        <w:spacing w:after="0" w:line="243" w:lineRule="exact"/>
        <w:rPr>
          <w:sz w:val="24"/>
          <w:szCs w:val="24"/>
          <w:color w:val="auto"/>
        </w:rPr>
      </w:pPr>
    </w:p>
    <w:p>
      <w:pPr>
        <w:ind w:left="3380" w:right="2260" w:hanging="1112"/>
        <w:spacing w:after="0" w:line="262" w:lineRule="auto"/>
        <w:tabs>
          <w:tab w:leader="none" w:pos="2502"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63" w:lineRule="exact"/>
        <w:rPr>
          <w:sz w:val="24"/>
          <w:szCs w:val="24"/>
          <w:color w:val="auto"/>
        </w:rPr>
      </w:pPr>
    </w:p>
    <w:p>
      <w:pPr>
        <w:ind w:left="2080"/>
        <w:spacing w:after="0"/>
        <w:rPr>
          <w:sz w:val="20"/>
          <w:szCs w:val="20"/>
          <w:color w:val="auto"/>
        </w:rPr>
      </w:pPr>
      <w:r>
        <w:rPr>
          <w:rFonts w:ascii="Times New Roman" w:cs="Times New Roman" w:eastAsia="Times New Roman" w:hAnsi="Times New Roman"/>
          <w:sz w:val="18"/>
          <w:szCs w:val="18"/>
          <w:color w:val="auto"/>
        </w:rPr>
        <w:t>For the transition period from _____________________________ to _______________________</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No. 000-00209</w:t>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BASSETT FURNITURE INDUSTRIES, INCORPORATED</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5" w:lineRule="exact"/>
        <w:rPr>
          <w:sz w:val="24"/>
          <w:szCs w:val="24"/>
          <w:color w:val="auto"/>
        </w:rPr>
      </w:pPr>
    </w:p>
    <w:tbl>
      <w:tblPr>
        <w:tblLayout w:type="fixed"/>
        <w:tblInd w:w="1700" w:type="dxa"/>
        <w:tblCellMar>
          <w:top w:w="0" w:type="dxa"/>
          <w:left w:w="0" w:type="dxa"/>
          <w:bottom w:w="0" w:type="dxa"/>
          <w:right w:w="0" w:type="dxa"/>
        </w:tblCellMar>
      </w:tblPr>
      <w:tr>
        <w:trPr>
          <w:trHeight w:val="234"/>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Virginia</w:t>
            </w:r>
          </w:p>
        </w:tc>
        <w:tc>
          <w:tcPr>
            <w:tcW w:w="5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54-0135270</w:t>
            </w:r>
          </w:p>
        </w:tc>
      </w:tr>
      <w:tr>
        <w:trPr>
          <w:trHeight w:val="191"/>
        </w:trPr>
        <w:tc>
          <w:tcPr>
            <w:tcW w:w="26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620" w:type="dxa"/>
            <w:vAlign w:val="bottom"/>
          </w:tcPr>
          <w:p>
            <w:pPr>
              <w:spacing w:after="0"/>
              <w:rPr>
                <w:sz w:val="16"/>
                <w:szCs w:val="16"/>
                <w:color w:val="auto"/>
              </w:rPr>
            </w:pPr>
          </w:p>
        </w:tc>
        <w:tc>
          <w:tcPr>
            <w:tcW w:w="26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of incorporation or organization)</w:t>
            </w:r>
          </w:p>
        </w:tc>
        <w:tc>
          <w:tcPr>
            <w:tcW w:w="2620" w:type="dxa"/>
            <w:vAlign w:val="bottom"/>
          </w:tcPr>
          <w:p>
            <w:pPr>
              <w:spacing w:after="0"/>
              <w:rPr>
                <w:sz w:val="20"/>
                <w:szCs w:val="20"/>
                <w:color w:val="auto"/>
              </w:rPr>
            </w:pP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Identification No.)</w:t>
            </w:r>
          </w:p>
        </w:tc>
      </w:tr>
    </w:tbl>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3525 Fairystone Park Highway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Bassett, Virginia 24055</w:t>
      </w: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(Zip Code)</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(276) 629-6000</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4400" w:type="dxa"/>
            <w:vAlign w:val="bottom"/>
            <w:gridSpan w:val="5"/>
          </w:tcPr>
          <w:p>
            <w:pPr>
              <w:jc w:val="center"/>
              <w:ind w:left="10"/>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c>
          <w:tcPr>
            <w:tcW w:w="3460" w:type="dxa"/>
            <w:vAlign w:val="bottom"/>
          </w:tcPr>
          <w:p>
            <w:pPr>
              <w:spacing w:after="0"/>
              <w:rPr>
                <w:sz w:val="20"/>
                <w:szCs w:val="20"/>
                <w:color w:val="auto"/>
              </w:rPr>
            </w:pPr>
          </w:p>
        </w:tc>
      </w:tr>
      <w:tr>
        <w:trPr>
          <w:trHeight w:val="432"/>
        </w:trPr>
        <w:tc>
          <w:tcPr>
            <w:tcW w:w="338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20" w:type="dxa"/>
            <w:vAlign w:val="bottom"/>
            <w:gridSpan w:val="3"/>
          </w:tcPr>
          <w:p>
            <w:pPr>
              <w:jc w:val="center"/>
              <w:ind w:right="840"/>
              <w:spacing w:after="0"/>
              <w:rPr>
                <w:sz w:val="20"/>
                <w:szCs w:val="20"/>
                <w:color w:val="auto"/>
              </w:rPr>
            </w:pPr>
            <w:r>
              <w:rPr>
                <w:rFonts w:ascii="Times New Roman" w:cs="Times New Roman" w:eastAsia="Times New Roman" w:hAnsi="Times New Roman"/>
                <w:sz w:val="18"/>
                <w:szCs w:val="18"/>
                <w:color w:val="auto"/>
              </w:rPr>
              <w:t>Trading Symbol</w:t>
            </w:r>
          </w:p>
        </w:tc>
        <w:tc>
          <w:tcPr>
            <w:tcW w:w="346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Name of exchange on which registered</w:t>
            </w:r>
          </w:p>
        </w:tc>
      </w:tr>
      <w:tr>
        <w:trPr>
          <w:trHeight w:val="228"/>
        </w:trPr>
        <w:tc>
          <w:tcPr>
            <w:tcW w:w="3380" w:type="dxa"/>
            <w:vAlign w:val="bottom"/>
            <w:tcBorders>
              <w:top w:val="single" w:sz="8" w:color="auto"/>
            </w:tcBorders>
          </w:tcPr>
          <w:p>
            <w:pPr>
              <w:jc w:val="center"/>
              <w:ind w:left="570"/>
              <w:spacing w:after="0"/>
              <w:rPr>
                <w:sz w:val="20"/>
                <w:szCs w:val="20"/>
                <w:color w:val="auto"/>
              </w:rPr>
            </w:pPr>
            <w:r>
              <w:rPr>
                <w:rFonts w:ascii="Times New Roman" w:cs="Times New Roman" w:eastAsia="Times New Roman" w:hAnsi="Times New Roman"/>
                <w:sz w:val="18"/>
                <w:szCs w:val="18"/>
                <w:color w:val="auto"/>
                <w:w w:val="99"/>
              </w:rPr>
              <w:t>Common Stock ($5.00 par value)</w:t>
            </w:r>
          </w:p>
        </w:tc>
        <w:tc>
          <w:tcPr>
            <w:tcW w:w="6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BSET</w:t>
            </w:r>
          </w:p>
        </w:tc>
        <w:tc>
          <w:tcPr>
            <w:tcW w:w="32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3460" w:type="dxa"/>
            <w:vAlign w:val="bottom"/>
            <w:tcBorders>
              <w:top w:val="single" w:sz="8" w:color="auto"/>
            </w:tcBorders>
          </w:tcPr>
          <w:p>
            <w:pPr>
              <w:jc w:val="center"/>
              <w:ind w:right="430"/>
              <w:spacing w:after="0"/>
              <w:rPr>
                <w:sz w:val="20"/>
                <w:szCs w:val="20"/>
                <w:color w:val="auto"/>
              </w:rPr>
            </w:pPr>
            <w:r>
              <w:rPr>
                <w:rFonts w:ascii="Times New Roman" w:cs="Times New Roman" w:eastAsia="Times New Roman" w:hAnsi="Times New Roman"/>
                <w:sz w:val="18"/>
                <w:szCs w:val="18"/>
                <w:color w:val="auto"/>
                <w:w w:val="98"/>
              </w:rPr>
              <w:t>NASDAQ</w:t>
            </w:r>
          </w:p>
        </w:tc>
      </w:tr>
    </w:tbl>
    <w:p>
      <w:pPr>
        <w:spacing w:after="0" w:line="179"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040" w:type="dxa"/>
            <w:vAlign w:val="bottom"/>
          </w:tcPr>
          <w:p>
            <w:pPr>
              <w:ind w:left="800"/>
              <w:spacing w:after="0" w:line="181" w:lineRule="exact"/>
              <w:rPr>
                <w:sz w:val="20"/>
                <w:szCs w:val="20"/>
                <w:color w:val="auto"/>
              </w:rPr>
            </w:pPr>
            <w:r>
              <w:rPr>
                <w:rFonts w:ascii="MS PGothic" w:cs="MS PGothic" w:eastAsia="MS PGothic" w:hAnsi="MS PGothic"/>
                <w:sz w:val="18"/>
                <w:szCs w:val="18"/>
                <w:color w:val="auto"/>
              </w:rPr>
              <w:t>☐</w:t>
            </w:r>
          </w:p>
        </w:tc>
        <w:tc>
          <w:tcPr>
            <w:tcW w:w="41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Accelerated Filer</w:t>
            </w:r>
          </w:p>
        </w:tc>
        <w:tc>
          <w:tcPr>
            <w:tcW w:w="1200" w:type="dxa"/>
            <w:vAlign w:val="bottom"/>
          </w:tcPr>
          <w:p>
            <w:pPr>
              <w:ind w:left="10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040" w:type="dxa"/>
            <w:vAlign w:val="bottom"/>
          </w:tcPr>
          <w:p>
            <w:pPr>
              <w:ind w:left="800"/>
              <w:spacing w:after="0" w:line="181" w:lineRule="exact"/>
              <w:rPr>
                <w:sz w:val="20"/>
                <w:szCs w:val="20"/>
                <w:color w:val="auto"/>
              </w:rPr>
            </w:pPr>
            <w:r>
              <w:rPr>
                <w:rFonts w:ascii="MS PGothic" w:cs="MS PGothic" w:eastAsia="MS PGothic" w:hAnsi="MS PGothic"/>
                <w:sz w:val="18"/>
                <w:szCs w:val="18"/>
                <w:color w:val="auto"/>
              </w:rPr>
              <w:t>☐</w:t>
            </w:r>
          </w:p>
        </w:tc>
        <w:tc>
          <w:tcPr>
            <w:tcW w:w="41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200" w:type="dxa"/>
            <w:vAlign w:val="bottom"/>
          </w:tcPr>
          <w:p>
            <w:pPr>
              <w:ind w:left="10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5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41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Emerging Growth Company</w:t>
            </w:r>
          </w:p>
        </w:tc>
        <w:tc>
          <w:tcPr>
            <w:tcW w:w="1200" w:type="dxa"/>
            <w:vAlign w:val="bottom"/>
          </w:tcPr>
          <w:p>
            <w:pPr>
              <w:ind w:left="10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 July 3, 2025 8,689,582 shares of common stock of the Registrant were outstanding.</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 of 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color w:val="auto"/>
        </w:rPr>
        <w:t>BASSETT FURNITURE INDUSTRIES, INCORPORATED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25" w:lineRule="exact"/>
        <w:rPr>
          <w:sz w:val="20"/>
          <w:szCs w:val="20"/>
          <w:color w:val="auto"/>
        </w:rPr>
      </w:pPr>
    </w:p>
    <w:p>
      <w:pPr>
        <w:spacing w:after="0"/>
        <w:tabs>
          <w:tab w:leader="none" w:pos="10660" w:val="left"/>
        </w:tabs>
        <w:rPr>
          <w:sz w:val="20"/>
          <w:szCs w:val="20"/>
          <w:color w:val="auto"/>
        </w:rPr>
      </w:pPr>
      <w:r>
        <w:rPr>
          <w:rFonts w:ascii="Times New Roman" w:cs="Times New Roman" w:eastAsia="Times New Roman" w:hAnsi="Times New Roman"/>
          <w:sz w:val="18"/>
          <w:szCs w:val="18"/>
          <w:color w:val="auto"/>
        </w:rPr>
        <w:t>ITEM</w:t>
      </w:r>
      <w:r>
        <w:rPr>
          <w:sz w:val="20"/>
          <w:szCs w:val="20"/>
          <w:color w:val="auto"/>
        </w:rPr>
        <w:tab/>
      </w:r>
      <w:r>
        <w:rPr>
          <w:rFonts w:ascii="Times New Roman" w:cs="Times New Roman" w:eastAsia="Times New Roman" w:hAnsi="Times New Roman"/>
          <w:sz w:val="18"/>
          <w:szCs w:val="18"/>
          <w:color w:val="auto"/>
        </w:rPr>
        <w:t>PAGE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PART I -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left="340" w:right="24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Condensed Consolidated Financial Statements as of May 31, 2025 (unaudited) and November 30, 2024 and for the three and six months ended May 31, 2025 (unaudited) and June 1, 2024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274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 w:type="dxa"/>
            <w:vAlign w:val="bottom"/>
            <w:shd w:val="clear" w:color="auto" w:fill="CCEEFF"/>
          </w:tcPr>
          <w:p>
            <w:pPr>
              <w:spacing w:after="0"/>
              <w:rPr>
                <w:sz w:val="18"/>
                <w:szCs w:val="18"/>
                <w:color w:val="auto"/>
              </w:rPr>
            </w:pPr>
          </w:p>
        </w:tc>
        <w:tc>
          <w:tcPr>
            <w:tcW w:w="8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Condensed Consolidated Statements of Operations</w:t>
            </w:r>
          </w:p>
        </w:tc>
        <w:tc>
          <w:tcPr>
            <w:tcW w:w="218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24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240" w:type="dxa"/>
            <w:vAlign w:val="bottom"/>
            <w:shd w:val="clear" w:color="auto" w:fill="CCEEFF"/>
          </w:tcPr>
          <w:p>
            <w:pPr>
              <w:spacing w:after="0"/>
              <w:rPr>
                <w:sz w:val="18"/>
                <w:szCs w:val="18"/>
                <w:color w:val="auto"/>
              </w:rPr>
            </w:pPr>
          </w:p>
        </w:tc>
        <w:tc>
          <w:tcPr>
            <w:tcW w:w="8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Condensed Consolidated Statements of Comprehensive Income (Loss)</w:t>
            </w:r>
          </w:p>
        </w:tc>
        <w:tc>
          <w:tcPr>
            <w:tcW w:w="218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24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240" w:type="dxa"/>
            <w:vAlign w:val="bottom"/>
            <w:shd w:val="clear" w:color="auto" w:fill="CCEEFF"/>
          </w:tcPr>
          <w:p>
            <w:pPr>
              <w:spacing w:after="0"/>
              <w:rPr>
                <w:sz w:val="18"/>
                <w:szCs w:val="18"/>
                <w:color w:val="auto"/>
              </w:rPr>
            </w:pPr>
          </w:p>
        </w:tc>
        <w:tc>
          <w:tcPr>
            <w:tcW w:w="8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Condensed Consolidated Balance Sheets</w:t>
            </w:r>
          </w:p>
        </w:tc>
        <w:tc>
          <w:tcPr>
            <w:tcW w:w="218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24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240" w:type="dxa"/>
            <w:vAlign w:val="bottom"/>
            <w:shd w:val="clear" w:color="auto" w:fill="CCEEFF"/>
          </w:tcPr>
          <w:p>
            <w:pPr>
              <w:spacing w:after="0"/>
              <w:rPr>
                <w:sz w:val="18"/>
                <w:szCs w:val="18"/>
                <w:color w:val="auto"/>
              </w:rPr>
            </w:pPr>
          </w:p>
        </w:tc>
        <w:tc>
          <w:tcPr>
            <w:tcW w:w="8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tc>
        <w:tc>
          <w:tcPr>
            <w:tcW w:w="218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24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240" w:type="dxa"/>
            <w:vAlign w:val="bottom"/>
            <w:shd w:val="clear" w:color="auto" w:fill="CCEEFF"/>
          </w:tcPr>
          <w:p>
            <w:pPr>
              <w:spacing w:after="0"/>
              <w:rPr>
                <w:sz w:val="18"/>
                <w:szCs w:val="18"/>
                <w:color w:val="auto"/>
              </w:rPr>
            </w:pPr>
          </w:p>
        </w:tc>
        <w:tc>
          <w:tcPr>
            <w:tcW w:w="8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tc>
        <w:tc>
          <w:tcPr>
            <w:tcW w:w="218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24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2.</w:t>
            </w:r>
          </w:p>
        </w:tc>
        <w:tc>
          <w:tcPr>
            <w:tcW w:w="8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218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24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3.</w:t>
            </w:r>
          </w:p>
        </w:tc>
        <w:tc>
          <w:tcPr>
            <w:tcW w:w="8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218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24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4.</w:t>
            </w:r>
          </w:p>
        </w:tc>
        <w:tc>
          <w:tcPr>
            <w:tcW w:w="8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Controls and Procedures</w:t>
            </w:r>
          </w:p>
        </w:tc>
        <w:tc>
          <w:tcPr>
            <w:tcW w:w="218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24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240" w:type="dxa"/>
            <w:vAlign w:val="bottom"/>
            <w:shd w:val="clear" w:color="auto" w:fill="CCEEFF"/>
          </w:tcPr>
          <w:p>
            <w:pPr>
              <w:spacing w:after="0"/>
              <w:rPr>
                <w:sz w:val="18"/>
                <w:szCs w:val="18"/>
                <w:color w:val="auto"/>
              </w:rPr>
            </w:pPr>
          </w:p>
        </w:tc>
        <w:tc>
          <w:tcPr>
            <w:tcW w:w="8820" w:type="dxa"/>
            <w:vAlign w:val="bottom"/>
            <w:shd w:val="clear" w:color="auto" w:fill="CCEEFF"/>
          </w:tcPr>
          <w:p>
            <w:pPr>
              <w:ind w:left="3960"/>
              <w:spacing w:after="0"/>
              <w:rPr>
                <w:sz w:val="20"/>
                <w:szCs w:val="20"/>
                <w:color w:val="auto"/>
              </w:rPr>
            </w:pPr>
            <w:r>
              <w:rPr>
                <w:rFonts w:ascii="Times New Roman" w:cs="Times New Roman" w:eastAsia="Times New Roman" w:hAnsi="Times New Roman"/>
                <w:sz w:val="18"/>
                <w:szCs w:val="18"/>
                <w:color w:val="auto"/>
              </w:rPr>
              <w:t>PART II - OTHER INFORMATION</w:t>
            </w:r>
          </w:p>
        </w:tc>
        <w:tc>
          <w:tcPr>
            <w:tcW w:w="2180" w:type="dxa"/>
            <w:vAlign w:val="bottom"/>
            <w:shd w:val="clear" w:color="auto" w:fill="CCEEFF"/>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1.</w:t>
            </w:r>
          </w:p>
        </w:tc>
        <w:tc>
          <w:tcPr>
            <w:tcW w:w="8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Legal Proceedings</w:t>
            </w:r>
          </w:p>
        </w:tc>
        <w:tc>
          <w:tcPr>
            <w:tcW w:w="218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24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2.</w:t>
            </w:r>
          </w:p>
        </w:tc>
        <w:tc>
          <w:tcPr>
            <w:tcW w:w="8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Unregistered Sales of Equity Securities, Use of Proceeds and Issuer Purchases of Equity Securities</w:t>
            </w:r>
          </w:p>
        </w:tc>
        <w:tc>
          <w:tcPr>
            <w:tcW w:w="218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24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3.</w:t>
            </w:r>
          </w:p>
        </w:tc>
        <w:tc>
          <w:tcPr>
            <w:tcW w:w="8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Defaults Upon Senior Securities</w:t>
            </w:r>
          </w:p>
        </w:tc>
        <w:tc>
          <w:tcPr>
            <w:tcW w:w="218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24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5.</w:t>
            </w:r>
          </w:p>
        </w:tc>
        <w:tc>
          <w:tcPr>
            <w:tcW w:w="8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Information</w:t>
            </w:r>
          </w:p>
        </w:tc>
        <w:tc>
          <w:tcPr>
            <w:tcW w:w="218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24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6.</w:t>
            </w:r>
          </w:p>
        </w:tc>
        <w:tc>
          <w:tcPr>
            <w:tcW w:w="8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Exhibits</w:t>
            </w:r>
          </w:p>
        </w:tc>
        <w:tc>
          <w:tcPr>
            <w:tcW w:w="218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33</w:t>
            </w:r>
          </w:p>
        </w:tc>
      </w:tr>
      <w:tr>
        <w:trPr>
          <w:trHeight w:val="432"/>
        </w:trPr>
        <w:tc>
          <w:tcPr>
            <w:tcW w:w="240" w:type="dxa"/>
            <w:vAlign w:val="bottom"/>
          </w:tcPr>
          <w:p>
            <w:pPr>
              <w:spacing w:after="0"/>
              <w:rPr>
                <w:sz w:val="24"/>
                <w:szCs w:val="24"/>
                <w:color w:val="auto"/>
              </w:rPr>
            </w:pPr>
          </w:p>
        </w:tc>
        <w:tc>
          <w:tcPr>
            <w:tcW w:w="8820" w:type="dxa"/>
            <w:vAlign w:val="bottom"/>
          </w:tcPr>
          <w:p>
            <w:pPr>
              <w:ind w:left="5120"/>
              <w:spacing w:after="0"/>
              <w:rPr>
                <w:sz w:val="20"/>
                <w:szCs w:val="20"/>
                <w:color w:val="auto"/>
              </w:rPr>
            </w:pPr>
            <w:r>
              <w:rPr>
                <w:rFonts w:ascii="Times New Roman" w:cs="Times New Roman" w:eastAsia="Times New Roman" w:hAnsi="Times New Roman"/>
                <w:sz w:val="18"/>
                <w:szCs w:val="18"/>
                <w:color w:val="auto"/>
              </w:rPr>
              <w:t>2 of 35</w:t>
            </w:r>
          </w:p>
        </w:tc>
        <w:tc>
          <w:tcPr>
            <w:tcW w:w="2180" w:type="dxa"/>
            <w:vAlign w:val="bottom"/>
          </w:tcPr>
          <w:p>
            <w:pPr>
              <w:spacing w:after="0"/>
              <w:rPr>
                <w:sz w:val="24"/>
                <w:szCs w:val="24"/>
                <w:color w:val="auto"/>
              </w:rPr>
            </w:pPr>
          </w:p>
        </w:tc>
      </w:tr>
      <w:tr>
        <w:trPr>
          <w:trHeight w:val="358"/>
        </w:trPr>
        <w:tc>
          <w:tcPr>
            <w:tcW w:w="240" w:type="dxa"/>
            <w:vAlign w:val="bottom"/>
            <w:tcBorders>
              <w:bottom w:val="single" w:sz="8" w:color="auto"/>
            </w:tcBorders>
          </w:tcPr>
          <w:p>
            <w:pPr>
              <w:spacing w:after="0"/>
              <w:rPr>
                <w:sz w:val="24"/>
                <w:szCs w:val="24"/>
                <w:color w:val="auto"/>
              </w:rPr>
            </w:pPr>
          </w:p>
        </w:tc>
        <w:tc>
          <w:tcPr>
            <w:tcW w:w="88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2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auto"/>
        </w:rPr>
        <w:t>PART I - FINANCIAL INFORMATION</w:t>
      </w:r>
    </w:p>
    <w:p>
      <w:pPr>
        <w:spacing w:after="0" w:line="200" w:lineRule="exact"/>
        <w:rPr>
          <w:sz w:val="20"/>
          <w:szCs w:val="20"/>
          <w:color w:val="auto"/>
        </w:rPr>
      </w:pPr>
    </w:p>
    <w:p>
      <w:pPr>
        <w:spacing w:after="0" w:line="268"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u w:val="single" w:color="auto"/>
          <w:color w:val="auto"/>
        </w:rPr>
        <w:t>ITEM 1. FINANCIAL STATEMENTS</w:t>
      </w:r>
    </w:p>
    <w:p>
      <w:pPr>
        <w:spacing w:after="0" w:line="2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u w:val="single" w:color="auto"/>
          <w:color w:val="auto"/>
        </w:rPr>
        <w:t>CONDENSED CONSOLIDATED STATEMENTS OF OPERATIONS</w:t>
      </w:r>
    </w:p>
    <w:p>
      <w:pPr>
        <w:spacing w:after="0" w:line="9"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u w:val="single" w:color="auto"/>
          <w:color w:val="auto"/>
        </w:rPr>
        <w:t>FOR THE PERIODS ENDED MAY 31, 2025 AND JUNE 1, 2024 – UNAUDITED</w:t>
      </w:r>
    </w:p>
    <w:p>
      <w:pPr>
        <w:spacing w:after="0" w:line="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5"/>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00" w:type="dxa"/>
            <w:vAlign w:val="bottom"/>
            <w:gridSpan w:val="2"/>
          </w:tcPr>
          <w:p>
            <w:pPr>
              <w:spacing w:after="0"/>
              <w:rPr>
                <w:sz w:val="20"/>
                <w:szCs w:val="20"/>
                <w:color w:val="auto"/>
              </w:rPr>
            </w:pPr>
          </w:p>
        </w:tc>
      </w:tr>
      <w:tr>
        <w:trPr>
          <w:trHeight w:val="439"/>
        </w:trPr>
        <w:tc>
          <w:tcPr>
            <w:tcW w:w="4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7"/>
              </w:rPr>
              <w:t>May 31, 2025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June 1, 2024</w:t>
            </w:r>
          </w:p>
        </w:tc>
        <w:tc>
          <w:tcPr>
            <w:tcW w:w="100" w:type="dxa"/>
            <w:vAlign w:val="bottom"/>
          </w:tcPr>
          <w:p>
            <w:pPr>
              <w:spacing w:after="0"/>
              <w:rPr>
                <w:sz w:val="24"/>
                <w:szCs w:val="24"/>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7"/>
              </w:rPr>
              <w:t>May 31, 2025</w:t>
            </w:r>
          </w:p>
        </w:tc>
        <w:tc>
          <w:tcPr>
            <w:tcW w:w="120" w:type="dxa"/>
            <w:vAlign w:val="bottom"/>
          </w:tcPr>
          <w:p>
            <w:pPr>
              <w:spacing w:after="0"/>
              <w:rPr>
                <w:sz w:val="24"/>
                <w:szCs w:val="24"/>
                <w:color w:val="auto"/>
              </w:rPr>
            </w:pPr>
          </w:p>
        </w:tc>
        <w:tc>
          <w:tcPr>
            <w:tcW w:w="12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June 1, 2024</w:t>
            </w:r>
          </w:p>
        </w:tc>
      </w:tr>
      <w:tr>
        <w:trPr>
          <w:trHeight w:val="209"/>
        </w:trPr>
        <w:tc>
          <w:tcPr>
            <w:tcW w:w="4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of furniture and accessories</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84,348</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83,410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166,510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169,964</w:t>
            </w:r>
          </w:p>
        </w:tc>
        <w:tc>
          <w:tcPr>
            <w:tcW w:w="80" w:type="dxa"/>
            <w:vAlign w:val="bottom"/>
            <w:shd w:val="clear" w:color="auto" w:fill="CCEEFF"/>
          </w:tcPr>
          <w:p>
            <w:pPr>
              <w:spacing w:after="0"/>
              <w:rPr>
                <w:sz w:val="18"/>
                <w:szCs w:val="18"/>
                <w:color w:val="auto"/>
              </w:rPr>
            </w:pPr>
          </w:p>
        </w:tc>
      </w:tr>
      <w:tr>
        <w:trPr>
          <w:trHeight w:val="229"/>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Cost of furniture and accessories sold</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37,439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39,650</w:t>
            </w:r>
          </w:p>
        </w:tc>
        <w:tc>
          <w:tcPr>
            <w:tcW w:w="10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72,771</w:t>
            </w:r>
          </w:p>
        </w:tc>
        <w:tc>
          <w:tcPr>
            <w:tcW w:w="12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78,337</w:t>
            </w:r>
          </w:p>
        </w:tc>
        <w:tc>
          <w:tcPr>
            <w:tcW w:w="80" w:type="dxa"/>
            <w:vAlign w:val="bottom"/>
          </w:tcPr>
          <w:p>
            <w:pPr>
              <w:spacing w:after="0"/>
              <w:rPr>
                <w:sz w:val="19"/>
                <w:szCs w:val="19"/>
                <w:color w:val="auto"/>
              </w:rPr>
            </w:pPr>
          </w:p>
        </w:tc>
      </w:tr>
      <w:tr>
        <w:trPr>
          <w:trHeight w:val="210"/>
        </w:trPr>
        <w:tc>
          <w:tcPr>
            <w:tcW w:w="43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1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46,909</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43,760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93,739</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91,627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44,412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46,707</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88,787</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96,931</w:t>
            </w:r>
          </w:p>
        </w:tc>
        <w:tc>
          <w:tcPr>
            <w:tcW w:w="80" w:type="dxa"/>
            <w:vAlign w:val="bottom"/>
            <w:shd w:val="clear" w:color="auto" w:fill="CCEEFF"/>
          </w:tcPr>
          <w:p>
            <w:pPr>
              <w:spacing w:after="0"/>
              <w:rPr>
                <w:sz w:val="18"/>
                <w:szCs w:val="18"/>
                <w:color w:val="auto"/>
              </w:rPr>
            </w:pPr>
          </w:p>
        </w:tc>
      </w:tr>
      <w:tr>
        <w:trPr>
          <w:trHeight w:val="230"/>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Asset impairment charges</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5,515</w:t>
            </w:r>
          </w:p>
        </w:tc>
        <w:tc>
          <w:tcPr>
            <w:tcW w:w="10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5,515</w:t>
            </w:r>
          </w:p>
        </w:tc>
        <w:tc>
          <w:tcPr>
            <w:tcW w:w="80" w:type="dxa"/>
            <w:vAlign w:val="bottom"/>
          </w:tcPr>
          <w:p>
            <w:pPr>
              <w:spacing w:after="0"/>
              <w:rPr>
                <w:sz w:val="19"/>
                <w:szCs w:val="19"/>
                <w:color w:val="auto"/>
              </w:rPr>
            </w:pPr>
          </w:p>
        </w:tc>
      </w:tr>
      <w:tr>
        <w:trPr>
          <w:trHeight w:val="209"/>
        </w:trPr>
        <w:tc>
          <w:tcPr>
            <w:tcW w:w="43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(8,462)</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4,952</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(10,819)</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4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1,080</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1,383</w:t>
            </w:r>
          </w:p>
        </w:tc>
        <w:tc>
          <w:tcPr>
            <w:tcW w:w="80" w:type="dxa"/>
            <w:vAlign w:val="bottom"/>
            <w:shd w:val="clear" w:color="auto" w:fill="CCEEFF"/>
          </w:tcPr>
          <w:p>
            <w:pPr>
              <w:spacing w:after="0"/>
              <w:rPr>
                <w:sz w:val="18"/>
                <w:szCs w:val="18"/>
                <w:color w:val="auto"/>
              </w:rPr>
            </w:pPr>
          </w:p>
        </w:tc>
      </w:tr>
      <w:tr>
        <w:trPr>
          <w:trHeight w:val="230"/>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Other loss, net</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(881)</w:t>
            </w:r>
          </w:p>
        </w:tc>
        <w:tc>
          <w:tcPr>
            <w:tcW w:w="120" w:type="dxa"/>
            <w:vAlign w:val="bottom"/>
          </w:tcPr>
          <w:p>
            <w:pPr>
              <w:spacing w:after="0"/>
              <w:rPr>
                <w:sz w:val="19"/>
                <w:szCs w:val="19"/>
                <w:color w:val="auto"/>
              </w:rPr>
            </w:pP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(380)</w:t>
            </w:r>
          </w:p>
        </w:tc>
      </w:tr>
      <w:tr>
        <w:trPr>
          <w:trHeight w:val="209"/>
        </w:trPr>
        <w:tc>
          <w:tcPr>
            <w:tcW w:w="4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(8,111)</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5,151</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(9,816)</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4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678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(910)</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1,379</w:t>
            </w:r>
          </w:p>
        </w:tc>
        <w:tc>
          <w:tcPr>
            <w:tcW w:w="1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(1,422)</w:t>
            </w:r>
          </w:p>
        </w:tc>
      </w:tr>
      <w:tr>
        <w:trPr>
          <w:trHeight w:val="210"/>
        </w:trPr>
        <w:tc>
          <w:tcPr>
            <w:tcW w:w="4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83"/>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1,918</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(7,201)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3,772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(8,394)</w:t>
            </w:r>
          </w:p>
        </w:tc>
      </w:tr>
      <w:tr>
        <w:trPr>
          <w:trHeight w:val="196"/>
        </w:trPr>
        <w:tc>
          <w:tcPr>
            <w:tcW w:w="43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83"/>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0.22</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(0.82)</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0.43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(0.96)</w:t>
            </w:r>
          </w:p>
        </w:tc>
      </w:tr>
      <w:tr>
        <w:trPr>
          <w:trHeight w:val="197"/>
        </w:trPr>
        <w:tc>
          <w:tcPr>
            <w:tcW w:w="43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83"/>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0.22</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(0.82)</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0.43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(0.96)</w:t>
            </w:r>
          </w:p>
        </w:tc>
      </w:tr>
      <w:tr>
        <w:trPr>
          <w:trHeight w:val="196"/>
        </w:trPr>
        <w:tc>
          <w:tcPr>
            <w:tcW w:w="43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43"/>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Regular dividends per share</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0.20</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0.40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0.34</w:t>
            </w:r>
          </w:p>
        </w:tc>
        <w:tc>
          <w:tcPr>
            <w:tcW w:w="80" w:type="dxa"/>
            <w:vAlign w:val="bottom"/>
          </w:tcPr>
          <w:p>
            <w:pPr>
              <w:spacing w:after="0"/>
              <w:rPr>
                <w:sz w:val="21"/>
                <w:szCs w:val="21"/>
                <w:color w:val="auto"/>
              </w:rPr>
            </w:pPr>
          </w:p>
        </w:tc>
      </w:tr>
      <w:tr>
        <w:trPr>
          <w:trHeight w:val="20"/>
        </w:trPr>
        <w:tc>
          <w:tcPr>
            <w:tcW w:w="4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condensed consolidated financial statements are an integral part of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 w:name="page4"/>
    <w:bookmarkEnd w:id="3"/>
    <w:p>
      <w:pPr>
        <w:ind w:left="3560"/>
        <w:spacing w:after="0"/>
        <w:rPr>
          <w:sz w:val="20"/>
          <w:szCs w:val="20"/>
          <w:color w:val="auto"/>
        </w:rPr>
      </w:pPr>
      <w:r>
        <w:rPr>
          <w:rFonts w:ascii="Times New Roman" w:cs="Times New Roman" w:eastAsia="Times New Roman" w:hAnsi="Times New Roman"/>
          <w:sz w:val="18"/>
          <w:szCs w:val="18"/>
          <w:u w:val="single" w:color="auto"/>
          <w:color w:val="auto"/>
        </w:rPr>
        <w:t>PART I – FINANCIAL INFORMATION – CONTINUED</w:t>
      </w:r>
    </w:p>
    <w:p>
      <w:pPr>
        <w:spacing w:after="0" w:line="27"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u w:val="single" w:color="auto"/>
          <w:color w:val="auto"/>
        </w:rPr>
        <w:t>ITEM 1. FINANCIAL STATEMENTS</w:t>
      </w:r>
    </w:p>
    <w:p>
      <w:pPr>
        <w:spacing w:after="0" w:line="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u w:val="single" w:color="auto"/>
          <w:color w:val="auto"/>
        </w:rPr>
        <w:t>CONDENSED CONSOLIDATED STATEMENTS OF COMPREHENSIVE INCOME (LOSS)</w:t>
      </w:r>
    </w:p>
    <w:p>
      <w:pPr>
        <w:spacing w:after="0" w:line="9"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u w:val="single" w:color="auto"/>
          <w:color w:val="auto"/>
        </w:rPr>
        <w:t>FOR THE PERIODS ENDED MAY 31, 2025 AND JUNE 1, 2024 – UNAUDITED</w:t>
      </w:r>
    </w:p>
    <w:p>
      <w:pPr>
        <w:spacing w:after="0" w:line="9"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u w:val="single" w:color="auto"/>
          <w:color w:val="auto"/>
        </w:rPr>
        <w:t>(In thousands)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20" w:type="dxa"/>
            <w:vAlign w:val="bottom"/>
            <w:gridSpan w:val="6"/>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100" w:type="dxa"/>
            <w:vAlign w:val="bottom"/>
          </w:tcPr>
          <w:p>
            <w:pPr>
              <w:spacing w:after="0"/>
              <w:rPr>
                <w:sz w:val="20"/>
                <w:szCs w:val="20"/>
                <w:color w:val="auto"/>
              </w:rPr>
            </w:pPr>
          </w:p>
        </w:tc>
        <w:tc>
          <w:tcPr>
            <w:tcW w:w="2680" w:type="dxa"/>
            <w:vAlign w:val="bottom"/>
            <w:gridSpan w:val="6"/>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23"/>
        </w:trPr>
        <w:tc>
          <w:tcPr>
            <w:tcW w:w="5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7"/>
              </w:rPr>
              <w:t>May 31, 2025</w:t>
            </w: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1, 2024</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7"/>
              </w:rPr>
              <w:t>May 31, 2025</w:t>
            </w:r>
          </w:p>
        </w:tc>
        <w:tc>
          <w:tcPr>
            <w:tcW w:w="1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1, 2024</w:t>
            </w:r>
          </w:p>
        </w:tc>
        <w:tc>
          <w:tcPr>
            <w:tcW w:w="100" w:type="dxa"/>
            <w:vAlign w:val="bottom"/>
            <w:gridSpan w:val="2"/>
          </w:tcPr>
          <w:p>
            <w:pPr>
              <w:spacing w:after="0"/>
              <w:rPr>
                <w:sz w:val="19"/>
                <w:szCs w:val="19"/>
                <w:color w:val="auto"/>
              </w:rPr>
            </w:pPr>
          </w:p>
        </w:tc>
      </w:tr>
      <w:tr>
        <w:trPr>
          <w:trHeight w:val="209"/>
        </w:trPr>
        <w:tc>
          <w:tcPr>
            <w:tcW w:w="5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1,918</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(7,201)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3,772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(8,394)</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(234)</w:t>
            </w:r>
          </w:p>
        </w:tc>
      </w:tr>
      <w:tr>
        <w:trPr>
          <w:trHeight w:val="216"/>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taxes related to foreign currency translation adjustments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Pr>
          <w:p>
            <w:pPr>
              <w:spacing w:after="0"/>
              <w:rPr>
                <w:sz w:val="18"/>
                <w:szCs w:val="18"/>
                <w:color w:val="auto"/>
              </w:rPr>
            </w:pPr>
          </w:p>
        </w:tc>
      </w:tr>
      <w:tr>
        <w:trPr>
          <w:trHeight w:val="216"/>
        </w:trPr>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associated with Long Term Cash Awards (LTCA)</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18"/>
                <w:szCs w:val="18"/>
                <w:color w:val="auto"/>
              </w:rPr>
            </w:pPr>
          </w:p>
        </w:tc>
      </w:tr>
      <w:tr>
        <w:trPr>
          <w:trHeight w:val="216"/>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taxes related to LTCA</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r>
      <w:tr>
        <w:trPr>
          <w:trHeight w:val="198"/>
        </w:trPr>
        <w:tc>
          <w:tcPr>
            <w:tcW w:w="54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Amortization associated with supplemental executive retirement defined</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5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benefit plan (SERP)</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20"/>
                <w:szCs w:val="20"/>
                <w:color w:val="auto"/>
              </w:rPr>
            </w:pP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taxes related to SERP</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210"/>
        </w:trPr>
        <w:tc>
          <w:tcPr>
            <w:tcW w:w="54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9"/>
        </w:trPr>
        <w:tc>
          <w:tcPr>
            <w:tcW w:w="54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9"/>
                <w:szCs w:val="19"/>
                <w:color w:val="auto"/>
              </w:rPr>
            </w:pP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(160)</w:t>
            </w:r>
          </w:p>
        </w:tc>
      </w:tr>
      <w:tr>
        <w:trPr>
          <w:trHeight w:val="209"/>
        </w:trPr>
        <w:tc>
          <w:tcPr>
            <w:tcW w:w="54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43"/>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1,906</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(7,200)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3,748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(8,554)</w:t>
            </w:r>
          </w:p>
        </w:tc>
      </w:tr>
      <w:tr>
        <w:trPr>
          <w:trHeight w:val="20"/>
        </w:trPr>
        <w:tc>
          <w:tcPr>
            <w:tcW w:w="5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condensed consolidated financial statements are an integral part of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u w:val="single" w:color="auto"/>
          <w:color w:val="auto"/>
        </w:rPr>
        <w:t>PART I – FINANCIAL INFORMATION – CONTINUED</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u w:val="single" w:color="auto"/>
          <w:color w:val="auto"/>
        </w:rPr>
        <w:t>ITEM 1.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u w:val="single" w:color="auto"/>
          <w:color w:val="auto"/>
        </w:rPr>
        <w:t>CONDENSED CONSOLIDATED BALANCE SHEETS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u w:val="single" w:color="auto"/>
          <w:color w:val="auto"/>
        </w:rPr>
        <w:t>MAY 31, 2025 AND NOVEMBER 30, 2024</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780" w:type="dxa"/>
            <w:vAlign w:val="bottom"/>
            <w:gridSpan w:val="2"/>
          </w:tcPr>
          <w:p>
            <w:pPr>
              <w:jc w:val="right"/>
              <w:ind w:right="1930"/>
              <w:spacing w:after="0"/>
              <w:rPr>
                <w:sz w:val="20"/>
                <w:szCs w:val="20"/>
                <w:color w:val="auto"/>
              </w:rPr>
            </w:pPr>
            <w:r>
              <w:rPr>
                <w:rFonts w:ascii="Times New Roman" w:cs="Times New Roman" w:eastAsia="Times New Roman" w:hAnsi="Times New Roman"/>
                <w:sz w:val="18"/>
                <w:szCs w:val="18"/>
                <w:color w:val="auto"/>
              </w:rPr>
              <w:t>(In thousands)</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0"/>
        </w:trPr>
        <w:tc>
          <w:tcPr>
            <w:tcW w:w="4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0" w:type="dxa"/>
            <w:vAlign w:val="bottom"/>
          </w:tcPr>
          <w:p>
            <w:pPr>
              <w:spacing w:after="0"/>
              <w:rPr>
                <w:sz w:val="1"/>
                <w:szCs w:val="1"/>
                <w:color w:val="auto"/>
              </w:rPr>
            </w:pPr>
          </w:p>
        </w:tc>
      </w:tr>
      <w:tr>
        <w:trPr>
          <w:trHeight w:val="194"/>
        </w:trPr>
        <w:tc>
          <w:tcPr>
            <w:tcW w:w="4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May 31, 2025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380" w:type="dxa"/>
            <w:vAlign w:val="bottom"/>
            <w:tcBorders>
              <w:top w:val="single" w:sz="8" w:color="CCEEFF"/>
            </w:tcBorders>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Assets</w:t>
            </w:r>
          </w:p>
        </w:tc>
        <w:tc>
          <w:tcPr>
            <w:tcW w:w="36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0" w:type="dxa"/>
            <w:vAlign w:val="bottom"/>
            <w:tcBorders>
              <w:top w:val="single" w:sz="8" w:color="auto"/>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3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39,433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39,551</w:t>
            </w:r>
          </w:p>
        </w:tc>
        <w:tc>
          <w:tcPr>
            <w:tcW w:w="0" w:type="dxa"/>
            <w:vAlign w:val="bottom"/>
          </w:tcPr>
          <w:p>
            <w:pPr>
              <w:spacing w:after="0"/>
              <w:rPr>
                <w:sz w:val="1"/>
                <w:szCs w:val="1"/>
                <w:color w:val="auto"/>
              </w:rPr>
            </w:pPr>
          </w:p>
        </w:tc>
      </w:tr>
      <w:tr>
        <w:trPr>
          <w:trHeight w:val="216"/>
        </w:trPr>
        <w:tc>
          <w:tcPr>
            <w:tcW w:w="43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3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20,385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20,360</w:t>
            </w:r>
          </w:p>
        </w:tc>
        <w:tc>
          <w:tcPr>
            <w:tcW w:w="0" w:type="dxa"/>
            <w:vAlign w:val="bottom"/>
          </w:tcPr>
          <w:p>
            <w:pPr>
              <w:spacing w:after="0"/>
              <w:rPr>
                <w:sz w:val="1"/>
                <w:szCs w:val="1"/>
                <w:color w:val="auto"/>
              </w:rPr>
            </w:pPr>
          </w:p>
        </w:tc>
      </w:tr>
      <w:tr>
        <w:trPr>
          <w:trHeight w:val="216"/>
        </w:trPr>
        <w:tc>
          <w:tcPr>
            <w:tcW w:w="43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3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12,883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13,181</w:t>
            </w:r>
          </w:p>
        </w:tc>
        <w:tc>
          <w:tcPr>
            <w:tcW w:w="0" w:type="dxa"/>
            <w:vAlign w:val="bottom"/>
          </w:tcPr>
          <w:p>
            <w:pPr>
              <w:spacing w:after="0"/>
              <w:rPr>
                <w:sz w:val="1"/>
                <w:szCs w:val="1"/>
                <w:color w:val="auto"/>
              </w:rPr>
            </w:pPr>
          </w:p>
        </w:tc>
      </w:tr>
      <w:tr>
        <w:trPr>
          <w:trHeight w:val="216"/>
        </w:trPr>
        <w:tc>
          <w:tcPr>
            <w:tcW w:w="43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3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59,362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54,965</w:t>
            </w:r>
          </w:p>
        </w:tc>
        <w:tc>
          <w:tcPr>
            <w:tcW w:w="0" w:type="dxa"/>
            <w:vAlign w:val="bottom"/>
          </w:tcPr>
          <w:p>
            <w:pPr>
              <w:spacing w:after="0"/>
              <w:rPr>
                <w:sz w:val="1"/>
                <w:szCs w:val="1"/>
                <w:color w:val="auto"/>
              </w:rPr>
            </w:pPr>
          </w:p>
        </w:tc>
      </w:tr>
      <w:tr>
        <w:trPr>
          <w:trHeight w:val="216"/>
        </w:trPr>
        <w:tc>
          <w:tcPr>
            <w:tcW w:w="43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Recoverable income taxes</w:t>
            </w:r>
          </w:p>
        </w:tc>
        <w:tc>
          <w:tcPr>
            <w:tcW w:w="3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4,607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4,240</w:t>
            </w:r>
          </w:p>
        </w:tc>
        <w:tc>
          <w:tcPr>
            <w:tcW w:w="0" w:type="dxa"/>
            <w:vAlign w:val="bottom"/>
          </w:tcPr>
          <w:p>
            <w:pPr>
              <w:spacing w:after="0"/>
              <w:rPr>
                <w:sz w:val="1"/>
                <w:szCs w:val="1"/>
                <w:color w:val="auto"/>
              </w:rPr>
            </w:pPr>
          </w:p>
        </w:tc>
      </w:tr>
      <w:tr>
        <w:trPr>
          <w:trHeight w:val="230"/>
        </w:trPr>
        <w:tc>
          <w:tcPr>
            <w:tcW w:w="43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3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9,242</w:t>
            </w:r>
          </w:p>
        </w:tc>
        <w:tc>
          <w:tcPr>
            <w:tcW w:w="0" w:type="dxa"/>
            <w:vAlign w:val="bottom"/>
          </w:tcPr>
          <w:p>
            <w:pPr>
              <w:spacing w:after="0"/>
              <w:rPr>
                <w:sz w:val="1"/>
                <w:szCs w:val="1"/>
                <w:color w:val="auto"/>
              </w:rPr>
            </w:pPr>
          </w:p>
        </w:tc>
      </w:tr>
      <w:tr>
        <w:trPr>
          <w:trHeight w:val="209"/>
        </w:trPr>
        <w:tc>
          <w:tcPr>
            <w:tcW w:w="438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36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144,193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141,539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75,088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77,047</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3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5,493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6,867</w:t>
            </w:r>
          </w:p>
        </w:tc>
        <w:tc>
          <w:tcPr>
            <w:tcW w:w="0" w:type="dxa"/>
            <w:vAlign w:val="bottom"/>
          </w:tcPr>
          <w:p>
            <w:pPr>
              <w:spacing w:after="0"/>
              <w:rPr>
                <w:sz w:val="1"/>
                <w:szCs w:val="1"/>
                <w:color w:val="auto"/>
              </w:rPr>
            </w:pPr>
          </w:p>
        </w:tc>
      </w:tr>
      <w:tr>
        <w:trPr>
          <w:trHeight w:val="216"/>
        </w:trPr>
        <w:tc>
          <w:tcPr>
            <w:tcW w:w="4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Goodwill</w:t>
            </w:r>
          </w:p>
        </w:tc>
        <w:tc>
          <w:tcPr>
            <w:tcW w:w="3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7,217</w:t>
            </w:r>
          </w:p>
        </w:tc>
        <w:tc>
          <w:tcPr>
            <w:tcW w:w="0" w:type="dxa"/>
            <w:vAlign w:val="bottom"/>
          </w:tcPr>
          <w:p>
            <w:pPr>
              <w:spacing w:after="0"/>
              <w:rPr>
                <w:sz w:val="1"/>
                <w:szCs w:val="1"/>
                <w:color w:val="auto"/>
              </w:rPr>
            </w:pPr>
          </w:p>
        </w:tc>
      </w:tr>
      <w:tr>
        <w:trPr>
          <w:trHeight w:val="216"/>
        </w:trPr>
        <w:tc>
          <w:tcPr>
            <w:tcW w:w="4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3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6,939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6,968</w:t>
            </w:r>
          </w:p>
        </w:tc>
        <w:tc>
          <w:tcPr>
            <w:tcW w:w="0" w:type="dxa"/>
            <w:vAlign w:val="bottom"/>
          </w:tcPr>
          <w:p>
            <w:pPr>
              <w:spacing w:after="0"/>
              <w:rPr>
                <w:sz w:val="1"/>
                <w:szCs w:val="1"/>
                <w:color w:val="auto"/>
              </w:rPr>
            </w:pPr>
          </w:p>
        </w:tc>
      </w:tr>
      <w:tr>
        <w:trPr>
          <w:trHeight w:val="216"/>
        </w:trPr>
        <w:tc>
          <w:tcPr>
            <w:tcW w:w="4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Right of use assets under operating leases</w:t>
            </w:r>
          </w:p>
        </w:tc>
        <w:tc>
          <w:tcPr>
            <w:tcW w:w="3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84,877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93,624</w:t>
            </w:r>
          </w:p>
        </w:tc>
        <w:tc>
          <w:tcPr>
            <w:tcW w:w="0" w:type="dxa"/>
            <w:vAlign w:val="bottom"/>
          </w:tcPr>
          <w:p>
            <w:pPr>
              <w:spacing w:after="0"/>
              <w:rPr>
                <w:sz w:val="1"/>
                <w:szCs w:val="1"/>
                <w:color w:val="auto"/>
              </w:rPr>
            </w:pPr>
          </w:p>
        </w:tc>
      </w:tr>
      <w:tr>
        <w:trPr>
          <w:trHeight w:val="230"/>
        </w:trPr>
        <w:tc>
          <w:tcPr>
            <w:tcW w:w="4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7,908</w:t>
            </w:r>
          </w:p>
        </w:tc>
        <w:tc>
          <w:tcPr>
            <w:tcW w:w="0" w:type="dxa"/>
            <w:vAlign w:val="bottom"/>
          </w:tcPr>
          <w:p>
            <w:pPr>
              <w:spacing w:after="0"/>
              <w:rPr>
                <w:sz w:val="1"/>
                <w:szCs w:val="1"/>
                <w:color w:val="auto"/>
              </w:rPr>
            </w:pPr>
          </w:p>
        </w:tc>
      </w:tr>
      <w:tr>
        <w:trPr>
          <w:trHeight w:val="209"/>
        </w:trPr>
        <w:tc>
          <w:tcPr>
            <w:tcW w:w="43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 long-term assets</w:t>
            </w:r>
          </w:p>
        </w:tc>
        <w:tc>
          <w:tcPr>
            <w:tcW w:w="36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112,052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122,584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6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331,333</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341,170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8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Liabilities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3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600" w:type="dxa"/>
            <w:vAlign w:val="bottom"/>
            <w:tcBorders>
              <w:top w:val="single" w:sz="8" w:color="CCEEFF"/>
            </w:tcBorders>
          </w:tcPr>
          <w:p>
            <w:pPr>
              <w:spacing w:after="0"/>
              <w:rPr>
                <w:sz w:val="18"/>
                <w:szCs w:val="18"/>
                <w:color w:val="auto"/>
              </w:rPr>
            </w:pPr>
          </w:p>
        </w:tc>
        <w:tc>
          <w:tcPr>
            <w:tcW w:w="3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3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14,533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13,303</w:t>
            </w:r>
          </w:p>
        </w:tc>
        <w:tc>
          <w:tcPr>
            <w:tcW w:w="0" w:type="dxa"/>
            <w:vAlign w:val="bottom"/>
          </w:tcPr>
          <w:p>
            <w:pPr>
              <w:spacing w:after="0"/>
              <w:rPr>
                <w:sz w:val="1"/>
                <w:szCs w:val="1"/>
                <w:color w:val="auto"/>
              </w:rPr>
            </w:pPr>
          </w:p>
        </w:tc>
      </w:tr>
      <w:tr>
        <w:trPr>
          <w:trHeight w:val="216"/>
        </w:trPr>
        <w:tc>
          <w:tcPr>
            <w:tcW w:w="43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3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7,798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6,898</w:t>
            </w:r>
          </w:p>
        </w:tc>
        <w:tc>
          <w:tcPr>
            <w:tcW w:w="0" w:type="dxa"/>
            <w:vAlign w:val="bottom"/>
          </w:tcPr>
          <w:p>
            <w:pPr>
              <w:spacing w:after="0"/>
              <w:rPr>
                <w:sz w:val="1"/>
                <w:szCs w:val="1"/>
                <w:color w:val="auto"/>
              </w:rPr>
            </w:pPr>
          </w:p>
        </w:tc>
      </w:tr>
      <w:tr>
        <w:trPr>
          <w:trHeight w:val="216"/>
        </w:trPr>
        <w:tc>
          <w:tcPr>
            <w:tcW w:w="43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Customer deposits</w:t>
            </w:r>
          </w:p>
        </w:tc>
        <w:tc>
          <w:tcPr>
            <w:tcW w:w="3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24,029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25,742</w:t>
            </w:r>
          </w:p>
        </w:tc>
        <w:tc>
          <w:tcPr>
            <w:tcW w:w="0" w:type="dxa"/>
            <w:vAlign w:val="bottom"/>
          </w:tcPr>
          <w:p>
            <w:pPr>
              <w:spacing w:after="0"/>
              <w:rPr>
                <w:sz w:val="1"/>
                <w:szCs w:val="1"/>
                <w:color w:val="auto"/>
              </w:rPr>
            </w:pPr>
          </w:p>
        </w:tc>
      </w:tr>
      <w:tr>
        <w:trPr>
          <w:trHeight w:val="216"/>
        </w:trPr>
        <w:tc>
          <w:tcPr>
            <w:tcW w:w="43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Current portion operating lease obligations</w:t>
            </w:r>
          </w:p>
        </w:tc>
        <w:tc>
          <w:tcPr>
            <w:tcW w:w="3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19,702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18,050</w:t>
            </w:r>
          </w:p>
        </w:tc>
        <w:tc>
          <w:tcPr>
            <w:tcW w:w="0" w:type="dxa"/>
            <w:vAlign w:val="bottom"/>
          </w:tcPr>
          <w:p>
            <w:pPr>
              <w:spacing w:after="0"/>
              <w:rPr>
                <w:sz w:val="1"/>
                <w:szCs w:val="1"/>
                <w:color w:val="auto"/>
              </w:rPr>
            </w:pPr>
          </w:p>
        </w:tc>
      </w:tr>
      <w:tr>
        <w:trPr>
          <w:trHeight w:val="230"/>
        </w:trPr>
        <w:tc>
          <w:tcPr>
            <w:tcW w:w="43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liabilites and accrued expenses</w:t>
            </w:r>
          </w:p>
        </w:tc>
        <w:tc>
          <w:tcPr>
            <w:tcW w:w="3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9,410</w:t>
            </w:r>
          </w:p>
        </w:tc>
        <w:tc>
          <w:tcPr>
            <w:tcW w:w="0" w:type="dxa"/>
            <w:vAlign w:val="bottom"/>
          </w:tcPr>
          <w:p>
            <w:pPr>
              <w:spacing w:after="0"/>
              <w:rPr>
                <w:sz w:val="1"/>
                <w:szCs w:val="1"/>
                <w:color w:val="auto"/>
              </w:rPr>
            </w:pPr>
          </w:p>
        </w:tc>
      </w:tr>
      <w:tr>
        <w:trPr>
          <w:trHeight w:val="210"/>
        </w:trPr>
        <w:tc>
          <w:tcPr>
            <w:tcW w:w="43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6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74,524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73,403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Long-term liabilities</w:t>
            </w:r>
          </w:p>
        </w:tc>
        <w:tc>
          <w:tcPr>
            <w:tcW w:w="3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Post employment benefit obligations</w:t>
            </w:r>
          </w:p>
        </w:tc>
        <w:tc>
          <w:tcPr>
            <w:tcW w:w="3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10,814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10,882</w:t>
            </w:r>
          </w:p>
        </w:tc>
        <w:tc>
          <w:tcPr>
            <w:tcW w:w="0" w:type="dxa"/>
            <w:vAlign w:val="bottom"/>
          </w:tcPr>
          <w:p>
            <w:pPr>
              <w:spacing w:after="0"/>
              <w:rPr>
                <w:sz w:val="1"/>
                <w:szCs w:val="1"/>
                <w:color w:val="auto"/>
              </w:rPr>
            </w:pPr>
          </w:p>
        </w:tc>
      </w:tr>
      <w:tr>
        <w:trPr>
          <w:trHeight w:val="216"/>
        </w:trPr>
        <w:tc>
          <w:tcPr>
            <w:tcW w:w="43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Long-term portion of operating lease obligations</w:t>
            </w:r>
          </w:p>
        </w:tc>
        <w:tc>
          <w:tcPr>
            <w:tcW w:w="3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78,116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88,395</w:t>
            </w:r>
          </w:p>
        </w:tc>
        <w:tc>
          <w:tcPr>
            <w:tcW w:w="0" w:type="dxa"/>
            <w:vAlign w:val="bottom"/>
          </w:tcPr>
          <w:p>
            <w:pPr>
              <w:spacing w:after="0"/>
              <w:rPr>
                <w:sz w:val="1"/>
                <w:szCs w:val="1"/>
                <w:color w:val="auto"/>
              </w:rPr>
            </w:pPr>
          </w:p>
        </w:tc>
      </w:tr>
      <w:tr>
        <w:trPr>
          <w:trHeight w:val="229"/>
        </w:trPr>
        <w:tc>
          <w:tcPr>
            <w:tcW w:w="43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1,163</w:t>
            </w:r>
          </w:p>
        </w:tc>
        <w:tc>
          <w:tcPr>
            <w:tcW w:w="0" w:type="dxa"/>
            <w:vAlign w:val="bottom"/>
          </w:tcPr>
          <w:p>
            <w:pPr>
              <w:spacing w:after="0"/>
              <w:rPr>
                <w:sz w:val="1"/>
                <w:szCs w:val="1"/>
                <w:color w:val="auto"/>
              </w:rPr>
            </w:pPr>
          </w:p>
        </w:tc>
      </w:tr>
      <w:tr>
        <w:trPr>
          <w:trHeight w:val="210"/>
        </w:trPr>
        <w:tc>
          <w:tcPr>
            <w:tcW w:w="43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36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90,033</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100,440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3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3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43,410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43,681</w:t>
            </w:r>
          </w:p>
        </w:tc>
        <w:tc>
          <w:tcPr>
            <w:tcW w:w="0" w:type="dxa"/>
            <w:vAlign w:val="bottom"/>
          </w:tcPr>
          <w:p>
            <w:pPr>
              <w:spacing w:after="0"/>
              <w:rPr>
                <w:sz w:val="1"/>
                <w:szCs w:val="1"/>
                <w:color w:val="auto"/>
              </w:rPr>
            </w:pPr>
          </w:p>
        </w:tc>
      </w:tr>
      <w:tr>
        <w:trPr>
          <w:trHeight w:val="216"/>
        </w:trPr>
        <w:tc>
          <w:tcPr>
            <w:tcW w:w="43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3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122,597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122,847</w:t>
            </w:r>
          </w:p>
        </w:tc>
        <w:tc>
          <w:tcPr>
            <w:tcW w:w="0" w:type="dxa"/>
            <w:vAlign w:val="bottom"/>
          </w:tcPr>
          <w:p>
            <w:pPr>
              <w:spacing w:after="0"/>
              <w:rPr>
                <w:sz w:val="1"/>
                <w:szCs w:val="1"/>
                <w:color w:val="auto"/>
              </w:rPr>
            </w:pPr>
          </w:p>
        </w:tc>
      </w:tr>
      <w:tr>
        <w:trPr>
          <w:trHeight w:val="216"/>
        </w:trPr>
        <w:tc>
          <w:tcPr>
            <w:tcW w:w="43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43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793</w:t>
            </w:r>
          </w:p>
        </w:tc>
        <w:tc>
          <w:tcPr>
            <w:tcW w:w="0" w:type="dxa"/>
            <w:vAlign w:val="bottom"/>
          </w:tcPr>
          <w:p>
            <w:pPr>
              <w:spacing w:after="0"/>
              <w:rPr>
                <w:sz w:val="1"/>
                <w:szCs w:val="1"/>
                <w:color w:val="auto"/>
              </w:rPr>
            </w:pPr>
          </w:p>
        </w:tc>
      </w:tr>
      <w:tr>
        <w:trPr>
          <w:trHeight w:val="209"/>
        </w:trPr>
        <w:tc>
          <w:tcPr>
            <w:tcW w:w="43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6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166,776</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167,327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36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331,333</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341,170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condensed consolidated financial statements are an integral part of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5" w:name="page6"/>
    <w:bookmarkEnd w:id="5"/>
    <w:p>
      <w:pPr>
        <w:ind w:left="3560"/>
        <w:spacing w:after="0"/>
        <w:rPr>
          <w:sz w:val="20"/>
          <w:szCs w:val="20"/>
          <w:color w:val="auto"/>
        </w:rPr>
      </w:pPr>
      <w:r>
        <w:rPr>
          <w:rFonts w:ascii="Times New Roman" w:cs="Times New Roman" w:eastAsia="Times New Roman" w:hAnsi="Times New Roman"/>
          <w:sz w:val="18"/>
          <w:szCs w:val="18"/>
          <w:u w:val="single" w:color="auto"/>
          <w:color w:val="auto"/>
        </w:rPr>
        <w:t>PART I – FINANCIAL INFORMATION – CONTINUED</w:t>
      </w:r>
    </w:p>
    <w:p>
      <w:pPr>
        <w:spacing w:after="0" w:line="27"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u w:val="single" w:color="auto"/>
          <w:color w:val="auto"/>
        </w:rPr>
        <w:t>ITEM 1. FINANCIAL STATEMENTS</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u w:val="single" w:color="auto"/>
          <w:color w:val="auto"/>
        </w:rPr>
        <w:t>CONDENSED CONSOLIDATED STATEMENTS OF CASH FLOWS</w:t>
      </w:r>
    </w:p>
    <w:p>
      <w:pPr>
        <w:spacing w:after="0" w:line="9"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u w:val="single" w:color="auto"/>
          <w:color w:val="auto"/>
        </w:rPr>
        <w:t>FOR THE PERIODS ENDED MAY 31, 2025 AND JUNE 1, 2024 – UNAUDITED</w:t>
      </w:r>
    </w:p>
    <w:p>
      <w:pPr>
        <w:spacing w:after="0" w:line="9"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(In thousands)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80" w:type="dxa"/>
            <w:vAlign w:val="bottom"/>
            <w:gridSpan w:val="6"/>
          </w:tcPr>
          <w:p>
            <w:pPr>
              <w:jc w:val="right"/>
              <w:ind w:right="881"/>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23"/>
        </w:trPr>
        <w:tc>
          <w:tcPr>
            <w:tcW w:w="80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gridSpan w:val="2"/>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May 31, 2025</w:t>
            </w: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June 1, 2024</w:t>
            </w:r>
          </w:p>
        </w:tc>
        <w:tc>
          <w:tcPr>
            <w:tcW w:w="100" w:type="dxa"/>
            <w:vAlign w:val="bottom"/>
          </w:tcPr>
          <w:p>
            <w:pPr>
              <w:spacing w:after="0"/>
              <w:rPr>
                <w:sz w:val="19"/>
                <w:szCs w:val="19"/>
                <w:color w:val="auto"/>
              </w:rPr>
            </w:pPr>
          </w:p>
        </w:tc>
      </w:tr>
      <w:tr>
        <w:trPr>
          <w:trHeight w:val="210"/>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3,772</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(8,394)</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(used in) operating activities: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8"/>
                <w:szCs w:val="18"/>
                <w:color w:val="auto"/>
              </w:rPr>
            </w:pPr>
          </w:p>
        </w:tc>
        <w:tc>
          <w:tcPr>
            <w:tcW w:w="14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4,478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5,291</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Asset impairment charges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5,515</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Inventory valuation charges</w:t>
            </w:r>
          </w:p>
        </w:tc>
        <w:tc>
          <w:tcPr>
            <w:tcW w:w="160" w:type="dxa"/>
            <w:vAlign w:val="bottom"/>
          </w:tcPr>
          <w:p>
            <w:pPr>
              <w:spacing w:after="0"/>
              <w:rPr>
                <w:sz w:val="18"/>
                <w:szCs w:val="18"/>
                <w:color w:val="auto"/>
              </w:rPr>
            </w:pPr>
          </w:p>
        </w:tc>
        <w:tc>
          <w:tcPr>
            <w:tcW w:w="14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1,292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3,879</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1,374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net</w:t>
            </w:r>
          </w:p>
        </w:tc>
        <w:tc>
          <w:tcPr>
            <w:tcW w:w="160" w:type="dxa"/>
            <w:vAlign w:val="bottom"/>
          </w:tcPr>
          <w:p>
            <w:pPr>
              <w:spacing w:after="0"/>
              <w:rPr>
                <w:sz w:val="18"/>
                <w:szCs w:val="18"/>
                <w:color w:val="auto"/>
              </w:rPr>
            </w:pPr>
          </w:p>
        </w:tc>
        <w:tc>
          <w:tcPr>
            <w:tcW w:w="14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642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689</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tcPr>
          <w:p>
            <w:pPr>
              <w:spacing w:after="0"/>
              <w:rPr>
                <w:sz w:val="18"/>
                <w:szCs w:val="18"/>
                <w:color w:val="auto"/>
              </w:rPr>
            </w:pPr>
          </w:p>
        </w:tc>
        <w:tc>
          <w:tcPr>
            <w:tcW w:w="14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298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241</w:t>
            </w: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2,228</w:t>
            </w: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Recoverable income taxes and other current assets</w:t>
            </w:r>
          </w:p>
        </w:tc>
        <w:tc>
          <w:tcPr>
            <w:tcW w:w="160" w:type="dxa"/>
            <w:vAlign w:val="bottom"/>
          </w:tcPr>
          <w:p>
            <w:pPr>
              <w:spacing w:after="0"/>
              <w:rPr>
                <w:sz w:val="18"/>
                <w:szCs w:val="18"/>
                <w:color w:val="auto"/>
              </w:rPr>
            </w:pPr>
          </w:p>
        </w:tc>
        <w:tc>
          <w:tcPr>
            <w:tcW w:w="14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1,352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(1,217)</w:t>
            </w: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Right of use assets under operating leases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8,474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8,707</w:t>
            </w: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Customer deposits</w:t>
            </w:r>
          </w:p>
        </w:tc>
        <w:tc>
          <w:tcPr>
            <w:tcW w:w="16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(1,713)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233</w:t>
            </w: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978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(6,930)</w:t>
            </w:r>
          </w:p>
        </w:tc>
      </w:tr>
      <w:tr>
        <w:trPr>
          <w:trHeight w:val="229"/>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Obligations under operating leases</w:t>
            </w:r>
          </w:p>
        </w:tc>
        <w:tc>
          <w:tcPr>
            <w:tcW w:w="16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(8,355)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(10,721)</w:t>
            </w:r>
          </w:p>
        </w:tc>
      </w:tr>
      <w:tr>
        <w:trPr>
          <w:trHeight w:val="210"/>
        </w:trPr>
        <w:tc>
          <w:tcPr>
            <w:tcW w:w="8000" w:type="dxa"/>
            <w:vAlign w:val="bottom"/>
            <w:tcBorders>
              <w:top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6,903</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6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(2,275)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(3,683)</w:t>
            </w:r>
          </w:p>
        </w:tc>
      </w:tr>
      <w:tr>
        <w:trPr>
          <w:trHeight w:val="23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r>
      <w:tr>
        <w:trPr>
          <w:trHeight w:val="210"/>
        </w:trPr>
        <w:tc>
          <w:tcPr>
            <w:tcW w:w="800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(2,349</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(4,066</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8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issuance of common stock</w:t>
            </w:r>
          </w:p>
        </w:tc>
        <w:tc>
          <w:tcPr>
            <w:tcW w:w="160" w:type="dxa"/>
            <w:vAlign w:val="bottom"/>
          </w:tcPr>
          <w:p>
            <w:pPr>
              <w:spacing w:after="0"/>
              <w:rPr>
                <w:sz w:val="18"/>
                <w:szCs w:val="18"/>
                <w:color w:val="auto"/>
              </w:rPr>
            </w:pPr>
          </w:p>
        </w:tc>
        <w:tc>
          <w:tcPr>
            <w:tcW w:w="14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165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179</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16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3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Repayments of finance lease obligations</w:t>
            </w: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10"/>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(3,777)</w:t>
            </w:r>
          </w:p>
        </w:tc>
        <w:tc>
          <w:tcPr>
            <w:tcW w:w="100" w:type="dxa"/>
            <w:vAlign w:val="bottom"/>
          </w:tcPr>
          <w:p>
            <w:pPr>
              <w:spacing w:after="0"/>
              <w:rPr>
                <w:sz w:val="18"/>
                <w:szCs w:val="18"/>
                <w:color w:val="auto"/>
              </w:rPr>
            </w:pPr>
          </w:p>
        </w:tc>
      </w:tr>
      <w:tr>
        <w:trPr>
          <w:trHeight w:val="23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 and cash equivalents</w:t>
            </w: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w:t>
            </w: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 in cash and cash equivalents</w:t>
            </w: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(9,761)</w:t>
            </w:r>
          </w:p>
        </w:tc>
        <w:tc>
          <w:tcPr>
            <w:tcW w:w="100" w:type="dxa"/>
            <w:vAlign w:val="bottom"/>
          </w:tcPr>
          <w:p>
            <w:pPr>
              <w:spacing w:after="0"/>
              <w:rPr>
                <w:sz w:val="18"/>
                <w:szCs w:val="18"/>
                <w:color w:val="auto"/>
              </w:rPr>
            </w:pPr>
          </w:p>
        </w:tc>
      </w:tr>
      <w:tr>
        <w:trPr>
          <w:trHeight w:val="23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beginning of period</w:t>
            </w: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39,551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52,407</w:t>
            </w:r>
          </w:p>
        </w:tc>
      </w:tr>
      <w:tr>
        <w:trPr>
          <w:trHeight w:val="210"/>
        </w:trPr>
        <w:tc>
          <w:tcPr>
            <w:tcW w:w="80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4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end of period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39,433</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42,646</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condensed consolidated financial statements are an integral part of the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NOTES TO CONDENSED CONSOLIDATED FINANCIAL STATEMENTS-UNAUDITED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MAY 31, 2025</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the instructions to Form 10-Q and do not include all of the information and footnotes required by accounting principles generally accepted in the United States (“GAAP”) for complete financial statements. In our opinion, all adjustments (consisting of normal recurring adjustments) considered necessary for a fair presentation have been included.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References to “ASC” included hereinafter refer to the Accounting Standards Codification established by the Financial Accounting Standards Board (“FASB”) as the source of authoritative GAAP.</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Bassett Furniture Industries, Incorporated (“Bassett”, “we”, “our”, or the “Company”) and our wholly-owned subsidiaries of which we have a controlling interest. In accordance with ASC Topic 810, we have evaluated our licensees and certain other entities to determine whether they are variable interest entities (“VIEs”) of which we are the primary beneficiary and thus would require consolidation in our financial statements. As of and for the periods ended May 31, 2025 and June 1, 2024 and as of November 30, 2024 we have concluded that none of the evaluated entities represent VIEs.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Revenue from the sale of furniture and accessories is reported in the accompanying condensed consolidated statements of operations net of estimates for returns and allowances. We exclude from revenues amounts collected from customers for sales tax.</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fiscal year, which ends on the last Saturday of November, periodically results in a 53-week year instead of the normal 52 weeks. The prior fiscal year ended November 30, 2024 was a 53-week year, with the additional week being included in the first fiscal quarter. Accordingly, the information presented below includes 26 weeks of operations for the six months ended May 31, 2025 as compared with 27 weeks included in the six months ended June 1, 2024.</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Interim Financial Presentation and Other Information</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All intercompany accounts and transactions have been eliminated in the condensed consolidated financial statements. The results of operations for the three and six months ended May 31, 2025 are not necessarily indicative of results for the full fiscal year. These interim condensed consolidated financial statements should be read in conjunction with the consolidated financial statements and accompanying notes included in our Annual Report on Form 10-K for the year ended November 30, 2024. Certain prior period amounts have been reclassified to conform to current period presentation.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calculate an anticipated effective tax rate for the year based on our annual estimates of pretax income or loss and use that effective tax rate to record our year-to-date income tax provision. Any change in annual projections of pretax income or loss could have a significant impact on our effective tax rate for the respective quarter.</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effective tax rate was 26.1% and 26.8% for the three and six months ended May 31, 2025, respectively. The effective rates for the three and six months ended May 31, 2025 differ from the federal statutory rate of 21% primarily due to the effects of state income taxes and various permanent differences.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effective tax rate was 11.2% and 14.5% for the three and six months ended June 1, 2024, respectively. The effective rates for the three and six months ended June 1, 2024 differ from the federal statutory rate of 21% primarily due to increases in the valuation allowance placed on deferred tax assets associated with Noa Home Inc. (“Noa Home”), the effects of state income taxes and various permanent differences.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Cash Flow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six months ended May 31, 2025 and June 1, 2024, $378 and $3,476, respectively, of lease right-of-use assets were added through the recognition of the corresponding lease obligations.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Taxes paid net of refunds received during the six months ended May 31, 2025 and June 1, 2024 was $383 and $48,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paid during the six months ended May 31, 2025 and June 1, 2024 was $14 and $10, respectively.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CONDENSED CONSOLIDATED FINANCIAL STATEMENTS-UNAUDITED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MAY 31,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Lessor Income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receive lease income as the lessor on a small number of leased premises which we have subleased to other tenants. Sublease income for closed stores and warehouses is included in selling general and administrative expense in the accompanying condensed consolidated statements of operations and was $148 and $251 for the three and six months ended May 31, 2025, respectively, and $103 and $205 for the three and six months ended June 1, 2024. We also sublease one location to a licensee. This sublease income is included in other loss, net in the accompanying condensed consolidated statements of operations and was $114 and $228 for the three and six months ended May 31, 2025, respectively, and $114 and $228 for the three and six months ended June 1, 2024, respectively.</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Financial Instruments and Investments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financial instruments include cash and cash equivalents, short-term investments in certificates of deposit (CDs), accounts receivable, and accounts payable. Because of their short maturities, the carrying amounts of cash and cash equivalents, accounts receivable, and accounts payable approximate fair value.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short-term investments of $20,385 and $20,360 at May 31, 2025 and November 30, 2024, respectively, consisted of CDs. At May 31, 2025, the CDs had original terms averaging seven months, bearing interest at rates ranging from 0.7% to 5.15% and the weighted average remaining time to maturity was approximately three months and the weighted average yield of the CDs was approximately 3.9%. Each CD is placed with a federally insured financial institution and, except as noted below, all deposits are within federal deposit insurance limits. Due to the nature of these investments and their relatively short maturities, the carrying amount of the short-term investments at May 31, 2025 and November 30, 2024 approximates their fair value.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investment in CDs at May 31, 2025 and November 30, 2024 includes one CD in the amount of $2,500 which was placed with a financial institution that provides merchant services for our retail segment. This CD has been pledged as security for the merchant services agreement. The CD has a six-month term maturing in October 2025 and an interest rate of 2.0%. The requirement to maintain the pledge will be reassessed prior to the end of fiscal 2025, therefore the CD is classified as a current asset with our other CDs. This CD is in excess of the $250 Federal deposit insurance limit.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4. Accounts Receivable</w:t>
            </w:r>
          </w:p>
        </w:tc>
        <w:tc>
          <w:tcPr>
            <w:tcW w:w="1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receivable consists of the following:</w:t>
            </w:r>
          </w:p>
        </w:tc>
        <w:tc>
          <w:tcPr>
            <w:tcW w:w="1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58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May 31, 2025</w:t>
            </w:r>
          </w:p>
        </w:tc>
        <w:tc>
          <w:tcPr>
            <w:tcW w:w="80" w:type="dxa"/>
            <w:vAlign w:val="bottom"/>
          </w:tcPr>
          <w:p>
            <w:pPr>
              <w:spacing w:after="0"/>
              <w:rPr>
                <w:sz w:val="24"/>
                <w:szCs w:val="24"/>
                <w:color w:val="auto"/>
              </w:rPr>
            </w:pPr>
          </w:p>
        </w:tc>
        <w:tc>
          <w:tcPr>
            <w:tcW w:w="17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November 30, 2024</w:t>
            </w:r>
          </w:p>
        </w:tc>
      </w:tr>
      <w:tr>
        <w:trPr>
          <w:trHeight w:val="210"/>
        </w:trPr>
        <w:tc>
          <w:tcPr>
            <w:tcW w:w="580" w:type="dxa"/>
            <w:vAlign w:val="bottom"/>
          </w:tcPr>
          <w:p>
            <w:pPr>
              <w:spacing w:after="0"/>
              <w:rPr>
                <w:sz w:val="18"/>
                <w:szCs w:val="18"/>
                <w:color w:val="auto"/>
              </w:rPr>
            </w:pPr>
          </w:p>
        </w:tc>
        <w:tc>
          <w:tcPr>
            <w:tcW w:w="4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accounts receivable</w:t>
            </w:r>
          </w:p>
        </w:tc>
        <w:tc>
          <w:tcPr>
            <w:tcW w:w="19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13,435</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14,278</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8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(552)</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(1,097)</w:t>
            </w:r>
          </w:p>
        </w:tc>
      </w:tr>
      <w:tr>
        <w:trPr>
          <w:trHeight w:val="223"/>
        </w:trPr>
        <w:tc>
          <w:tcPr>
            <w:tcW w:w="580" w:type="dxa"/>
            <w:vAlign w:val="bottom"/>
          </w:tcPr>
          <w:p>
            <w:pPr>
              <w:spacing w:after="0"/>
              <w:rPr>
                <w:sz w:val="19"/>
                <w:szCs w:val="19"/>
                <w:color w:val="auto"/>
              </w:rPr>
            </w:pPr>
          </w:p>
        </w:tc>
        <w:tc>
          <w:tcPr>
            <w:tcW w:w="46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9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maintain an allowance for credit losses for estimated losses resulting from the inability of our customers to make required payments. The allowance for credit losses is based on a review of specifically identified accounts in addition to an overall aging analysis which is applied to accounts pooled on the basis of similar risk characteristics. Judgments are made with respect to the collectability of accounts receivable within each pool based on historical experience, current payment practices and current economic trends based on our expectations over the expected life of the receivables, which is generally ninety days or less. Actual credit losses could differ from those estimates.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CONDENSED CONSOLIDATED FINANCIAL STATEMENTS-UNAUDITED</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MAY 31,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ectPr>
          <w:pgSz w:w="11900" w:h="16838" w:orient="portrait"/>
          <w:cols w:equalWidth="0" w:num="1">
            <w:col w:w="11240"/>
          </w:cols>
          <w:pgMar w:left="320" w:top="364" w:right="339" w:bottom="1440" w:gutter="0" w:footer="0" w:header="0"/>
        </w:sect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in the allowance for credit losses for the six months ended May 31, 2025 was as follows: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Balance at November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-119380</wp:posOffset>
            </wp:positionV>
            <wp:extent cx="5700395"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Additions charged to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5715</wp:posOffset>
            </wp:positionV>
            <wp:extent cx="5700395" cy="145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00395" cy="145415"/>
                    </a:xfrm>
                    <a:prstGeom prst="rect">
                      <a:avLst/>
                    </a:prstGeom>
                    <a:noFill/>
                  </pic:spPr>
                </pic:pic>
              </a:graphicData>
            </a:graphic>
          </wp:anchor>
        </w:drawing>
      </w:r>
    </w:p>
    <w:p>
      <w:pPr>
        <w:ind w:left="660"/>
        <w:spacing w:after="0"/>
        <w:rPr>
          <w:sz w:val="20"/>
          <w:szCs w:val="20"/>
          <w:color w:val="auto"/>
        </w:rPr>
      </w:pPr>
      <w:r>
        <w:rPr>
          <w:rFonts w:ascii="Times New Roman" w:cs="Times New Roman" w:eastAsia="Times New Roman" w:hAnsi="Times New Roman"/>
          <w:sz w:val="18"/>
          <w:szCs w:val="18"/>
          <w:color w:val="auto"/>
        </w:rPr>
        <w:t>Write-offs against allowance</w:t>
      </w:r>
    </w:p>
    <w:p>
      <w:pPr>
        <w:spacing w:after="0" w:line="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Balance at May 31,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120" w:hanging="1113"/>
        <w:spacing w:after="0"/>
        <w:tabs>
          <w:tab w:leader="none" w:pos="11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1,097</w:t>
      </w:r>
    </w:p>
    <w:p>
      <w:pPr>
        <w:spacing w:after="0" w:line="27" w:lineRule="exact"/>
        <w:rPr>
          <w:rFonts w:ascii="Times New Roman" w:cs="Times New Roman" w:eastAsia="Times New Roman" w:hAnsi="Times New Roman"/>
          <w:sz w:val="18"/>
          <w:szCs w:val="18"/>
          <w:color w:val="auto"/>
        </w:rPr>
      </w:pPr>
    </w:p>
    <w:p>
      <w:pPr>
        <w:ind w:left="1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w:t>
      </w:r>
    </w:p>
    <w:p>
      <w:pPr>
        <w:spacing w:after="0" w:line="9" w:lineRule="exact"/>
        <w:rPr>
          <w:sz w:val="20"/>
          <w:szCs w:val="20"/>
          <w:color w:val="auto"/>
        </w:rPr>
      </w:pPr>
    </w:p>
    <w:p>
      <w:pPr>
        <w:jc w:val="right"/>
        <w:ind w:right="1620"/>
        <w:spacing w:after="0"/>
        <w:rPr>
          <w:sz w:val="20"/>
          <w:szCs w:val="20"/>
          <w:color w:val="auto"/>
        </w:rPr>
      </w:pPr>
      <w:r>
        <w:rPr>
          <w:rFonts w:ascii="Times New Roman" w:cs="Times New Roman" w:eastAsia="Times New Roman" w:hAnsi="Times New Roman"/>
          <w:sz w:val="18"/>
          <w:szCs w:val="18"/>
          <w:color w:val="auto"/>
        </w:rPr>
        <w:t>(585)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9683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68375" cy="8890"/>
                    </a:xfrm>
                    <a:prstGeom prst="rect">
                      <a:avLst/>
                    </a:prstGeom>
                    <a:noFill/>
                  </pic:spPr>
                </pic:pic>
              </a:graphicData>
            </a:graphic>
          </wp:anchor>
        </w:drawing>
      </w:r>
    </w:p>
    <w:p>
      <w:pPr>
        <w:spacing w:after="0" w:line="11" w:lineRule="exact"/>
        <w:rPr>
          <w:sz w:val="20"/>
          <w:szCs w:val="20"/>
          <w:color w:val="auto"/>
        </w:rPr>
      </w:pPr>
    </w:p>
    <w:p>
      <w:pPr>
        <w:ind w:left="1260" w:hanging="1253"/>
        <w:spacing w:after="0"/>
        <w:tabs>
          <w:tab w:leader="none" w:pos="1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9683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6837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34290</wp:posOffset>
            </wp:positionV>
            <wp:extent cx="9683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7300" w:space="720"/>
            <w:col w:w="3220"/>
          </w:cols>
          <w:pgMar w:left="320" w:top="364" w:right="339" w:bottom="1440" w:gutter="0" w:footer="0" w:header="0"/>
          <w:type w:val="continuous"/>
        </w:sectPr>
      </w:pPr>
    </w:p>
    <w:p>
      <w:pPr>
        <w:spacing w:after="0" w:line="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Substantially all of the accounts receivable written off against the reserve during the three and six months ended May 31, 2025 originated during fiscal 2024.</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We believe that the carrying value of our net accounts receivable approximates fair value. The inputs into these fair value estimates reflect our market assumptions and are not observable. Consequently, the inputs are considered to be Level 3 as specified in the fair value hierarchy in ASC Topic 820, </w:t>
      </w:r>
      <w:r>
        <w:rPr>
          <w:rFonts w:ascii="Times New Roman" w:cs="Times New Roman" w:eastAsia="Times New Roman" w:hAnsi="Times New Roman"/>
          <w:sz w:val="18"/>
          <w:szCs w:val="18"/>
          <w:i w:val="1"/>
          <w:iCs w:val="1"/>
          <w:color w:val="auto"/>
        </w:rPr>
        <w:t>Fair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Value Measurements and Disclosures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Inventories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Domestic furniture inventories are valued at the lower of cost, which is determined using the last-in, first-out (LIFO) method, or market. Imported inventories and those applicable to our Lane Venture and Bassett Outdoor lines are valued at the lower of cost, which is determined using the first-in, first-out (FIFO) method, or net realizable value.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Inventories were comprised of the following:</w:t>
            </w: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5"/>
        </w:trPr>
        <w:tc>
          <w:tcPr>
            <w:tcW w:w="66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May 31, 2025</w:t>
            </w:r>
          </w:p>
        </w:tc>
        <w:tc>
          <w:tcPr>
            <w:tcW w:w="20" w:type="dxa"/>
            <w:vAlign w:val="bottom"/>
          </w:tcPr>
          <w:p>
            <w:pPr>
              <w:spacing w:after="0"/>
              <w:rPr>
                <w:sz w:val="24"/>
                <w:szCs w:val="24"/>
                <w:color w:val="auto"/>
              </w:rPr>
            </w:pPr>
          </w:p>
        </w:tc>
        <w:tc>
          <w:tcPr>
            <w:tcW w:w="160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November 30, 2024</w:t>
            </w:r>
          </w:p>
        </w:tc>
      </w:tr>
      <w:tr>
        <w:trPr>
          <w:trHeight w:val="210"/>
        </w:trPr>
        <w:tc>
          <w:tcPr>
            <w:tcW w:w="660" w:type="dxa"/>
            <w:vAlign w:val="bottom"/>
          </w:tcPr>
          <w:p>
            <w:pPr>
              <w:spacing w:after="0"/>
              <w:rPr>
                <w:sz w:val="18"/>
                <w:szCs w:val="18"/>
                <w:color w:val="auto"/>
              </w:rPr>
            </w:pPr>
          </w:p>
        </w:tc>
        <w:tc>
          <w:tcPr>
            <w:tcW w:w="6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Wholesale finished goods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27,072</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24,841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8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535</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519</w:t>
            </w:r>
          </w:p>
        </w:tc>
        <w:tc>
          <w:tcPr>
            <w:tcW w:w="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 and supplies</w:t>
            </w: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16,647</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14,921</w:t>
            </w:r>
          </w:p>
        </w:tc>
        <w:tc>
          <w:tcPr>
            <w:tcW w:w="80" w:type="dxa"/>
            <w:vAlign w:val="bottom"/>
            <w:shd w:val="clear" w:color="auto" w:fill="CCEEFF"/>
          </w:tcPr>
          <w:p>
            <w:pPr>
              <w:spacing w:after="0"/>
              <w:rPr>
                <w:sz w:val="18"/>
                <w:szCs w:val="18"/>
                <w:color w:val="auto"/>
              </w:rPr>
            </w:pPr>
          </w:p>
        </w:tc>
      </w:tr>
      <w:tr>
        <w:trPr>
          <w:trHeight w:val="230"/>
        </w:trPr>
        <w:tc>
          <w:tcPr>
            <w:tcW w:w="66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Retail merchandise</w:t>
            </w:r>
          </w:p>
        </w:tc>
        <w:tc>
          <w:tcPr>
            <w:tcW w:w="18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32,872</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31,744</w:t>
            </w:r>
          </w:p>
        </w:tc>
        <w:tc>
          <w:tcPr>
            <w:tcW w:w="80" w:type="dxa"/>
            <w:vAlign w:val="bottom"/>
          </w:tcPr>
          <w:p>
            <w:pPr>
              <w:spacing w:after="0"/>
              <w:rPr>
                <w:sz w:val="19"/>
                <w:szCs w:val="19"/>
                <w:color w:val="auto"/>
              </w:rPr>
            </w:pPr>
          </w:p>
        </w:tc>
      </w:tr>
      <w:tr>
        <w:trPr>
          <w:trHeight w:val="210"/>
        </w:trPr>
        <w:tc>
          <w:tcPr>
            <w:tcW w:w="660" w:type="dxa"/>
            <w:vAlign w:val="bottom"/>
          </w:tcPr>
          <w:p>
            <w:pPr>
              <w:spacing w:after="0"/>
              <w:rPr>
                <w:sz w:val="18"/>
                <w:szCs w:val="18"/>
                <w:color w:val="auto"/>
              </w:rPr>
            </w:pPr>
          </w:p>
        </w:tc>
        <w:tc>
          <w:tcPr>
            <w:tcW w:w="6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inventories on first-in, first-out method</w:t>
            </w:r>
          </w:p>
        </w:tc>
        <w:tc>
          <w:tcPr>
            <w:tcW w:w="1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77,126</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72,025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LIFO adjustment</w:t>
            </w:r>
          </w:p>
        </w:tc>
        <w:tc>
          <w:tcPr>
            <w:tcW w:w="18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(11,950)</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(11,665)</w:t>
            </w:r>
          </w:p>
        </w:tc>
      </w:tr>
      <w:tr>
        <w:trPr>
          <w:trHeight w:val="230"/>
        </w:trPr>
        <w:tc>
          <w:tcPr>
            <w:tcW w:w="660" w:type="dxa"/>
            <w:vAlign w:val="bottom"/>
          </w:tcPr>
          <w:p>
            <w:pPr>
              <w:spacing w:after="0"/>
              <w:rPr>
                <w:sz w:val="19"/>
                <w:szCs w:val="19"/>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 for excess and obsolete inventory</w:t>
            </w:r>
          </w:p>
        </w:tc>
        <w:tc>
          <w:tcPr>
            <w:tcW w:w="1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(5,814)</w:t>
            </w: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(5,395)</w:t>
            </w:r>
          </w:p>
        </w:tc>
      </w:tr>
      <w:tr>
        <w:trPr>
          <w:trHeight w:val="223"/>
        </w:trPr>
        <w:tc>
          <w:tcPr>
            <w:tcW w:w="660" w:type="dxa"/>
            <w:vAlign w:val="bottom"/>
          </w:tcPr>
          <w:p>
            <w:pPr>
              <w:spacing w:after="0"/>
              <w:rPr>
                <w:sz w:val="19"/>
                <w:szCs w:val="19"/>
                <w:color w:val="auto"/>
              </w:rPr>
            </w:pPr>
          </w:p>
        </w:tc>
        <w:tc>
          <w:tcPr>
            <w:tcW w:w="6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59,362</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54,965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estimate an inventory reserve for excess quantities and obsolete items based on specific identification and historical write-offs, taking into account future demand, market conditions and the respective valuations at LIFO. The need for these reserves is primarily driven by the normal product life cycle. As products mature and sales volumes decline, we rationalize our product offerings to respond to consumer tastes and keep our product lines fresh. If actual demand or market conditions in the future are less favorable than those estimated, additional inventory write-downs may be required. In determining reserves, we calculate separate reserves on our wholesale and retail inventories. Our wholesale inventories tend to carry the majority of the reserves for excess quantities and obsolete inventory due to the nature of our distribution model. These wholesale reserves primarily represent design and/or style obsolescence. Typically, product is not shipped to our retail warehouses until a consumer has ordered and paid a deposit for the product. We do not typically hold retail inventory for stock purposes. Consequently, floor sample inventory and inventory for delivery to customers account for the majority of our inventory at retail. Retail reserves are based on accessory and clearance floor sample inventory in our stores and any inventory that is not associated with a specific customer order in our retail warehouses.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CONDENSED CONSOLIDATED FINANCIAL STATEMENTS-UNAUDITED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MAY 31,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in the reserves for excess quantities and obsolete inventory by segment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Wholesale</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39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Segment</w:t>
            </w:r>
          </w:p>
        </w:tc>
        <w:tc>
          <w:tcPr>
            <w:tcW w:w="140" w:type="dxa"/>
            <w:vAlign w:val="bottom"/>
          </w:tcPr>
          <w:p>
            <w:pPr>
              <w:spacing w:after="0"/>
              <w:rPr>
                <w:sz w:val="20"/>
                <w:szCs w:val="20"/>
                <w:color w:val="auto"/>
              </w:rPr>
            </w:pPr>
          </w:p>
        </w:tc>
        <w:tc>
          <w:tcPr>
            <w:tcW w:w="15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Retail Segment</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Total</w:t>
            </w:r>
          </w:p>
        </w:tc>
      </w:tr>
      <w:tr>
        <w:trPr>
          <w:trHeight w:val="209"/>
        </w:trPr>
        <w:tc>
          <w:tcPr>
            <w:tcW w:w="39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November 30, 2024</w:t>
            </w:r>
          </w:p>
        </w:tc>
        <w:tc>
          <w:tcPr>
            <w:tcW w:w="19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4,158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1,237</w:t>
            </w:r>
          </w:p>
        </w:tc>
        <w:tc>
          <w:tcPr>
            <w:tcW w:w="320" w:type="dxa"/>
            <w:vAlign w:val="bottom"/>
            <w:gridSpan w:val="2"/>
            <w:shd w:val="clear" w:color="auto" w:fill="CCEEFF"/>
          </w:tcPr>
          <w:p>
            <w:pPr>
              <w:jc w:val="right"/>
              <w:ind w:right="184"/>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5,395</w:t>
            </w:r>
          </w:p>
        </w:tc>
        <w:tc>
          <w:tcPr>
            <w:tcW w:w="80" w:type="dxa"/>
            <w:vAlign w:val="bottom"/>
            <w:shd w:val="clear" w:color="auto" w:fill="CCEEFF"/>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Additions charged to expense</w:t>
            </w: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966</w:t>
            </w:r>
          </w:p>
        </w:tc>
        <w:tc>
          <w:tcPr>
            <w:tcW w:w="14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326</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1,292</w:t>
            </w:r>
          </w:p>
        </w:tc>
        <w:tc>
          <w:tcPr>
            <w:tcW w:w="80" w:type="dxa"/>
            <w:vAlign w:val="bottom"/>
          </w:tcPr>
          <w:p>
            <w:pPr>
              <w:spacing w:after="0"/>
              <w:rPr>
                <w:sz w:val="18"/>
                <w:szCs w:val="18"/>
                <w:color w:val="auto"/>
              </w:rPr>
            </w:pPr>
          </w:p>
        </w:tc>
      </w:tr>
      <w:tr>
        <w:trPr>
          <w:trHeight w:val="229"/>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Write-offs</w:t>
            </w:r>
          </w:p>
        </w:tc>
        <w:tc>
          <w:tcPr>
            <w:tcW w:w="17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(682)</w:t>
            </w:r>
          </w:p>
        </w:tc>
        <w:tc>
          <w:tcPr>
            <w:tcW w:w="1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(191)</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(873)</w:t>
            </w:r>
          </w:p>
        </w:tc>
      </w:tr>
      <w:tr>
        <w:trPr>
          <w:trHeight w:val="223"/>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Balance at May 31, 2025</w:t>
            </w:r>
          </w:p>
        </w:tc>
        <w:tc>
          <w:tcPr>
            <w:tcW w:w="17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4,442</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9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estimates and assumptions have been reasonably accurate in the past. We have not made any significant changes to our methodology for determining inventory reserves in 2025 and do not anticipate that our methodology is likely to change in the future.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 Goodwill and Other Intangible Assets</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Goodwill and other intangible assets consisted of the following:</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May 31, 2025</w:t>
            </w: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ind w:left="80"/>
              <w:spacing w:after="0" w:line="188"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center"/>
              <w:ind w:right="110"/>
              <w:spacing w:after="0" w:line="188" w:lineRule="exact"/>
              <w:rPr>
                <w:sz w:val="20"/>
                <w:szCs w:val="20"/>
                <w:color w:val="auto"/>
              </w:rPr>
            </w:pPr>
            <w:r>
              <w:rPr>
                <w:rFonts w:ascii="Times New Roman" w:cs="Times New Roman" w:eastAsia="Times New Roman" w:hAnsi="Times New Roman"/>
                <w:sz w:val="18"/>
                <w:szCs w:val="18"/>
                <w:b w:val="1"/>
                <w:bCs w:val="1"/>
                <w:color w:val="auto"/>
                <w:w w:val="98"/>
              </w:rPr>
              <w:t>Intangible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Assets, Net</w:t>
            </w:r>
          </w:p>
        </w:tc>
        <w:tc>
          <w:tcPr>
            <w:tcW w:w="0" w:type="dxa"/>
            <w:vAlign w:val="bottom"/>
          </w:tcPr>
          <w:p>
            <w:pPr>
              <w:spacing w:after="0"/>
              <w:rPr>
                <w:sz w:val="1"/>
                <w:szCs w:val="1"/>
                <w:color w:val="auto"/>
              </w:rPr>
            </w:pPr>
          </w:p>
        </w:tc>
      </w:tr>
      <w:tr>
        <w:trPr>
          <w:trHeight w:val="210"/>
        </w:trPr>
        <w:tc>
          <w:tcPr>
            <w:tcW w:w="5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Intangibles subject to amortization</w:t>
            </w:r>
          </w:p>
        </w:tc>
        <w:tc>
          <w:tcPr>
            <w:tcW w:w="8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Customer relationships</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512</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(421)</w:t>
            </w:r>
          </w:p>
        </w:tc>
        <w:tc>
          <w:tcPr>
            <w:tcW w:w="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196"/>
        </w:trPr>
        <w:tc>
          <w:tcPr>
            <w:tcW w:w="54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Intangibles not subject to amortization:</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 names</w:t>
            </w: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6,848</w:t>
            </w:r>
          </w:p>
        </w:tc>
        <w:tc>
          <w:tcPr>
            <w:tcW w:w="0" w:type="dxa"/>
            <w:vAlign w:val="bottom"/>
          </w:tcPr>
          <w:p>
            <w:pPr>
              <w:spacing w:after="0"/>
              <w:rPr>
                <w:sz w:val="1"/>
                <w:szCs w:val="1"/>
                <w:color w:val="auto"/>
              </w:rPr>
            </w:pPr>
          </w:p>
        </w:tc>
      </w:tr>
      <w:tr>
        <w:trPr>
          <w:trHeight w:val="263"/>
        </w:trPr>
        <w:tc>
          <w:tcPr>
            <w:tcW w:w="54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intangible assets</w:t>
            </w:r>
          </w:p>
        </w:tc>
        <w:tc>
          <w:tcPr>
            <w:tcW w:w="8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3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6,939</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460" w:type="dxa"/>
            <w:vAlign w:val="bottom"/>
            <w:tcBorders>
              <w:bottom w:val="single" w:sz="8" w:color="CCEEFF"/>
            </w:tcBorders>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Goodwill</w:t>
            </w:r>
          </w:p>
        </w:tc>
        <w:tc>
          <w:tcPr>
            <w:tcW w:w="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7,217</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gridSpan w:val="4"/>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November 30, 2024</w:t>
            </w: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4"/>
            <w:vMerge w:val="continue"/>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ind w:left="80"/>
              <w:spacing w:after="0" w:line="188"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80" w:type="dxa"/>
            <w:vAlign w:val="bottom"/>
          </w:tcPr>
          <w:p>
            <w:pPr>
              <w:spacing w:after="0"/>
              <w:rPr>
                <w:sz w:val="16"/>
                <w:szCs w:val="16"/>
                <w:color w:val="auto"/>
              </w:rPr>
            </w:pPr>
          </w:p>
        </w:tc>
        <w:tc>
          <w:tcPr>
            <w:tcW w:w="1460" w:type="dxa"/>
            <w:vAlign w:val="bottom"/>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Intangible Assets,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Net</w:t>
            </w:r>
          </w:p>
        </w:tc>
        <w:tc>
          <w:tcPr>
            <w:tcW w:w="0" w:type="dxa"/>
            <w:vAlign w:val="bottom"/>
          </w:tcPr>
          <w:p>
            <w:pPr>
              <w:spacing w:after="0"/>
              <w:rPr>
                <w:sz w:val="1"/>
                <w:szCs w:val="1"/>
                <w:color w:val="auto"/>
              </w:rPr>
            </w:pPr>
          </w:p>
        </w:tc>
      </w:tr>
      <w:tr>
        <w:trPr>
          <w:trHeight w:val="209"/>
        </w:trPr>
        <w:tc>
          <w:tcPr>
            <w:tcW w:w="5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Intangibles subject to amortization</w:t>
            </w:r>
          </w:p>
        </w:tc>
        <w:tc>
          <w:tcPr>
            <w:tcW w:w="8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Customer relationships</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512</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(392)</w:t>
            </w:r>
          </w:p>
        </w:tc>
        <w:tc>
          <w:tcPr>
            <w:tcW w:w="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197"/>
        </w:trPr>
        <w:tc>
          <w:tcPr>
            <w:tcW w:w="54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Intangibles not subject to amortization:</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 names</w:t>
            </w: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6,848</w:t>
            </w:r>
          </w:p>
        </w:tc>
        <w:tc>
          <w:tcPr>
            <w:tcW w:w="0" w:type="dxa"/>
            <w:vAlign w:val="bottom"/>
          </w:tcPr>
          <w:p>
            <w:pPr>
              <w:spacing w:after="0"/>
              <w:rPr>
                <w:sz w:val="1"/>
                <w:szCs w:val="1"/>
                <w:color w:val="auto"/>
              </w:rPr>
            </w:pPr>
          </w:p>
        </w:tc>
      </w:tr>
      <w:tr>
        <w:trPr>
          <w:trHeight w:val="263"/>
        </w:trPr>
        <w:tc>
          <w:tcPr>
            <w:tcW w:w="54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intangible assets</w:t>
            </w:r>
          </w:p>
        </w:tc>
        <w:tc>
          <w:tcPr>
            <w:tcW w:w="8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3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6,968</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5460" w:type="dxa"/>
            <w:vAlign w:val="bottom"/>
            <w:tcBorders>
              <w:bottom w:val="single" w:sz="8" w:color="CCEEFF"/>
            </w:tcBorders>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Goodwill</w:t>
            </w:r>
          </w:p>
        </w:tc>
        <w:tc>
          <w:tcPr>
            <w:tcW w:w="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7,217</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320" w:right="1900" w:hanging="5315"/>
        <w:spacing w:after="0" w:line="532" w:lineRule="auto"/>
        <w:rPr>
          <w:sz w:val="20"/>
          <w:szCs w:val="20"/>
          <w:color w:val="auto"/>
        </w:rPr>
      </w:pPr>
      <w:r>
        <w:rPr>
          <w:rFonts w:ascii="Times New Roman" w:cs="Times New Roman" w:eastAsia="Times New Roman" w:hAnsi="Times New Roman"/>
          <w:sz w:val="18"/>
          <w:szCs w:val="18"/>
          <w:color w:val="auto"/>
        </w:rPr>
        <w:t>There were no changes in the carrying amounts of goodwill during the three and six months ended May 31, 2025 or June 1, 2024. 10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CONDENSED CONSOLIDATED FINANCIAL STATEMENTS-UNAUDITED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MAY 31,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amounts of goodwill by reportable segment, including accumulated impairment losses, at both May 31, 2025 and November 30, 2024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9"/>
              </w:rPr>
              <w:t>Original</w:t>
            </w:r>
          </w:p>
        </w:tc>
        <w:tc>
          <w:tcPr>
            <w:tcW w:w="18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Accumulated</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388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rPr>
              <w:t>Recorded</w:t>
            </w:r>
          </w:p>
        </w:tc>
        <w:tc>
          <w:tcPr>
            <w:tcW w:w="180" w:type="dxa"/>
            <w:vAlign w:val="bottom"/>
          </w:tcPr>
          <w:p>
            <w:pPr>
              <w:spacing w:after="0"/>
              <w:rPr>
                <w:sz w:val="19"/>
                <w:szCs w:val="19"/>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Impairment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6"/>
              </w:rPr>
              <w:t>Carrying</w:t>
            </w:r>
          </w:p>
        </w:tc>
      </w:tr>
      <w:tr>
        <w:trPr>
          <w:trHeight w:val="234"/>
        </w:trPr>
        <w:tc>
          <w:tcPr>
            <w:tcW w:w="38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7"/>
              </w:rPr>
              <w:t>Value</w:t>
            </w:r>
          </w:p>
        </w:tc>
        <w:tc>
          <w:tcPr>
            <w:tcW w:w="180" w:type="dxa"/>
            <w:vAlign w:val="bottom"/>
          </w:tcPr>
          <w:p>
            <w:pPr>
              <w:spacing w:after="0"/>
              <w:rPr>
                <w:sz w:val="20"/>
                <w:szCs w:val="20"/>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Losses</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8"/>
              </w:rPr>
              <w:t>Amount</w:t>
            </w:r>
          </w:p>
        </w:tc>
      </w:tr>
      <w:tr>
        <w:trPr>
          <w:trHeight w:val="210"/>
        </w:trPr>
        <w:tc>
          <w:tcPr>
            <w:tcW w:w="38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Wholesale</w:t>
            </w:r>
          </w:p>
        </w:tc>
        <w:tc>
          <w:tcPr>
            <w:tcW w:w="2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9,188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(1,971)</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7,217</w:t>
            </w: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Retail</w:t>
            </w:r>
          </w:p>
        </w:tc>
        <w:tc>
          <w:tcPr>
            <w:tcW w:w="2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1,926</w:t>
            </w:r>
          </w:p>
        </w:tc>
        <w:tc>
          <w:tcPr>
            <w:tcW w:w="18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(1,926)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24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5,409</w:t>
            </w: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(5,409)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8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goodwill</w:t>
            </w:r>
          </w:p>
        </w:tc>
        <w:tc>
          <w:tcPr>
            <w:tcW w:w="2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16,523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(9,306)</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7,217</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associated with intangible assets during the three and six months ended May 31, 2025 and June 1, 2024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2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140" w:type="dxa"/>
            <w:vAlign w:val="bottom"/>
            <w:gridSpan w:val="5"/>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80" w:type="dxa"/>
            <w:vAlign w:val="bottom"/>
            <w:gridSpan w:val="5"/>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112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380" w:type="dxa"/>
            <w:vAlign w:val="bottom"/>
            <w:tcBorders>
              <w:top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May 31, 2025</w:t>
            </w:r>
          </w:p>
        </w:tc>
        <w:tc>
          <w:tcPr>
            <w:tcW w:w="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June 1, 2024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Borders>
              <w:top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May 31, 2025</w:t>
            </w:r>
          </w:p>
        </w:tc>
        <w:tc>
          <w:tcPr>
            <w:tcW w:w="2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June 1, 2024</w:t>
            </w:r>
          </w:p>
        </w:tc>
        <w:tc>
          <w:tcPr>
            <w:tcW w:w="100" w:type="dxa"/>
            <w:vAlign w:val="bottom"/>
          </w:tcPr>
          <w:p>
            <w:pPr>
              <w:spacing w:after="0"/>
              <w:rPr>
                <w:sz w:val="19"/>
                <w:szCs w:val="19"/>
                <w:color w:val="auto"/>
              </w:rPr>
            </w:pPr>
          </w:p>
        </w:tc>
      </w:tr>
      <w:tr>
        <w:trPr>
          <w:trHeight w:val="210"/>
        </w:trPr>
        <w:tc>
          <w:tcPr>
            <w:tcW w:w="11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 amortization expense</w:t>
            </w:r>
          </w:p>
        </w:tc>
        <w:tc>
          <w:tcPr>
            <w:tcW w:w="38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5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960" w:type="dxa"/>
            <w:vAlign w:val="bottom"/>
            <w:gridSpan w:val="3"/>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1120" w:type="dxa"/>
            <w:vAlign w:val="bottom"/>
            <w:tcBorders>
              <w:top w:val="single" w:sz="8" w:color="CCEEFF"/>
            </w:tcBorders>
          </w:tcPr>
          <w:p>
            <w:pPr>
              <w:spacing w:after="0" w:line="20" w:lineRule="exact"/>
              <w:rPr>
                <w:sz w:val="1"/>
                <w:szCs w:val="1"/>
                <w:color w:val="auto"/>
              </w:rPr>
            </w:pPr>
          </w:p>
        </w:tc>
        <w:tc>
          <w:tcPr>
            <w:tcW w:w="48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3"/>
        </w:trPr>
        <w:tc>
          <w:tcPr>
            <w:tcW w:w="7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Estimated future amortization expense for intangible assets that exist at May 31, 2025 is as follows:</w:t>
            </w: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1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fiscal 2025</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29</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2026</w:t>
            </w: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9"/>
              </w:rPr>
              <w:t>57</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120" w:type="dxa"/>
            <w:vAlign w:val="bottom"/>
          </w:tcPr>
          <w:p>
            <w:pPr>
              <w:spacing w:after="0"/>
              <w:rPr>
                <w:sz w:val="19"/>
                <w:szCs w:val="19"/>
                <w:color w:val="auto"/>
              </w:rPr>
            </w:pPr>
          </w:p>
        </w:tc>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2027</w:t>
            </w: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1120" w:type="dxa"/>
            <w:vAlign w:val="bottom"/>
          </w:tcPr>
          <w:p>
            <w:pPr>
              <w:spacing w:after="0"/>
              <w:rPr>
                <w:sz w:val="19"/>
                <w:szCs w:val="19"/>
                <w:color w:val="auto"/>
              </w:rPr>
            </w:pP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91</w:t>
            </w:r>
          </w:p>
        </w:tc>
        <w:tc>
          <w:tcPr>
            <w:tcW w:w="8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11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Bank Credit Facility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15, 2024, we entered into the Eighth Amended and Restated Credit Agreement with our bank (the “Credit Facility”). This Credit Facility provides for a line of credit of up to $25,000. At May 31, 2025, we had $8,182 outstanding under standby letters of credit against our line. The line bears interest at the One-Month Term Secured Overnight Financing Rate (“One-Month Term SOFR”) plus 1.75% and is secured by our accounts receivable and inventory. Our bank charges a fee of 0.25% on the daily unused balance of the line, payable quarterly. Under the terms of the Credit Facility, Consolidated Minimum Tangible Net Worth (as defined in the Credit Facility) shall at no time be less than $120,000. In addition, we must maintain the following financial covenants, measured quarterly on a rolling twelve-month basis and commencing as of the end of the first fiscal quarter after the first date that the used commitment (the sum of any outstanding advances plus standby letters of credit) equals or exceeds $8,250:</w:t>
      </w:r>
    </w:p>
    <w:p>
      <w:pPr>
        <w:spacing w:after="0" w:line="189"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Fixed Charge Coverage Ratio (as defined in the Credit Facility) of not less than 1.2 times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Lease Adjusted Leverage to EBITDAR Ratio (as defined in the Credit Facility) not to exceed 3.35 times.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our used commitment was less than $8,250 at May 31, 2025, we were not required to test the Consolidated Fixed Charge Coverage Ratio or the Consolidated Lease Adjusted Leverage to EBITDAR Ratio. However, had we been required to test those ratios, we would have been in full compliance. Our availability under the Credit Facility is currently $16,818.</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CONDENSED CONSOLIDATED FINANCIAL STATEMENTS-UNAUDITED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MAY 31,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Post Employment Benefit Obligations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Defined Benefit Plans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an unfunded Supplemental Retirement Income Plan (the “Supplemental Plan”) that covers one current and certain former executives. The liability for the Supplemental Plan was $5,578 and $5,557 as of May 31, 2025 and November 30, 2024, respectively.</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also have the Bassett Furniture Industries, Incorporated Management Savings Plan (the “Management Savings Plan”) which was established in the second quarter of fiscal 2017. The Management Savings Plan is an unfunded, nonqualified deferred compensation plan maintained for the benefit of certain highly compensated or management level employees. As part of the Management Savings Plan, we have made Long Term Cash Awards (“LTC Awards”) totaling $2,000 to five management employees in the amount of $400 each. We are accounting for the LTC Awards as a defined benefit pension plan. Currently, two of those employees have retired and are receiving benefits. The liability for the LTC Awards was $1,401 and $1,360 as of May 31, 2025 and November 30, 2024,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combined pension liability for the Supplemental Plan and LTC Awards is recorded as follows in the condensed consolidated balance sheets:</w:t>
      </w:r>
    </w:p>
    <w:p>
      <w:pPr>
        <w:spacing w:after="0" w:line="235"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5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May 31, 2025</w:t>
            </w:r>
          </w:p>
        </w:tc>
        <w:tc>
          <w:tcPr>
            <w:tcW w:w="16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November 30, 2024</w:t>
            </w:r>
          </w:p>
        </w:tc>
      </w:tr>
      <w:tr>
        <w:trPr>
          <w:trHeight w:val="209"/>
        </w:trPr>
        <w:tc>
          <w:tcPr>
            <w:tcW w:w="5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Post employment benefit obligations</w:t>
            </w:r>
          </w:p>
        </w:tc>
        <w:tc>
          <w:tcPr>
            <w:tcW w:w="18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6,187</w:t>
            </w:r>
          </w:p>
        </w:tc>
        <w:tc>
          <w:tcPr>
            <w:tcW w:w="62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6,125</w:t>
            </w:r>
          </w:p>
        </w:tc>
      </w:tr>
      <w:tr>
        <w:trPr>
          <w:trHeight w:val="223"/>
        </w:trPr>
        <w:tc>
          <w:tcPr>
            <w:tcW w:w="56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pension liability</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6,979</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Components of net periodic pension costs for our defined benefit plans for the three and six months ended May 31, 2025 and June 1, 2024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340" w:type="dxa"/>
            <w:vAlign w:val="bottom"/>
            <w:gridSpan w:val="5"/>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300" w:type="dxa"/>
            <w:vAlign w:val="bottom"/>
          </w:tcPr>
          <w:p>
            <w:pPr>
              <w:spacing w:after="0"/>
              <w:rPr>
                <w:sz w:val="20"/>
                <w:szCs w:val="20"/>
                <w:color w:val="auto"/>
              </w:rPr>
            </w:pPr>
          </w:p>
        </w:tc>
        <w:tc>
          <w:tcPr>
            <w:tcW w:w="17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980" w:type="dxa"/>
            <w:vAlign w:val="bottom"/>
          </w:tcPr>
          <w:p>
            <w:pPr>
              <w:spacing w:after="0"/>
              <w:rPr>
                <w:sz w:val="19"/>
                <w:szCs w:val="19"/>
                <w:color w:val="auto"/>
              </w:rPr>
            </w:pPr>
          </w:p>
        </w:tc>
        <w:tc>
          <w:tcPr>
            <w:tcW w:w="1380" w:type="dxa"/>
            <w:vAlign w:val="bottom"/>
            <w:tcBorders>
              <w:top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May 31, 2025</w:t>
            </w:r>
          </w:p>
        </w:tc>
        <w:tc>
          <w:tcPr>
            <w:tcW w:w="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June 1, 2024</w:t>
            </w:r>
          </w:p>
        </w:tc>
        <w:tc>
          <w:tcPr>
            <w:tcW w:w="220" w:type="dxa"/>
            <w:vAlign w:val="bottom"/>
          </w:tcPr>
          <w:p>
            <w:pPr>
              <w:spacing w:after="0"/>
              <w:rPr>
                <w:sz w:val="19"/>
                <w:szCs w:val="19"/>
                <w:color w:val="auto"/>
              </w:rPr>
            </w:pPr>
          </w:p>
        </w:tc>
        <w:tc>
          <w:tcPr>
            <w:tcW w:w="1320" w:type="dxa"/>
            <w:vAlign w:val="bottom"/>
            <w:tcBorders>
              <w:top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May 31, 2025</w:t>
            </w:r>
          </w:p>
        </w:tc>
        <w:tc>
          <w:tcPr>
            <w:tcW w:w="1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June 1, 2024</w:t>
            </w:r>
          </w:p>
        </w:tc>
        <w:tc>
          <w:tcPr>
            <w:tcW w:w="100" w:type="dxa"/>
            <w:vAlign w:val="bottom"/>
          </w:tcPr>
          <w:p>
            <w:pPr>
              <w:spacing w:after="0"/>
              <w:rPr>
                <w:sz w:val="19"/>
                <w:szCs w:val="19"/>
                <w:color w:val="auto"/>
              </w:rPr>
            </w:pPr>
          </w:p>
        </w:tc>
      </w:tr>
      <w:tr>
        <w:trPr>
          <w:trHeight w:val="209"/>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380" w:type="dxa"/>
            <w:vAlign w:val="bottom"/>
            <w:tcBorders>
              <w:top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38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163</w:t>
            </w:r>
          </w:p>
        </w:tc>
        <w:tc>
          <w:tcPr>
            <w:tcW w:w="72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prior service costs</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w:t>
            </w: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loss</w:t>
            </w:r>
          </w:p>
        </w:tc>
        <w:tc>
          <w:tcPr>
            <w:tcW w:w="38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3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w:t>
            </w:r>
          </w:p>
        </w:tc>
        <w:tc>
          <w:tcPr>
            <w:tcW w:w="720" w:type="dxa"/>
            <w:vAlign w:val="bottom"/>
          </w:tcPr>
          <w:p>
            <w:pPr>
              <w:spacing w:after="0"/>
              <w:rPr>
                <w:sz w:val="19"/>
                <w:szCs w:val="19"/>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w:t>
            </w: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periodic pension cost</w:t>
            </w:r>
          </w:p>
        </w:tc>
        <w:tc>
          <w:tcPr>
            <w:tcW w:w="380" w:type="dxa"/>
            <w:vAlign w:val="bottom"/>
            <w:tcBorders>
              <w:top w:val="single" w:sz="8" w:color="auto"/>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components of net periodic pension cost other than the service cost component, which is included in selling, general and administrative expenses, are included in other loss, net in our condensed consolidated statements of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Deferred Compensation Plans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an unfunded deferred compensation plan that covers one current executive and certain former executives and provides for voluntary deferral of compensation. This plan has been frozen with no additional participants or deferrals permitted. Our liability under this plan was $1,584 and $1,601 as of May 31, 2025 and November 30, 2024, respectively.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have an unfunded, nonqualified deferred compensation plan maintained for the benefit of certain highly compensated or management level employees which was established under the Management Savings Plan. Our liability under this plan, including both accrued Company contributions and participant salary deferrals, was $3,373 and $3,486 as of May 31, 2025 and November 30, 2024, respectively.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CONDENSED CONSOLIDATED FINANCIAL STATEMENTS-UNAUDITED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MAY 31,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combined liability for all deferred compensation arrangements, including Company contributions and participant deferrals under the Management Savings Plan, is recorded as follows in the condensed consolidated balance sheets:</w:t>
      </w:r>
    </w:p>
    <w:p>
      <w:pPr>
        <w:spacing w:after="0" w:line="171"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5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May 31, 2025</w:t>
            </w:r>
          </w:p>
        </w:tc>
        <w:tc>
          <w:tcPr>
            <w:tcW w:w="16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November 30, 2024</w:t>
            </w:r>
          </w:p>
        </w:tc>
      </w:tr>
      <w:tr>
        <w:trPr>
          <w:trHeight w:val="209"/>
        </w:trPr>
        <w:tc>
          <w:tcPr>
            <w:tcW w:w="5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Post employment benefit obligations</w:t>
            </w:r>
          </w:p>
        </w:tc>
        <w:tc>
          <w:tcPr>
            <w:tcW w:w="18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4,627</w:t>
            </w:r>
          </w:p>
        </w:tc>
        <w:tc>
          <w:tcPr>
            <w:tcW w:w="62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4,757</w:t>
            </w:r>
          </w:p>
        </w:tc>
      </w:tr>
      <w:tr>
        <w:trPr>
          <w:trHeight w:val="223"/>
        </w:trPr>
        <w:tc>
          <w:tcPr>
            <w:tcW w:w="56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compensation liability</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4,957</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recognized expense under our deferred compensation arrangements during the three and six months ended May 31, 2025 and June 1, 2024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34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300" w:type="dxa"/>
            <w:vAlign w:val="bottom"/>
          </w:tcPr>
          <w:p>
            <w:pPr>
              <w:spacing w:after="0"/>
              <w:rPr>
                <w:sz w:val="20"/>
                <w:szCs w:val="20"/>
                <w:color w:val="auto"/>
              </w:rPr>
            </w:pPr>
          </w:p>
        </w:tc>
        <w:tc>
          <w:tcPr>
            <w:tcW w:w="17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980" w:type="dxa"/>
            <w:vAlign w:val="bottom"/>
          </w:tcPr>
          <w:p>
            <w:pPr>
              <w:spacing w:after="0"/>
              <w:rPr>
                <w:sz w:val="19"/>
                <w:szCs w:val="19"/>
                <w:color w:val="auto"/>
              </w:rPr>
            </w:pPr>
          </w:p>
        </w:tc>
        <w:tc>
          <w:tcPr>
            <w:tcW w:w="138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May 31, 2025</w:t>
            </w:r>
          </w:p>
        </w:tc>
        <w:tc>
          <w:tcPr>
            <w:tcW w:w="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June 1, 2024</w:t>
            </w:r>
          </w:p>
        </w:tc>
        <w:tc>
          <w:tcPr>
            <w:tcW w:w="220" w:type="dxa"/>
            <w:vAlign w:val="bottom"/>
          </w:tcPr>
          <w:p>
            <w:pPr>
              <w:spacing w:after="0"/>
              <w:rPr>
                <w:sz w:val="19"/>
                <w:szCs w:val="19"/>
                <w:color w:val="auto"/>
              </w:rPr>
            </w:pPr>
          </w:p>
        </w:tc>
        <w:tc>
          <w:tcPr>
            <w:tcW w:w="132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May 31, 2025</w:t>
            </w:r>
          </w:p>
        </w:tc>
        <w:tc>
          <w:tcPr>
            <w:tcW w:w="1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June 1, 2024</w:t>
            </w:r>
          </w:p>
        </w:tc>
        <w:tc>
          <w:tcPr>
            <w:tcW w:w="100" w:type="dxa"/>
            <w:vAlign w:val="bottom"/>
          </w:tcPr>
          <w:p>
            <w:pPr>
              <w:spacing w:after="0"/>
              <w:rPr>
                <w:sz w:val="19"/>
                <w:szCs w:val="19"/>
                <w:color w:val="auto"/>
              </w:rPr>
            </w:pP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compensation expense</w:t>
            </w:r>
          </w:p>
        </w:tc>
        <w:tc>
          <w:tcPr>
            <w:tcW w:w="380" w:type="dxa"/>
            <w:vAlign w:val="bottom"/>
            <w:tcBorders>
              <w:top w:val="single" w:sz="8" w:color="auto"/>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Other Gains and Losses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2025</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and six months ended May 31, 2025, selling, general and administrative expenses include a gain of $698 for proceeds received from a business interruption insurance claim arising from the previously disclosed cybersecurity incident which occurred during the third quarter of fiscal 2024. $569 of the gain is allocated to our retail segment and $129 is allocated to our wholesale segment. These insurance proceeds are included in cash provided by operating activities in the accompanying condensed consolidated statement of cash flows for the six months ended May 31,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2024</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June 1, 2024, we recognized non-cash charges for asset impairments totaling $5,515 which consisted of the following:</w:t>
      </w:r>
    </w:p>
    <w:p>
      <w:pPr>
        <w:spacing w:after="0" w:line="162" w:lineRule="exact"/>
        <w:rPr>
          <w:sz w:val="20"/>
          <w:szCs w:val="20"/>
          <w:color w:val="auto"/>
        </w:rPr>
      </w:pPr>
    </w:p>
    <w:p>
      <w:pPr>
        <w:jc w:val="both"/>
        <w:ind w:left="660" w:hanging="328"/>
        <w:spacing w:after="0" w:line="257"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$2,887 in our retail segment which included $1,978 related to the impairment of leasehold improvements and $750 from the impairment of right-of-use assets at certain underperforming retail stores, as well as $159 for the impairment of right-of-use assets at certain warehouse locations resulting from the consolidation of our retail warehouses.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$727 for the impairment of plant and equipment in our wholesale segment related to the consolidation of our domestic wood production facilities.</w:t>
      </w:r>
    </w:p>
    <w:p>
      <w:pPr>
        <w:spacing w:after="0" w:line="1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$1,901 for the impairment of long-lived assets at Noa Home. During the second quarter we concluded that Noa Home was not likely to achieve profitability in the foreseeable future and decided to cease operations. $1,827 of these charges are for the full impairment of the Noa Home trade name intangible asset, and $74 relates to the full impairment of customized software used in the Noa Home operations. All remaining Noa Home assets were substantially liquidated as of November 30, 2024.</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Our estimates of the fair value of the impaired right-of-use assets included estimates of discounted cash flows based upon current market rents and other inputs which we consider to be Level 3 inputs as specified in the fair value hierarchy in ASC Topic 820, </w:t>
      </w:r>
      <w:r>
        <w:rPr>
          <w:rFonts w:ascii="Times New Roman" w:cs="Times New Roman" w:eastAsia="Times New Roman" w:hAnsi="Times New Roman"/>
          <w:sz w:val="18"/>
          <w:szCs w:val="18"/>
          <w:i w:val="1"/>
          <w:iCs w:val="1"/>
          <w:color w:val="auto"/>
        </w:rPr>
        <w:t>Fair Value Measurement and Disclosure</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Reserve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fourth quarter of fiscal 2024 we recognized a restructuring charge of $440 representing accrued severance pay for certain affected employees. At May 31, 2025 and November 30, 2024, $0 and $432, respectively, of the accrual remained in other current liabilities. As of May 31, 2025, the cumulative total cost incurred for this restructuring was $440, of which $190 was incurred by our retail segment, $83 by our wholesale segment, and $167 was charged to corporate and other.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3" w:name="page14"/>
    <w:bookmarkEnd w:id="13"/>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NOTES TO CONDENSED CONSOLIDATED FINANCIAL STATEMENTS-UNAUDITED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MAY 31, 2025</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Commitments and Contingencies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involved in various legal and environmental matters which arise in the normal course of business. Although the final outcome of these matters cannot be determined, based on the facts presently known, we believe that the final resolution of these matters will not have a material adverse effect on our financial position or future results of operations.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Guarantees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were contingently liable under licensee lease obligation guarantees in the amounts of $4,639 and $5,131 at May 31, 2025 and November 30, 2024, respectively. The remaining term under these lease guarantees extends for six years.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event of default by the licensee, we believe that the risk of loss is mitigated through a combination of options that include, but are not limited to, arranging for a replacement licensee or liquidating the collateral (primarily inventory). The proceeds of the above options are expected to cover the estimated amount of our future payments under the guarantee obligation, net of recorded reserves. The fair value of these lease guarantees (an estimate of the cost to the Company to perform on the guarantee) at May 31, 2025 and November 30, 2024 was not material.</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Commitments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May 31, 2025, we had commitments for two leases of real property which are expected to commence by the end of fiscal 2025. Together, these leases call for total annual rents averaging approximately $702 per year for an initial term of ten years. Both leases have two five-year renewal options.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CONDENSED CONSOLIDATED FINANCIAL STATEMENTS-UNAUDITED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MAY 31,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Earnings (Loss) Per Share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Basic earnings (loss) per common share is computed by dividing net income (loss) allocable to common shares by the weighted average number of common shares outstanding, adjusted for participating securities, if any. The following reconciles basic and diluted earnings (loss) per share: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w w:val="99"/>
              </w:rPr>
              <w:t>Earnings</w:t>
            </w:r>
          </w:p>
        </w:tc>
      </w:tr>
      <w:tr>
        <w:trPr>
          <w:trHeight w:val="216"/>
        </w:trPr>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right"/>
              <w:ind w:right="481"/>
              <w:spacing w:after="0"/>
              <w:rPr>
                <w:sz w:val="20"/>
                <w:szCs w:val="20"/>
                <w:color w:val="auto"/>
              </w:rPr>
            </w:pPr>
            <w:r>
              <w:rPr>
                <w:rFonts w:ascii="Times New Roman" w:cs="Times New Roman" w:eastAsia="Times New Roman" w:hAnsi="Times New Roman"/>
                <w:sz w:val="18"/>
                <w:szCs w:val="18"/>
                <w:color w:val="auto"/>
              </w:rPr>
              <w:t>Net Income</w:t>
            </w:r>
          </w:p>
        </w:tc>
        <w:tc>
          <w:tcPr>
            <w:tcW w:w="1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Weighted Average</w:t>
            </w:r>
          </w:p>
        </w:tc>
        <w:tc>
          <w:tcPr>
            <w:tcW w:w="220" w:type="dxa"/>
            <w:vAlign w:val="bottom"/>
          </w:tcPr>
          <w:p>
            <w:pPr>
              <w:spacing w:after="0"/>
              <w:rPr>
                <w:sz w:val="18"/>
                <w:szCs w:val="18"/>
                <w:color w:val="auto"/>
              </w:rPr>
            </w:pPr>
          </w:p>
        </w:tc>
        <w:tc>
          <w:tcPr>
            <w:tcW w:w="136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9"/>
              </w:rPr>
              <w:t>(Loss) Per</w:t>
            </w:r>
          </w:p>
        </w:tc>
      </w:tr>
      <w:tr>
        <w:trPr>
          <w:trHeight w:val="234"/>
        </w:trPr>
        <w:tc>
          <w:tcPr>
            <w:tcW w:w="2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gridSpan w:val="2"/>
          </w:tcPr>
          <w:p>
            <w:pPr>
              <w:jc w:val="right"/>
              <w:ind w:right="681"/>
              <w:spacing w:after="0"/>
              <w:rPr>
                <w:sz w:val="20"/>
                <w:szCs w:val="20"/>
                <w:color w:val="auto"/>
              </w:rPr>
            </w:pPr>
            <w:r>
              <w:rPr>
                <w:rFonts w:ascii="Times New Roman" w:cs="Times New Roman" w:eastAsia="Times New Roman" w:hAnsi="Times New Roman"/>
                <w:sz w:val="18"/>
                <w:szCs w:val="18"/>
                <w:color w:val="auto"/>
              </w:rPr>
              <w:t>(Loss)</w:t>
            </w:r>
          </w:p>
        </w:tc>
        <w:tc>
          <w:tcPr>
            <w:tcW w:w="17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Shares</w:t>
            </w:r>
          </w:p>
        </w:tc>
        <w:tc>
          <w:tcPr>
            <w:tcW w:w="220" w:type="dxa"/>
            <w:vAlign w:val="bottom"/>
          </w:tcPr>
          <w:p>
            <w:pPr>
              <w:spacing w:after="0"/>
              <w:rPr>
                <w:sz w:val="20"/>
                <w:szCs w:val="20"/>
                <w:color w:val="auto"/>
              </w:rPr>
            </w:pPr>
          </w:p>
        </w:tc>
        <w:tc>
          <w:tcPr>
            <w:tcW w:w="136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w w:val="97"/>
              </w:rPr>
              <w:t>Share</w:t>
            </w:r>
          </w:p>
        </w:tc>
      </w:tr>
      <w:tr>
        <w:trPr>
          <w:trHeight w:val="190"/>
        </w:trPr>
        <w:tc>
          <w:tcPr>
            <w:tcW w:w="4000" w:type="dxa"/>
            <w:vAlign w:val="bottom"/>
            <w:tcBorders>
              <w:top w:val="single" w:sz="8" w:color="CCEEFF"/>
            </w:tcBorders>
            <w:gridSpan w:val="5"/>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For the quarter ended May 31, 2025:</w:t>
            </w:r>
          </w:p>
        </w:tc>
        <w:tc>
          <w:tcPr>
            <w:tcW w:w="10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r>
      <w:tr>
        <w:trPr>
          <w:trHeight w:val="216"/>
        </w:trPr>
        <w:tc>
          <w:tcPr>
            <w:tcW w:w="25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16"/>
        </w:trPr>
        <w:tc>
          <w:tcPr>
            <w:tcW w:w="40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128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1,918</w:t>
            </w:r>
          </w:p>
        </w:tc>
        <w:tc>
          <w:tcPr>
            <w:tcW w:w="1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8,667,908</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60" w:type="dxa"/>
            <w:vAlign w:val="bottom"/>
            <w:shd w:val="clear" w:color="auto" w:fill="CCEEFF"/>
          </w:tcPr>
          <w:p>
            <w:pPr>
              <w:spacing w:after="0"/>
              <w:rPr>
                <w:sz w:val="18"/>
                <w:szCs w:val="18"/>
                <w:color w:val="auto"/>
              </w:rPr>
            </w:pPr>
          </w:p>
        </w:tc>
      </w:tr>
      <w:tr>
        <w:trPr>
          <w:trHeight w:val="216"/>
        </w:trPr>
        <w:tc>
          <w:tcPr>
            <w:tcW w:w="4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Add effect of dilutive securities:</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9"/>
        </w:trPr>
        <w:tc>
          <w:tcPr>
            <w:tcW w:w="400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shares</w:t>
            </w: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11,966</w:t>
            </w: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r>
      <w:tr>
        <w:trPr>
          <w:trHeight w:val="263"/>
        </w:trPr>
        <w:tc>
          <w:tcPr>
            <w:tcW w:w="400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08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1,918</w:t>
            </w:r>
          </w:p>
        </w:tc>
        <w:tc>
          <w:tcPr>
            <w:tcW w:w="220" w:type="dxa"/>
            <w:vAlign w:val="bottom"/>
            <w:tcBorders>
              <w:bottom w:val="single" w:sz="8" w:color="CCEEFF"/>
            </w:tcBorders>
          </w:tcPr>
          <w:p>
            <w:pPr>
              <w:spacing w:after="0"/>
              <w:rPr>
                <w:sz w:val="22"/>
                <w:szCs w:val="22"/>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8,679,874</w:t>
            </w:r>
          </w:p>
        </w:tc>
        <w:tc>
          <w:tcPr>
            <w:tcW w:w="2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2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r>
      <w:tr>
        <w:trPr>
          <w:trHeight w:val="197"/>
        </w:trPr>
        <w:tc>
          <w:tcPr>
            <w:tcW w:w="2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6"/>
        </w:trPr>
        <w:tc>
          <w:tcPr>
            <w:tcW w:w="400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For the quarter ended June 1, 2024:</w:t>
            </w: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25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16"/>
        </w:trPr>
        <w:tc>
          <w:tcPr>
            <w:tcW w:w="40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loss per share</w:t>
            </w:r>
          </w:p>
        </w:tc>
        <w:tc>
          <w:tcPr>
            <w:tcW w:w="128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(7,201)</w:t>
            </w:r>
          </w:p>
        </w:tc>
        <w:tc>
          <w:tcPr>
            <w:tcW w:w="1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8,762,815</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(0.82)</w:t>
            </w:r>
          </w:p>
        </w:tc>
      </w:tr>
      <w:tr>
        <w:trPr>
          <w:trHeight w:val="216"/>
        </w:trPr>
        <w:tc>
          <w:tcPr>
            <w:tcW w:w="4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Add effect of dilutive securities:</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9"/>
        </w:trPr>
        <w:tc>
          <w:tcPr>
            <w:tcW w:w="400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shares*</w:t>
            </w: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r>
      <w:tr>
        <w:trPr>
          <w:trHeight w:val="263"/>
        </w:trPr>
        <w:tc>
          <w:tcPr>
            <w:tcW w:w="400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8"/>
                <w:szCs w:val="18"/>
                <w:color w:val="auto"/>
              </w:rPr>
              <w:t>Diluted loss per share</w:t>
            </w:r>
          </w:p>
        </w:tc>
        <w:tc>
          <w:tcPr>
            <w:tcW w:w="108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(7,201</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8,762,815</w:t>
            </w:r>
          </w:p>
        </w:tc>
        <w:tc>
          <w:tcPr>
            <w:tcW w:w="2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8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r>
      <w:tr>
        <w:trPr>
          <w:trHeight w:val="197"/>
        </w:trPr>
        <w:tc>
          <w:tcPr>
            <w:tcW w:w="2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6"/>
        </w:trPr>
        <w:tc>
          <w:tcPr>
            <w:tcW w:w="400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For the six months ended May 31, 2025:</w:t>
            </w: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25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16"/>
        </w:trPr>
        <w:tc>
          <w:tcPr>
            <w:tcW w:w="40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128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3,772</w:t>
            </w:r>
          </w:p>
        </w:tc>
        <w:tc>
          <w:tcPr>
            <w:tcW w:w="1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8,673,339</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60" w:type="dxa"/>
            <w:vAlign w:val="bottom"/>
            <w:shd w:val="clear" w:color="auto" w:fill="CCEEFF"/>
          </w:tcPr>
          <w:p>
            <w:pPr>
              <w:spacing w:after="0"/>
              <w:rPr>
                <w:sz w:val="18"/>
                <w:szCs w:val="18"/>
                <w:color w:val="auto"/>
              </w:rPr>
            </w:pPr>
          </w:p>
        </w:tc>
      </w:tr>
      <w:tr>
        <w:trPr>
          <w:trHeight w:val="216"/>
        </w:trPr>
        <w:tc>
          <w:tcPr>
            <w:tcW w:w="4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Add effect of dilutive securities:</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9"/>
        </w:trPr>
        <w:tc>
          <w:tcPr>
            <w:tcW w:w="400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shares</w:t>
            </w: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20,261</w:t>
            </w: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r>
      <w:tr>
        <w:trPr>
          <w:trHeight w:val="263"/>
        </w:trPr>
        <w:tc>
          <w:tcPr>
            <w:tcW w:w="400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08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3,772</w:t>
            </w:r>
          </w:p>
        </w:tc>
        <w:tc>
          <w:tcPr>
            <w:tcW w:w="220" w:type="dxa"/>
            <w:vAlign w:val="bottom"/>
            <w:tcBorders>
              <w:bottom w:val="single" w:sz="8" w:color="CCEEFF"/>
            </w:tcBorders>
          </w:tcPr>
          <w:p>
            <w:pPr>
              <w:spacing w:after="0"/>
              <w:rPr>
                <w:sz w:val="22"/>
                <w:szCs w:val="22"/>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8,693,600</w:t>
            </w:r>
          </w:p>
        </w:tc>
        <w:tc>
          <w:tcPr>
            <w:tcW w:w="2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2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r>
      <w:tr>
        <w:trPr>
          <w:trHeight w:val="196"/>
        </w:trPr>
        <w:tc>
          <w:tcPr>
            <w:tcW w:w="2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6"/>
        </w:trPr>
        <w:tc>
          <w:tcPr>
            <w:tcW w:w="400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For the six months ended June 1, 2024:</w:t>
            </w: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25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16"/>
        </w:trPr>
        <w:tc>
          <w:tcPr>
            <w:tcW w:w="40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loss per share</w:t>
            </w:r>
          </w:p>
        </w:tc>
        <w:tc>
          <w:tcPr>
            <w:tcW w:w="128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(8,394)</w:t>
            </w:r>
          </w:p>
        </w:tc>
        <w:tc>
          <w:tcPr>
            <w:tcW w:w="1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8,751,315</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(0.96)</w:t>
            </w:r>
          </w:p>
        </w:tc>
      </w:tr>
      <w:tr>
        <w:trPr>
          <w:trHeight w:val="216"/>
        </w:trPr>
        <w:tc>
          <w:tcPr>
            <w:tcW w:w="4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Add effect of dilutive securities:</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400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shares*</w:t>
            </w: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r>
      <w:tr>
        <w:trPr>
          <w:trHeight w:val="223"/>
        </w:trPr>
        <w:tc>
          <w:tcPr>
            <w:tcW w:w="4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Diluted loss per share</w:t>
            </w:r>
          </w:p>
        </w:tc>
        <w:tc>
          <w:tcPr>
            <w:tcW w:w="1080" w:type="dxa"/>
            <w:vAlign w:val="bottom"/>
          </w:tcPr>
          <w:p>
            <w:pPr>
              <w:spacing w:after="0"/>
              <w:rPr>
                <w:sz w:val="19"/>
                <w:szCs w:val="19"/>
                <w:color w:val="auto"/>
              </w:rPr>
            </w:pPr>
          </w:p>
        </w:tc>
        <w:tc>
          <w:tcPr>
            <w:tcW w:w="2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(8,394</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8,751,315</w:t>
            </w:r>
          </w:p>
        </w:tc>
        <w:tc>
          <w:tcPr>
            <w:tcW w:w="200" w:type="dxa"/>
            <w:vAlign w:val="bottom"/>
          </w:tcPr>
          <w:p>
            <w:pPr>
              <w:spacing w:after="0"/>
              <w:rPr>
                <w:sz w:val="19"/>
                <w:szCs w:val="19"/>
                <w:color w:val="auto"/>
              </w:rPr>
            </w:pPr>
          </w:p>
        </w:tc>
        <w:tc>
          <w:tcPr>
            <w:tcW w:w="22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(0.96</w:t>
            </w:r>
          </w:p>
        </w:tc>
        <w:tc>
          <w:tcPr>
            <w:tcW w:w="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2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to the net loss for the period, potentially dilutive securities would have been anti-dilutive and are therefore excluded.</w:t>
      </w:r>
    </w:p>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May 31, 2025 and June 1, 2024, the following potentially dilutive shares were excluded from the computations as their effect was anti-dilutive: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720" w:type="dxa"/>
            <w:vAlign w:val="bottom"/>
            <w:gridSpan w:val="4"/>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2540" w:type="dxa"/>
            <w:vAlign w:val="bottom"/>
            <w:gridSpan w:val="4"/>
          </w:tcPr>
          <w:p>
            <w:pPr>
              <w:ind w:left="50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23"/>
        </w:trPr>
        <w:tc>
          <w:tcPr>
            <w:tcW w:w="326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380" w:type="dxa"/>
            <w:vAlign w:val="bottom"/>
            <w:tcBorders>
              <w:top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May 31, 2025</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June 1, 2024</w:t>
            </w:r>
          </w:p>
        </w:tc>
        <w:tc>
          <w:tcPr>
            <w:tcW w:w="220" w:type="dxa"/>
            <w:vAlign w:val="bottom"/>
          </w:tcPr>
          <w:p>
            <w:pPr>
              <w:spacing w:after="0"/>
              <w:rPr>
                <w:sz w:val="19"/>
                <w:szCs w:val="19"/>
                <w:color w:val="auto"/>
              </w:rPr>
            </w:pPr>
          </w:p>
        </w:tc>
        <w:tc>
          <w:tcPr>
            <w:tcW w:w="1320" w:type="dxa"/>
            <w:vAlign w:val="bottom"/>
            <w:tcBorders>
              <w:top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May 31, 2025</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June 1, 2024</w:t>
            </w:r>
          </w:p>
        </w:tc>
        <w:tc>
          <w:tcPr>
            <w:tcW w:w="100" w:type="dxa"/>
            <w:vAlign w:val="bottom"/>
          </w:tcPr>
          <w:p>
            <w:pPr>
              <w:spacing w:after="0"/>
              <w:rPr>
                <w:sz w:val="19"/>
                <w:szCs w:val="19"/>
                <w:color w:val="auto"/>
              </w:rPr>
            </w:pPr>
          </w:p>
        </w:tc>
      </w:tr>
      <w:tr>
        <w:trPr>
          <w:trHeight w:val="210"/>
        </w:trPr>
        <w:tc>
          <w:tcPr>
            <w:tcW w:w="32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shares</w:t>
            </w:r>
          </w:p>
        </w:tc>
        <w:tc>
          <w:tcPr>
            <w:tcW w:w="41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17,556</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64,409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17,556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64,409</w:t>
            </w: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27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3"/>
        </w:trPr>
        <w:tc>
          <w:tcPr>
            <w:tcW w:w="3260" w:type="dxa"/>
            <w:vAlign w:val="bottom"/>
          </w:tcPr>
          <w:p>
            <w:pPr>
              <w:spacing w:after="0"/>
              <w:rPr>
                <w:sz w:val="24"/>
                <w:szCs w:val="24"/>
                <w:color w:val="auto"/>
              </w:rPr>
            </w:pPr>
          </w:p>
        </w:tc>
        <w:tc>
          <w:tcPr>
            <w:tcW w:w="4100" w:type="dxa"/>
            <w:vAlign w:val="bottom"/>
            <w:gridSpan w:val="3"/>
          </w:tcPr>
          <w:p>
            <w:pPr>
              <w:jc w:val="right"/>
              <w:ind w:right="1440"/>
              <w:spacing w:after="0"/>
              <w:rPr>
                <w:sz w:val="20"/>
                <w:szCs w:val="20"/>
                <w:color w:val="auto"/>
              </w:rPr>
            </w:pPr>
            <w:r>
              <w:rPr>
                <w:rFonts w:ascii="Times New Roman" w:cs="Times New Roman" w:eastAsia="Times New Roman" w:hAnsi="Times New Roman"/>
                <w:sz w:val="18"/>
                <w:szCs w:val="18"/>
                <w:color w:val="auto"/>
              </w:rPr>
              <w:t>15 of 35</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8"/>
        </w:trPr>
        <w:tc>
          <w:tcPr>
            <w:tcW w:w="32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4" w:right="339" w:bottom="1440" w:gutter="0" w:footer="0" w:header="0"/>
        </w:sectPr>
      </w:pPr>
    </w:p>
    <w:bookmarkStart w:id="15" w:name="page16"/>
    <w:bookmarkEnd w:id="15"/>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NOTES TO CONDENSED CONSOLIDATED FINANCIAL STATEMENTS-UNAUDITED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MAY 31, 2025</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Segment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We have strategically aligned our business into two reportable segments as defined in ASC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and as described below:</w:t>
      </w:r>
    </w:p>
    <w:p>
      <w:pPr>
        <w:spacing w:after="0" w:line="223" w:lineRule="exact"/>
        <w:rPr>
          <w:sz w:val="20"/>
          <w:szCs w:val="20"/>
          <w:color w:val="auto"/>
        </w:rPr>
      </w:pPr>
    </w:p>
    <w:p>
      <w:pPr>
        <w:jc w:val="both"/>
        <w:ind w:left="660" w:right="20" w:hanging="328"/>
        <w:spacing w:after="0" w:line="268"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Wholesale. </w:t>
      </w:r>
      <w:r>
        <w:rPr>
          <w:rFonts w:ascii="Times New Roman" w:cs="Times New Roman" w:eastAsia="Times New Roman" w:hAnsi="Times New Roman"/>
          <w:sz w:val="18"/>
          <w:szCs w:val="18"/>
          <w:color w:val="auto"/>
        </w:rPr>
        <w:t>The wholesale home furnishings segment is involved principally in the design, manufacture, sourcing, sale and distribution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furniture products to a network of Bassett stores (Company-owned and licensee-owned retail stores) and independent furniture retailers. Our wholesale segment includes our wood and upholstery operations, which includes Lane Venture.</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Retail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Company-owned stores. </w:t>
      </w:r>
      <w:r>
        <w:rPr>
          <w:rFonts w:ascii="Times New Roman" w:cs="Times New Roman" w:eastAsia="Times New Roman" w:hAnsi="Times New Roman"/>
          <w:sz w:val="18"/>
          <w:szCs w:val="18"/>
          <w:color w:val="auto"/>
        </w:rPr>
        <w:t>Our retail segment consists of Company-owned stores and includes the revenues, expenses, assets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liabilities and capital expenditures directly related to these stores and the Company-owned distribution network utilized to deliver products to our retail customers.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the two reportable segments described above, we include our remaining business activities and assets in a reconciling category known as Corporate and other. This category includes the shared costs of corporate functions such as treasury and finance, information technology, accounting, human resources, legal and others, including certain product development and marketing functions benefitting both wholesale and retail operations. In addition to property and equipment and various other assets associated with the shared corporate functions, the identifiable assets of Corporate and other include substantially all of our cash and our investments in CDs. We consider our corporate functions to be other business activities and have aggregated them with any of our operating segments that do not meet the requirements to be reportable segments. As of and for the three and six months ended June 1, 2024, the only such operating segment included in Corporate and other is Noa Home, which was acquired on September 2, 2022, subsequently closed during fiscal 2024 and substantially liquidated as of November 30, 2024. All sales reported in our Corporate and other category during fiscal 2024 were attributable to Noa Home, which generated substantially all of its sales outside of the United States.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Inter-company net sales elimination represents the elimination of wholesale sales to our Company-owned stores. Inter-company income elimination includes the embedded wholesale profit in the Company-owned store inventory that has not been realized. These profits will be recorded when merchandise is delivered to the retail consumer. The inter-company income elimination also includes rent paid by our retail stores occupying Company-owned real estate.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CONDENSED CONSOLIDATED FINANCIAL STATEMENTS-UNAUDITED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MAY 31,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our segment information:</w:t>
            </w: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5"/>
        </w:trPr>
        <w:tc>
          <w:tcPr>
            <w:tcW w:w="5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80" w:type="dxa"/>
            <w:vAlign w:val="bottom"/>
            <w:gridSpan w:val="5"/>
          </w:tcPr>
          <w:p>
            <w:pPr>
              <w:jc w:val="right"/>
              <w:ind w:right="801"/>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300" w:type="dxa"/>
            <w:vAlign w:val="bottom"/>
          </w:tcPr>
          <w:p>
            <w:pPr>
              <w:spacing w:after="0"/>
              <w:rPr>
                <w:sz w:val="24"/>
                <w:szCs w:val="24"/>
                <w:color w:val="auto"/>
              </w:rPr>
            </w:pPr>
          </w:p>
        </w:tc>
        <w:tc>
          <w:tcPr>
            <w:tcW w:w="2240" w:type="dxa"/>
            <w:vAlign w:val="bottom"/>
            <w:gridSpan w:val="6"/>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23"/>
        </w:trPr>
        <w:tc>
          <w:tcPr>
            <w:tcW w:w="5980" w:type="dxa"/>
            <w:vAlign w:val="bottom"/>
          </w:tcPr>
          <w:p>
            <w:pPr>
              <w:spacing w:after="0"/>
              <w:rPr>
                <w:sz w:val="19"/>
                <w:szCs w:val="19"/>
                <w:color w:val="auto"/>
              </w:rPr>
            </w:pPr>
          </w:p>
        </w:tc>
        <w:tc>
          <w:tcPr>
            <w:tcW w:w="1380" w:type="dxa"/>
            <w:vAlign w:val="bottom"/>
            <w:tcBorders>
              <w:top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May 31, 2025</w:t>
            </w:r>
          </w:p>
        </w:tc>
        <w:tc>
          <w:tcPr>
            <w:tcW w:w="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June 1, 2024</w:t>
            </w:r>
          </w:p>
        </w:tc>
        <w:tc>
          <w:tcPr>
            <w:tcW w:w="220" w:type="dxa"/>
            <w:vAlign w:val="bottom"/>
          </w:tcPr>
          <w:p>
            <w:pPr>
              <w:spacing w:after="0"/>
              <w:rPr>
                <w:sz w:val="19"/>
                <w:szCs w:val="19"/>
                <w:color w:val="auto"/>
              </w:rPr>
            </w:pPr>
          </w:p>
        </w:tc>
        <w:tc>
          <w:tcPr>
            <w:tcW w:w="1320" w:type="dxa"/>
            <w:vAlign w:val="bottom"/>
            <w:tcBorders>
              <w:top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May 31, 2025</w:t>
            </w:r>
          </w:p>
        </w:tc>
        <w:tc>
          <w:tcPr>
            <w:tcW w:w="1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June 1, 2024</w:t>
            </w:r>
          </w:p>
        </w:tc>
        <w:tc>
          <w:tcPr>
            <w:tcW w:w="100" w:type="dxa"/>
            <w:vAlign w:val="bottom"/>
            <w:gridSpan w:val="2"/>
          </w:tcPr>
          <w:p>
            <w:pPr>
              <w:spacing w:after="0"/>
              <w:rPr>
                <w:sz w:val="19"/>
                <w:szCs w:val="19"/>
                <w:color w:val="auto"/>
              </w:rPr>
            </w:pPr>
          </w:p>
        </w:tc>
      </w:tr>
      <w:tr>
        <w:trPr>
          <w:trHeight w:val="209"/>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Sales Revenue</w:t>
            </w: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Wholesale sales of furniture and accessories</w:t>
            </w:r>
          </w:p>
        </w:tc>
        <w:tc>
          <w:tcPr>
            <w:tcW w:w="3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54,229</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52,609</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107,156</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107,310</w:t>
            </w:r>
          </w:p>
        </w:tc>
        <w:tc>
          <w:tcPr>
            <w:tcW w:w="80" w:type="dxa"/>
            <w:vAlign w:val="bottom"/>
          </w:tcPr>
          <w:p>
            <w:pPr>
              <w:spacing w:after="0"/>
              <w:rPr>
                <w:sz w:val="18"/>
                <w:szCs w:val="18"/>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Sales to retail segment</w:t>
            </w:r>
          </w:p>
        </w:tc>
        <w:tc>
          <w:tcPr>
            <w:tcW w:w="3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(24,113)</w:t>
            </w:r>
          </w:p>
        </w:tc>
        <w:tc>
          <w:tcPr>
            <w:tcW w:w="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(20,751)</w:t>
            </w:r>
          </w:p>
        </w:tc>
        <w:tc>
          <w:tcPr>
            <w:tcW w:w="3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(48,172)</w:t>
            </w:r>
          </w:p>
        </w:tc>
        <w:tc>
          <w:tcPr>
            <w:tcW w:w="32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(44,514)</w:t>
            </w:r>
          </w:p>
        </w:tc>
      </w:tr>
      <w:tr>
        <w:trPr>
          <w:trHeight w:val="210"/>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Wholesale sales to external customers</w:t>
            </w: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30,116</w:t>
            </w:r>
          </w:p>
        </w:tc>
        <w:tc>
          <w:tcPr>
            <w:tcW w:w="2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31,858</w:t>
            </w: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58,984</w:t>
            </w: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62,796</w:t>
            </w:r>
          </w:p>
        </w:tc>
        <w:tc>
          <w:tcPr>
            <w:tcW w:w="100" w:type="dxa"/>
            <w:vAlign w:val="bottom"/>
            <w:gridSpan w:val="2"/>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 sales of furniture and accessories</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54,232</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50,468</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107,526</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104,222</w:t>
            </w:r>
          </w:p>
        </w:tc>
        <w:tc>
          <w:tcPr>
            <w:tcW w:w="80" w:type="dxa"/>
            <w:vAlign w:val="bottom"/>
            <w:shd w:val="clear" w:color="auto" w:fill="CCEEFF"/>
          </w:tcPr>
          <w:p>
            <w:pPr>
              <w:spacing w:after="0"/>
              <w:rPr>
                <w:sz w:val="18"/>
                <w:szCs w:val="18"/>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Corporate and other - Noa Home</w:t>
            </w:r>
          </w:p>
        </w:tc>
        <w:tc>
          <w:tcPr>
            <w:tcW w:w="34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1,084</w:t>
            </w:r>
          </w:p>
        </w:tc>
        <w:tc>
          <w:tcPr>
            <w:tcW w:w="3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2,946</w:t>
            </w:r>
          </w:p>
        </w:tc>
        <w:tc>
          <w:tcPr>
            <w:tcW w:w="80" w:type="dxa"/>
            <w:vAlign w:val="bottom"/>
          </w:tcPr>
          <w:p>
            <w:pPr>
              <w:spacing w:after="0"/>
              <w:rPr>
                <w:sz w:val="19"/>
                <w:szCs w:val="19"/>
                <w:color w:val="auto"/>
              </w:rPr>
            </w:pPr>
          </w:p>
        </w:tc>
      </w:tr>
      <w:tr>
        <w:trPr>
          <w:trHeight w:val="223"/>
        </w:trPr>
        <w:tc>
          <w:tcPr>
            <w:tcW w:w="59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Consolidated net sales of furniture and accessories</w:t>
            </w:r>
          </w:p>
        </w:tc>
        <w:tc>
          <w:tcPr>
            <w:tcW w:w="340" w:type="dxa"/>
            <w:vAlign w:val="bottom"/>
            <w:tcBorders>
              <w:top w:val="single" w:sz="8" w:color="auto"/>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84,348</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83,410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166,510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169,964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5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Wholesale</w:t>
            </w:r>
          </w:p>
        </w:tc>
        <w:tc>
          <w:tcPr>
            <w:tcW w:w="3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8,290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5,687</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16,975</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12,446</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Retail - Company-owned stores</w:t>
            </w:r>
          </w:p>
        </w:tc>
        <w:tc>
          <w:tcPr>
            <w:tcW w:w="3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482</w:t>
            </w:r>
          </w:p>
        </w:tc>
        <w:tc>
          <w:tcPr>
            <w:tcW w:w="80" w:type="dxa"/>
            <w:vAlign w:val="bottom"/>
          </w:tcPr>
          <w:p>
            <w:pPr>
              <w:spacing w:after="0"/>
              <w:rPr>
                <w:sz w:val="18"/>
                <w:szCs w:val="18"/>
                <w:color w:val="auto"/>
              </w:rPr>
            </w:pPr>
          </w:p>
        </w:tc>
        <w:tc>
          <w:tcPr>
            <w:tcW w:w="12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(2,222)</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434</w:t>
            </w:r>
          </w:p>
        </w:tc>
        <w:tc>
          <w:tcPr>
            <w:tcW w:w="32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(3,834)</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expenses - Corporate and other</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(6,521)</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(6,942)</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(12,747)</w:t>
            </w:r>
          </w:p>
        </w:tc>
        <w:tc>
          <w:tcPr>
            <w:tcW w:w="3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(14,537)</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Inter-company elimination</w:t>
            </w:r>
          </w:p>
        </w:tc>
        <w:tc>
          <w:tcPr>
            <w:tcW w:w="3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246</w:t>
            </w:r>
          </w:p>
        </w:tc>
        <w:tc>
          <w:tcPr>
            <w:tcW w:w="80" w:type="dxa"/>
            <w:vAlign w:val="bottom"/>
          </w:tcPr>
          <w:p>
            <w:pPr>
              <w:spacing w:after="0"/>
              <w:rPr>
                <w:sz w:val="18"/>
                <w:szCs w:val="18"/>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530</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290</w:t>
            </w:r>
          </w:p>
        </w:tc>
        <w:tc>
          <w:tcPr>
            <w:tcW w:w="32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621</w:t>
            </w: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impairment charges (see Note 9)</w:t>
            </w:r>
          </w:p>
        </w:tc>
        <w:tc>
          <w:tcPr>
            <w:tcW w:w="3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(5,515)</w:t>
            </w:r>
          </w:p>
        </w:tc>
        <w:tc>
          <w:tcPr>
            <w:tcW w:w="3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(5,515)</w:t>
            </w:r>
          </w:p>
        </w:tc>
      </w:tr>
      <w:tr>
        <w:trPr>
          <w:trHeight w:val="210"/>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Consolidated income (loss) from operations</w:t>
            </w: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2,497</w:t>
            </w:r>
          </w:p>
        </w:tc>
        <w:tc>
          <w:tcPr>
            <w:tcW w:w="2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(8,462)</w:t>
            </w: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4,952</w:t>
            </w: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(10,819)</w:t>
            </w:r>
          </w:p>
        </w:tc>
        <w:tc>
          <w:tcPr>
            <w:tcW w:w="100" w:type="dxa"/>
            <w:vAlign w:val="bottom"/>
            <w:gridSpan w:val="2"/>
          </w:tcPr>
          <w:p>
            <w:pPr>
              <w:spacing w:after="0"/>
              <w:rPr>
                <w:sz w:val="18"/>
                <w:szCs w:val="18"/>
                <w:color w:val="auto"/>
              </w:rPr>
            </w:pPr>
          </w:p>
        </w:tc>
      </w:tr>
      <w:tr>
        <w:trPr>
          <w:trHeight w:val="216"/>
        </w:trPr>
        <w:tc>
          <w:tcPr>
            <w:tcW w:w="5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521</w:t>
            </w:r>
          </w:p>
        </w:tc>
        <w:tc>
          <w:tcPr>
            <w:tcW w:w="80" w:type="dxa"/>
            <w:vAlign w:val="bottom"/>
          </w:tcPr>
          <w:p>
            <w:pPr>
              <w:spacing w:after="0"/>
              <w:rPr>
                <w:sz w:val="18"/>
                <w:szCs w:val="18"/>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627</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1,080</w:t>
            </w:r>
          </w:p>
        </w:tc>
        <w:tc>
          <w:tcPr>
            <w:tcW w:w="3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80" w:type="dxa"/>
            <w:vAlign w:val="bottom"/>
          </w:tcPr>
          <w:p>
            <w:pPr>
              <w:spacing w:after="0"/>
              <w:rPr>
                <w:sz w:val="18"/>
                <w:szCs w:val="18"/>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loss, net</w:t>
            </w:r>
          </w:p>
        </w:tc>
        <w:tc>
          <w:tcPr>
            <w:tcW w:w="3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(422)</w:t>
            </w:r>
          </w:p>
        </w:tc>
        <w:tc>
          <w:tcPr>
            <w:tcW w:w="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(276)</w:t>
            </w:r>
          </w:p>
        </w:tc>
        <w:tc>
          <w:tcPr>
            <w:tcW w:w="3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(881)</w:t>
            </w:r>
          </w:p>
        </w:tc>
        <w:tc>
          <w:tcPr>
            <w:tcW w:w="32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(380)</w:t>
            </w:r>
          </w:p>
        </w:tc>
      </w:tr>
      <w:tr>
        <w:trPr>
          <w:trHeight w:val="263"/>
        </w:trPr>
        <w:tc>
          <w:tcPr>
            <w:tcW w:w="59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Consolidated income (loss) before income taxes</w:t>
            </w:r>
          </w:p>
        </w:tc>
        <w:tc>
          <w:tcPr>
            <w:tcW w:w="340" w:type="dxa"/>
            <w:vAlign w:val="bottom"/>
            <w:tcBorders>
              <w:top w:val="single" w:sz="8" w:color="auto"/>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2,596</w:t>
            </w:r>
          </w:p>
        </w:tc>
        <w:tc>
          <w:tcPr>
            <w:tcW w:w="260" w:type="dxa"/>
            <w:vAlign w:val="bottom"/>
            <w:tcBorders>
              <w:bottom w:val="single" w:sz="8" w:color="CCEEFF"/>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(8,111</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5,151</w:t>
            </w:r>
          </w:p>
        </w:tc>
        <w:tc>
          <w:tcPr>
            <w:tcW w:w="2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(9,816</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196"/>
        </w:trPr>
        <w:tc>
          <w:tcPr>
            <w:tcW w:w="5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Wholesale</w:t>
            </w:r>
          </w:p>
        </w:tc>
        <w:tc>
          <w:tcPr>
            <w:tcW w:w="3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596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629</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1,186</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Retail - Company-owned stores</w:t>
            </w:r>
          </w:p>
        </w:tc>
        <w:tc>
          <w:tcPr>
            <w:tcW w:w="3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982</w:t>
            </w:r>
          </w:p>
        </w:tc>
        <w:tc>
          <w:tcPr>
            <w:tcW w:w="80" w:type="dxa"/>
            <w:vAlign w:val="bottom"/>
          </w:tcPr>
          <w:p>
            <w:pPr>
              <w:spacing w:after="0"/>
              <w:rPr>
                <w:sz w:val="18"/>
                <w:szCs w:val="18"/>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1,337</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1,992</w:t>
            </w:r>
          </w:p>
        </w:tc>
        <w:tc>
          <w:tcPr>
            <w:tcW w:w="3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2,717</w:t>
            </w:r>
          </w:p>
        </w:tc>
        <w:tc>
          <w:tcPr>
            <w:tcW w:w="80" w:type="dxa"/>
            <w:vAlign w:val="bottom"/>
          </w:tcPr>
          <w:p>
            <w:pPr>
              <w:spacing w:after="0"/>
              <w:rPr>
                <w:sz w:val="18"/>
                <w:szCs w:val="18"/>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3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654</w:t>
            </w:r>
          </w:p>
        </w:tc>
        <w:tc>
          <w:tcPr>
            <w:tcW w:w="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661</w:t>
            </w:r>
          </w:p>
        </w:tc>
        <w:tc>
          <w:tcPr>
            <w:tcW w:w="3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1,300</w:t>
            </w:r>
          </w:p>
        </w:tc>
        <w:tc>
          <w:tcPr>
            <w:tcW w:w="3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80" w:type="dxa"/>
            <w:vAlign w:val="bottom"/>
            <w:shd w:val="clear" w:color="auto" w:fill="CCEEFF"/>
          </w:tcPr>
          <w:p>
            <w:pPr>
              <w:spacing w:after="0"/>
              <w:rPr>
                <w:sz w:val="19"/>
                <w:szCs w:val="19"/>
                <w:color w:val="auto"/>
              </w:rPr>
            </w:pPr>
          </w:p>
        </w:tc>
      </w:tr>
      <w:tr>
        <w:trPr>
          <w:trHeight w:val="263"/>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340" w:type="dxa"/>
            <w:vAlign w:val="bottom"/>
            <w:tcBorders>
              <w:top w:val="single" w:sz="8" w:color="auto"/>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2,232</w:t>
            </w:r>
          </w:p>
        </w:tc>
        <w:tc>
          <w:tcPr>
            <w:tcW w:w="260" w:type="dxa"/>
            <w:vAlign w:val="bottom"/>
            <w:tcBorders>
              <w:bottom w:val="single" w:sz="8" w:color="CCEEFF"/>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2,627</w:t>
            </w:r>
          </w:p>
        </w:tc>
        <w:tc>
          <w:tcPr>
            <w:tcW w:w="2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4,478</w:t>
            </w:r>
          </w:p>
        </w:tc>
        <w:tc>
          <w:tcPr>
            <w:tcW w:w="2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5,291</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197"/>
        </w:trPr>
        <w:tc>
          <w:tcPr>
            <w:tcW w:w="5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Wholesale</w:t>
            </w:r>
          </w:p>
        </w:tc>
        <w:tc>
          <w:tcPr>
            <w:tcW w:w="3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371</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1,115</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534</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Retail - Company-owned stores</w:t>
            </w:r>
          </w:p>
        </w:tc>
        <w:tc>
          <w:tcPr>
            <w:tcW w:w="3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712</w:t>
            </w:r>
          </w:p>
        </w:tc>
        <w:tc>
          <w:tcPr>
            <w:tcW w:w="80" w:type="dxa"/>
            <w:vAlign w:val="bottom"/>
          </w:tcPr>
          <w:p>
            <w:pPr>
              <w:spacing w:after="0"/>
              <w:rPr>
                <w:sz w:val="18"/>
                <w:szCs w:val="18"/>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837</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781</w:t>
            </w:r>
          </w:p>
        </w:tc>
        <w:tc>
          <w:tcPr>
            <w:tcW w:w="3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2,170</w:t>
            </w:r>
          </w:p>
        </w:tc>
        <w:tc>
          <w:tcPr>
            <w:tcW w:w="80" w:type="dxa"/>
            <w:vAlign w:val="bottom"/>
          </w:tcPr>
          <w:p>
            <w:pPr>
              <w:spacing w:after="0"/>
              <w:rPr>
                <w:sz w:val="18"/>
                <w:szCs w:val="18"/>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3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331</w:t>
            </w:r>
          </w:p>
        </w:tc>
        <w:tc>
          <w:tcPr>
            <w:tcW w:w="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399</w:t>
            </w:r>
          </w:p>
        </w:tc>
        <w:tc>
          <w:tcPr>
            <w:tcW w:w="3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379</w:t>
            </w:r>
          </w:p>
        </w:tc>
        <w:tc>
          <w:tcPr>
            <w:tcW w:w="32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979</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340" w:type="dxa"/>
            <w:vAlign w:val="bottom"/>
            <w:tcBorders>
              <w:top w:val="single" w:sz="8" w:color="auto"/>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2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2,275</w:t>
            </w:r>
          </w:p>
        </w:tc>
        <w:tc>
          <w:tcPr>
            <w:tcW w:w="2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320" w:type="dxa"/>
            <w:vAlign w:val="bottom"/>
          </w:tcPr>
          <w:p>
            <w:pPr>
              <w:spacing w:after="0"/>
              <w:rPr>
                <w:sz w:val="19"/>
                <w:szCs w:val="19"/>
                <w:color w:val="auto"/>
              </w:rPr>
            </w:pPr>
          </w:p>
        </w:tc>
        <w:tc>
          <w:tcPr>
            <w:tcW w:w="128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38"/>
        </w:trPr>
        <w:tc>
          <w:tcPr>
            <w:tcW w:w="5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Identifiable Assets</w:t>
            </w:r>
          </w:p>
        </w:tc>
        <w:tc>
          <w:tcPr>
            <w:tcW w:w="180" w:type="dxa"/>
            <w:vAlign w:val="bottom"/>
          </w:tcPr>
          <w:p>
            <w:pPr>
              <w:spacing w:after="0"/>
              <w:rPr>
                <w:sz w:val="20"/>
                <w:szCs w:val="20"/>
                <w:color w:val="auto"/>
              </w:rPr>
            </w:pPr>
          </w:p>
        </w:tc>
        <w:tc>
          <w:tcPr>
            <w:tcW w:w="15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May 31, 2025</w:t>
            </w:r>
          </w:p>
        </w:tc>
        <w:tc>
          <w:tcPr>
            <w:tcW w:w="16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November 30, 2024</w:t>
            </w:r>
          </w:p>
        </w:tc>
      </w:tr>
      <w:tr>
        <w:trPr>
          <w:trHeight w:val="209"/>
        </w:trPr>
        <w:tc>
          <w:tcPr>
            <w:tcW w:w="5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Wholesale</w:t>
            </w: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89,314</w:t>
            </w: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88,533</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Retail - Company-owned stores</w:t>
            </w:r>
          </w:p>
        </w:tc>
        <w:tc>
          <w:tcPr>
            <w:tcW w:w="18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149,197</w:t>
            </w:r>
          </w:p>
        </w:tc>
        <w:tc>
          <w:tcPr>
            <w:tcW w:w="32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158,084</w:t>
            </w:r>
          </w:p>
        </w:tc>
        <w:tc>
          <w:tcPr>
            <w:tcW w:w="60" w:type="dxa"/>
            <w:vAlign w:val="bottom"/>
          </w:tcPr>
          <w:p>
            <w:pPr>
              <w:spacing w:after="0"/>
              <w:rPr>
                <w:sz w:val="18"/>
                <w:szCs w:val="18"/>
                <w:color w:val="auto"/>
              </w:rPr>
            </w:pPr>
          </w:p>
        </w:tc>
      </w:tr>
      <w:tr>
        <w:trPr>
          <w:trHeight w:val="229"/>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1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92,822</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94,553</w:t>
            </w:r>
          </w:p>
        </w:tc>
        <w:tc>
          <w:tcPr>
            <w:tcW w:w="60" w:type="dxa"/>
            <w:vAlign w:val="bottom"/>
            <w:shd w:val="clear" w:color="auto" w:fill="CCEEFF"/>
          </w:tcPr>
          <w:p>
            <w:pPr>
              <w:spacing w:after="0"/>
              <w:rPr>
                <w:sz w:val="19"/>
                <w:szCs w:val="19"/>
                <w:color w:val="auto"/>
              </w:rPr>
            </w:pPr>
          </w:p>
        </w:tc>
      </w:tr>
      <w:tr>
        <w:trPr>
          <w:trHeight w:val="223"/>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331,333</w:t>
            </w:r>
          </w:p>
        </w:tc>
        <w:tc>
          <w:tcPr>
            <w:tcW w:w="16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341,170</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5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See Note 13, Revenue Recognition, for disaggregated revenue information regarding sales of furniture and accessories by product type for the wholesale and retail segments.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CONDENSED CONSOLIDATED FINANCIAL STATEMENTS-UNAUDITED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MAY 31,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Revenue Recognition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recognize revenue when we transfer promised goods or services to our customers in an amount that reflects the consideration we expect to receive in exchange for those goods or services. For our wholesale and retail segments, revenue is recognized when the risks and rewards of ownership and title to the product have transferred to the buyer. At wholesale, transfer occurs and revenue is recognized upon the shipment of goods to independent dealers and licensee-owned BHF stores. At retail, transfer occurs and revenue is recognized upon delivery of goods to the customer. All wholesale and retail revenues are recorded net of estimated returns and allowances based on historical patterns. Our contract assets, which consist of our accounts receivable, net and are associated with our wholesale segment, were $12,883, $13,181 and $13, 736 at May 31, 2025, November 30, 2024 and November 25, 2023. We typically collect a significant portion of the purchase price from our retail customers as a deposit upon order, with the balance typically collected at the time delivery is scheduled. These customer deposits are carried on our balance sheet as a current liability until delivery is fulfilled and amounted to $24,029, $25,742 and $22,788 as of May 31, 2025, November 30, 2024 and November 25, 2023, respectively. Substantially all of the customer deposits held as of November 30, 2024 related to performance obligations that were satisfied during the current year-to-date period and have therefore been recognized in revenue for the six months ended May 31, 2025.</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Sales commissions are expensed as part of selling, general and administrative expenses at the time revenue is recognized because the amortization period would have been one year or less. Sales commissions at wholesale are accrued upon the shipment of goods. Sales commissions at retail are accrued at the time a sale is written (i.e. – when the customer’s order is placed) and are carried as prepaid commissions in other current assets until the goods are delivered and revenue is recognized. At May 31, 2025 and November 30, 2024, our balance of prepaid commissions included in other current assets was $2,663 and $2,928, respectively.</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exclude from revenue all amounts collected from customers for sales tax. We do not disclose amounts allocated to remaining unsatisfied performance obligations as they are expected to be satisfied within one year or less.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Disaggregated revenue information for sales of furniture and accessories by product category for the three and six months ended May 31, 2025 and June 1, 2024, excluding intercompany transactions between our segments, is a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8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May 31, 2025</w:t>
            </w:r>
          </w:p>
        </w:tc>
        <w:tc>
          <w:tcPr>
            <w:tcW w:w="7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June 1, 2024</w:t>
            </w:r>
          </w:p>
        </w:tc>
        <w:tc>
          <w:tcPr>
            <w:tcW w:w="6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20" w:type="dxa"/>
            <w:vAlign w:val="bottom"/>
            <w:gridSpan w:val="2"/>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Corporate &amp;</w:t>
            </w: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00" w:type="dxa"/>
            <w:vAlign w:val="bottom"/>
            <w:gridSpan w:val="2"/>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rPr>
              <w:t>Corporate</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820" w:type="dxa"/>
            <w:vAlign w:val="bottom"/>
          </w:tcPr>
          <w:p>
            <w:pPr>
              <w:spacing w:after="0"/>
              <w:rPr>
                <w:sz w:val="20"/>
                <w:szCs w:val="20"/>
                <w:color w:val="auto"/>
              </w:rPr>
            </w:pPr>
          </w:p>
        </w:tc>
        <w:tc>
          <w:tcPr>
            <w:tcW w:w="104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Wholesale</w:t>
            </w: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Retail</w:t>
            </w: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92"/>
              </w:rPr>
              <w:t>Other</w:t>
            </w:r>
          </w:p>
        </w:tc>
        <w:tc>
          <w:tcPr>
            <w:tcW w:w="7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spacing w:after="0"/>
              <w:rPr>
                <w:sz w:val="20"/>
                <w:szCs w:val="20"/>
                <w:color w:val="auto"/>
              </w:rPr>
            </w:pPr>
          </w:p>
        </w:tc>
        <w:tc>
          <w:tcPr>
            <w:tcW w:w="100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Wholesale</w:t>
            </w: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Retail</w:t>
            </w:r>
          </w:p>
        </w:tc>
        <w:tc>
          <w:tcPr>
            <w:tcW w:w="11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&amp; Other (2)</w:t>
            </w:r>
          </w:p>
        </w:tc>
        <w:tc>
          <w:tcPr>
            <w:tcW w:w="7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Bassett Custom Upholstery</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20,004</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29,540</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$ 49,544</w:t>
            </w:r>
          </w:p>
        </w:tc>
        <w:tc>
          <w:tcPr>
            <w:tcW w:w="4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21,921</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27,256</w:t>
            </w:r>
          </w:p>
        </w:tc>
        <w:tc>
          <w:tcPr>
            <w:tcW w:w="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$ 49,177</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Bassett Leather</w:t>
            </w:r>
          </w:p>
        </w:tc>
        <w:tc>
          <w:tcPr>
            <w:tcW w:w="26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3,917</w:t>
            </w:r>
          </w:p>
        </w:tc>
        <w:tc>
          <w:tcPr>
            <w:tcW w:w="30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1,791</w:t>
            </w:r>
          </w:p>
        </w:tc>
        <w:tc>
          <w:tcPr>
            <w:tcW w:w="36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3,563</w:t>
            </w:r>
          </w:p>
        </w:tc>
        <w:tc>
          <w:tcPr>
            <w:tcW w:w="28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1,117</w:t>
            </w:r>
          </w:p>
        </w:tc>
        <w:tc>
          <w:tcPr>
            <w:tcW w:w="48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4,680</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Bassett Custom Wood</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3,322</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8,468</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11,790</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3,427</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8,522</w:t>
            </w: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11,949</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Bassett Casegoods</w:t>
            </w:r>
          </w:p>
        </w:tc>
        <w:tc>
          <w:tcPr>
            <w:tcW w:w="26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2,873</w:t>
            </w:r>
          </w:p>
        </w:tc>
        <w:tc>
          <w:tcPr>
            <w:tcW w:w="30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7,072</w:t>
            </w:r>
          </w:p>
        </w:tc>
        <w:tc>
          <w:tcPr>
            <w:tcW w:w="36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9,945</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2,947</w:t>
            </w:r>
          </w:p>
        </w:tc>
        <w:tc>
          <w:tcPr>
            <w:tcW w:w="28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6,390</w:t>
            </w:r>
          </w:p>
        </w:tc>
        <w:tc>
          <w:tcPr>
            <w:tcW w:w="48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9,337</w:t>
            </w:r>
          </w:p>
        </w:tc>
        <w:tc>
          <w:tcPr>
            <w:tcW w:w="0" w:type="dxa"/>
            <w:vAlign w:val="bottom"/>
          </w:tcPr>
          <w:p>
            <w:pPr>
              <w:spacing w:after="0"/>
              <w:rPr>
                <w:sz w:val="1"/>
                <w:szCs w:val="1"/>
                <w:color w:val="auto"/>
              </w:rPr>
            </w:pPr>
          </w:p>
        </w:tc>
      </w:tr>
      <w:tr>
        <w:trPr>
          <w:trHeight w:val="216"/>
        </w:trPr>
        <w:tc>
          <w:tcPr>
            <w:tcW w:w="2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Accessories, mattresses and other (1)</w:t>
            </w:r>
          </w:p>
        </w:tc>
        <w:tc>
          <w:tcPr>
            <w:tcW w:w="2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7,361</w:t>
            </w:r>
          </w:p>
        </w:tc>
        <w:tc>
          <w:tcPr>
            <w:tcW w:w="3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7,361</w:t>
            </w:r>
          </w:p>
        </w:tc>
        <w:tc>
          <w:tcPr>
            <w:tcW w:w="2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7,183</w:t>
            </w:r>
          </w:p>
        </w:tc>
        <w:tc>
          <w:tcPr>
            <w:tcW w:w="4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1,084</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Consolidated net sales of furniture</w:t>
            </w: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30,116</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54,232</w:t>
            </w:r>
          </w:p>
        </w:tc>
        <w:tc>
          <w:tcPr>
            <w:tcW w:w="3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$ 84,348</w:t>
            </w:r>
          </w:p>
        </w:tc>
        <w:tc>
          <w:tcPr>
            <w:tcW w:w="46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31,858</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50,468</w:t>
            </w:r>
          </w:p>
        </w:tc>
        <w:tc>
          <w:tcPr>
            <w:tcW w:w="4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1,084</w:t>
            </w: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$ 83,410</w:t>
            </w:r>
          </w:p>
        </w:tc>
        <w:tc>
          <w:tcPr>
            <w:tcW w:w="0" w:type="dxa"/>
            <w:vAlign w:val="bottom"/>
          </w:tcPr>
          <w:p>
            <w:pPr>
              <w:spacing w:after="0"/>
              <w:rPr>
                <w:sz w:val="1"/>
                <w:szCs w:val="1"/>
                <w:color w:val="auto"/>
              </w:rPr>
            </w:pPr>
          </w:p>
        </w:tc>
      </w:tr>
      <w:tr>
        <w:trPr>
          <w:trHeight w:val="194"/>
        </w:trPr>
        <w:tc>
          <w:tcPr>
            <w:tcW w:w="28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and accessories</w:t>
            </w:r>
          </w:p>
        </w:tc>
        <w:tc>
          <w:tcPr>
            <w:tcW w:w="26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36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48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5"/>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8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2"/>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May 31, 2025</w:t>
            </w:r>
          </w:p>
        </w:tc>
        <w:tc>
          <w:tcPr>
            <w:tcW w:w="1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June 1, 2024</w:t>
            </w:r>
          </w:p>
        </w:tc>
        <w:tc>
          <w:tcPr>
            <w:tcW w:w="6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Corporate</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00" w:type="dxa"/>
            <w:vAlign w:val="bottom"/>
            <w:gridSpan w:val="2"/>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rPr>
              <w:t>Corporate</w:t>
            </w: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820" w:type="dxa"/>
            <w:vAlign w:val="bottom"/>
          </w:tcPr>
          <w:p>
            <w:pPr>
              <w:spacing w:after="0"/>
              <w:rPr>
                <w:sz w:val="20"/>
                <w:szCs w:val="20"/>
                <w:color w:val="auto"/>
              </w:rPr>
            </w:pPr>
          </w:p>
        </w:tc>
        <w:tc>
          <w:tcPr>
            <w:tcW w:w="104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Wholesale</w:t>
            </w: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Retail</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&amp; Other</w:t>
            </w:r>
          </w:p>
        </w:tc>
        <w:tc>
          <w:tcPr>
            <w:tcW w:w="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spacing w:after="0"/>
              <w:rPr>
                <w:sz w:val="20"/>
                <w:szCs w:val="20"/>
                <w:color w:val="auto"/>
              </w:rPr>
            </w:pPr>
          </w:p>
        </w:tc>
        <w:tc>
          <w:tcPr>
            <w:tcW w:w="100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Wholesale</w:t>
            </w: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Retail</w:t>
            </w:r>
          </w:p>
        </w:tc>
        <w:tc>
          <w:tcPr>
            <w:tcW w:w="11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&amp; Other (2)</w:t>
            </w:r>
          </w:p>
        </w:tc>
        <w:tc>
          <w:tcPr>
            <w:tcW w:w="2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Bassett Custom Upholstery</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38,850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59,035</w:t>
            </w:r>
          </w:p>
        </w:tc>
        <w:tc>
          <w:tcPr>
            <w:tcW w:w="9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97,885</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42,222</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57,059</w:t>
            </w:r>
          </w:p>
        </w:tc>
        <w:tc>
          <w:tcPr>
            <w:tcW w:w="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99,281</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Bassett Leather</w:t>
            </w:r>
          </w:p>
        </w:tc>
        <w:tc>
          <w:tcPr>
            <w:tcW w:w="26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8,030</w:t>
            </w:r>
          </w:p>
        </w:tc>
        <w:tc>
          <w:tcPr>
            <w:tcW w:w="28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3,718</w:t>
            </w:r>
          </w:p>
        </w:tc>
        <w:tc>
          <w:tcPr>
            <w:tcW w:w="920" w:type="dxa"/>
            <w:vAlign w:val="bottom"/>
          </w:tcPr>
          <w:p>
            <w:pPr>
              <w:spacing w:after="0"/>
              <w:rPr>
                <w:sz w:val="18"/>
                <w:szCs w:val="18"/>
                <w:color w:val="auto"/>
              </w:rPr>
            </w:pP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7,522</w:t>
            </w:r>
          </w:p>
        </w:tc>
        <w:tc>
          <w:tcPr>
            <w:tcW w:w="28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1,944</w:t>
            </w:r>
          </w:p>
        </w:tc>
        <w:tc>
          <w:tcPr>
            <w:tcW w:w="48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9,466</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Bassett Custom Wood</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6,635</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16,174</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22,809</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7,185</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16,720</w:t>
            </w: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23,905</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Bassett Casegoods</w:t>
            </w:r>
          </w:p>
        </w:tc>
        <w:tc>
          <w:tcPr>
            <w:tcW w:w="26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5,469</w:t>
            </w:r>
          </w:p>
        </w:tc>
        <w:tc>
          <w:tcPr>
            <w:tcW w:w="28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13,724</w:t>
            </w:r>
          </w:p>
        </w:tc>
        <w:tc>
          <w:tcPr>
            <w:tcW w:w="920" w:type="dxa"/>
            <w:vAlign w:val="bottom"/>
          </w:tcPr>
          <w:p>
            <w:pPr>
              <w:spacing w:after="0"/>
              <w:rPr>
                <w:sz w:val="18"/>
                <w:szCs w:val="18"/>
                <w:color w:val="auto"/>
              </w:rPr>
            </w:pP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19,193</w:t>
            </w:r>
          </w:p>
        </w:tc>
        <w:tc>
          <w:tcPr>
            <w:tcW w:w="26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5,867</w:t>
            </w:r>
          </w:p>
        </w:tc>
        <w:tc>
          <w:tcPr>
            <w:tcW w:w="28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13,775</w:t>
            </w:r>
          </w:p>
        </w:tc>
        <w:tc>
          <w:tcPr>
            <w:tcW w:w="48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19,642</w:t>
            </w:r>
          </w:p>
        </w:tc>
        <w:tc>
          <w:tcPr>
            <w:tcW w:w="0" w:type="dxa"/>
            <w:vAlign w:val="bottom"/>
          </w:tcPr>
          <w:p>
            <w:pPr>
              <w:spacing w:after="0"/>
              <w:rPr>
                <w:sz w:val="1"/>
                <w:szCs w:val="1"/>
                <w:color w:val="auto"/>
              </w:rPr>
            </w:pPr>
          </w:p>
        </w:tc>
      </w:tr>
      <w:tr>
        <w:trPr>
          <w:trHeight w:val="216"/>
        </w:trPr>
        <w:tc>
          <w:tcPr>
            <w:tcW w:w="2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Accessories, mattresses and other (1)</w:t>
            </w:r>
          </w:p>
        </w:tc>
        <w:tc>
          <w:tcPr>
            <w:tcW w:w="2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14,875</w:t>
            </w:r>
          </w:p>
        </w:tc>
        <w:tc>
          <w:tcPr>
            <w:tcW w:w="9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14,875</w:t>
            </w:r>
          </w:p>
        </w:tc>
        <w:tc>
          <w:tcPr>
            <w:tcW w:w="2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14,724</w:t>
            </w:r>
          </w:p>
        </w:tc>
        <w:tc>
          <w:tcPr>
            <w:tcW w:w="4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2,946</w:t>
            </w:r>
          </w:p>
        </w:tc>
        <w:tc>
          <w:tcPr>
            <w:tcW w:w="2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Consolidated net sales of furniture</w:t>
            </w: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58,984</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107,526</w:t>
            </w:r>
          </w:p>
        </w:tc>
        <w:tc>
          <w:tcPr>
            <w:tcW w:w="920" w:type="dxa"/>
            <w:vAlign w:val="bottom"/>
            <w:vMerge w:val="restart"/>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9"/>
              </w:rPr>
              <w:t>166,510</w:t>
            </w:r>
          </w:p>
        </w:tc>
        <w:tc>
          <w:tcPr>
            <w:tcW w:w="200" w:type="dxa"/>
            <w:vAlign w:val="bottom"/>
          </w:tcPr>
          <w:p>
            <w:pPr>
              <w:spacing w:after="0"/>
              <w:rPr>
                <w:sz w:val="16"/>
                <w:szCs w:val="16"/>
                <w:color w:val="auto"/>
              </w:rPr>
            </w:pP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62,796</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104,222</w:t>
            </w:r>
          </w:p>
        </w:tc>
        <w:tc>
          <w:tcPr>
            <w:tcW w:w="4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2,946</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w w:val="99"/>
              </w:rPr>
              <w:t>169,964</w:t>
            </w:r>
          </w:p>
        </w:tc>
        <w:tc>
          <w:tcPr>
            <w:tcW w:w="0" w:type="dxa"/>
            <w:vAlign w:val="bottom"/>
          </w:tcPr>
          <w:p>
            <w:pPr>
              <w:spacing w:after="0"/>
              <w:rPr>
                <w:sz w:val="1"/>
                <w:szCs w:val="1"/>
                <w:color w:val="auto"/>
              </w:rPr>
            </w:pPr>
          </w:p>
        </w:tc>
      </w:tr>
      <w:tr>
        <w:trPr>
          <w:trHeight w:val="194"/>
        </w:trPr>
        <w:tc>
          <w:tcPr>
            <w:tcW w:w="28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and accessories</w:t>
            </w:r>
          </w:p>
        </w:tc>
        <w:tc>
          <w:tcPr>
            <w:tcW w:w="26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48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60" w:hanging="252"/>
        <w:spacing w:after="0"/>
        <w:tabs>
          <w:tab w:leader="none" w:pos="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sale of goods other than Bassett-branded products, such as accessories and bedding, and also includes the sale of furniture protection plans.</w:t>
      </w:r>
    </w:p>
    <w:p>
      <w:pPr>
        <w:spacing w:after="0" w:line="27" w:lineRule="exact"/>
        <w:rPr>
          <w:rFonts w:ascii="Times New Roman" w:cs="Times New Roman" w:eastAsia="Times New Roman" w:hAnsi="Times New Roman"/>
          <w:sz w:val="18"/>
          <w:szCs w:val="18"/>
          <w:color w:val="auto"/>
        </w:rPr>
      </w:pPr>
    </w:p>
    <w:p>
      <w:pPr>
        <w:ind w:right="20" w:firstLine="8"/>
        <w:spacing w:after="0" w:line="260" w:lineRule="auto"/>
        <w:tabs>
          <w:tab w:leader="none" w:pos="2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other for the three and six months ended June 1, 2024 includes the sales of Noa Home, which was acquired on September 2, 2022, closed during fiscal 2024 and substantially liquidated as of November 30, 2024.</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CONDENSED CONSOLIDATED FINANCIAL STATEMENTS-UNAUDITED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MAY 31,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Changes to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changes in our stockholders’ equity occurred during the three and six months ended May 31, 2025 and June 1, 2024: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240" w:type="dxa"/>
            <w:vAlign w:val="bottom"/>
          </w:tcPr>
          <w:p>
            <w:pPr>
              <w:spacing w:after="0"/>
              <w:rPr>
                <w:sz w:val="20"/>
                <w:szCs w:val="20"/>
                <w:color w:val="auto"/>
              </w:rPr>
            </w:pPr>
          </w:p>
        </w:tc>
        <w:tc>
          <w:tcPr>
            <w:tcW w:w="230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23"/>
        </w:trPr>
        <w:tc>
          <w:tcPr>
            <w:tcW w:w="46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380" w:type="dxa"/>
            <w:vAlign w:val="bottom"/>
            <w:tcBorders>
              <w:top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May 31, 2025</w:t>
            </w:r>
          </w:p>
        </w:tc>
        <w:tc>
          <w:tcPr>
            <w:tcW w:w="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June 1, 2024</w:t>
            </w:r>
          </w:p>
        </w:tc>
        <w:tc>
          <w:tcPr>
            <w:tcW w:w="220" w:type="dxa"/>
            <w:vAlign w:val="bottom"/>
          </w:tcPr>
          <w:p>
            <w:pPr>
              <w:spacing w:after="0"/>
              <w:rPr>
                <w:sz w:val="19"/>
                <w:szCs w:val="19"/>
                <w:color w:val="auto"/>
              </w:rPr>
            </w:pPr>
          </w:p>
        </w:tc>
        <w:tc>
          <w:tcPr>
            <w:tcW w:w="1320" w:type="dxa"/>
            <w:vAlign w:val="bottom"/>
            <w:tcBorders>
              <w:top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May 31, 2025</w:t>
            </w:r>
          </w:p>
        </w:tc>
        <w:tc>
          <w:tcPr>
            <w:tcW w:w="1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June 1, 2024</w:t>
            </w:r>
          </w:p>
        </w:tc>
        <w:tc>
          <w:tcPr>
            <w:tcW w:w="100" w:type="dxa"/>
            <w:vAlign w:val="bottom"/>
          </w:tcPr>
          <w:p>
            <w:pPr>
              <w:spacing w:after="0"/>
              <w:rPr>
                <w:sz w:val="19"/>
                <w:szCs w:val="19"/>
                <w:color w:val="auto"/>
              </w:rPr>
            </w:pPr>
          </w:p>
        </w:tc>
      </w:tr>
      <w:tr>
        <w:trPr>
          <w:trHeight w:val="209"/>
        </w:trPr>
        <w:tc>
          <w:tcPr>
            <w:tcW w:w="4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15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43,462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43,883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43,681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43,842</w:t>
            </w:r>
          </w:p>
        </w:tc>
      </w:tr>
      <w:tr>
        <w:trPr>
          <w:trHeight w:val="216"/>
        </w:trPr>
        <w:tc>
          <w:tcPr>
            <w:tcW w:w="4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common stock</w:t>
            </w: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w:t>
            </w:r>
          </w:p>
        </w:tc>
      </w:tr>
      <w:tr>
        <w:trPr>
          <w:trHeight w:val="230"/>
        </w:trPr>
        <w:tc>
          <w:tcPr>
            <w:tcW w:w="4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and retirement of common stock</w:t>
            </w:r>
          </w:p>
        </w:tc>
        <w:tc>
          <w:tcPr>
            <w:tcW w:w="1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(139)</w:t>
            </w:r>
          </w:p>
        </w:tc>
        <w:tc>
          <w:tcPr>
            <w:tcW w:w="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(173)</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(437)</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(225)</w:t>
            </w:r>
          </w:p>
        </w:tc>
      </w:tr>
      <w:tr>
        <w:trPr>
          <w:trHeight w:val="209"/>
        </w:trPr>
        <w:tc>
          <w:tcPr>
            <w:tcW w:w="4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 of period</w:t>
            </w:r>
          </w:p>
        </w:tc>
        <w:tc>
          <w:tcPr>
            <w:tcW w:w="15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43,410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43,808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43,410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43,808</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46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Common Shares Issued and Outstanding:</w:t>
            </w: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8,692,134</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8,776,349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8,736,046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8,768,221</w:t>
            </w:r>
          </w:p>
        </w:tc>
      </w:tr>
      <w:tr>
        <w:trPr>
          <w:trHeight w:val="216"/>
        </w:trPr>
        <w:tc>
          <w:tcPr>
            <w:tcW w:w="4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common stock</w:t>
            </w: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17,454</w:t>
            </w:r>
          </w:p>
        </w:tc>
        <w:tc>
          <w:tcPr>
            <w:tcW w:w="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19,629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33,189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38,117</w:t>
            </w:r>
          </w:p>
        </w:tc>
      </w:tr>
      <w:tr>
        <w:trPr>
          <w:trHeight w:val="230"/>
        </w:trPr>
        <w:tc>
          <w:tcPr>
            <w:tcW w:w="4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and retirement of common stock</w:t>
            </w:r>
          </w:p>
        </w:tc>
        <w:tc>
          <w:tcPr>
            <w:tcW w:w="1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(27,737)</w:t>
            </w:r>
          </w:p>
        </w:tc>
        <w:tc>
          <w:tcPr>
            <w:tcW w:w="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(34,646)</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(87,384)</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(45,006)</w:t>
            </w:r>
          </w:p>
        </w:tc>
      </w:tr>
      <w:tr>
        <w:trPr>
          <w:trHeight w:val="209"/>
        </w:trPr>
        <w:tc>
          <w:tcPr>
            <w:tcW w:w="4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 of period</w:t>
            </w:r>
          </w:p>
        </w:tc>
        <w:tc>
          <w:tcPr>
            <w:tcW w:w="13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8,681,851</w:t>
            </w:r>
          </w:p>
        </w:tc>
        <w:tc>
          <w:tcPr>
            <w:tcW w:w="8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8,761,332</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8,681,851</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8,761,332</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46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Additional Paid-in Capital:</w:t>
            </w: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15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4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common stock</w:t>
            </w: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4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and retirement of common stock</w:t>
            </w: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(163)</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(425)</w:t>
            </w:r>
          </w:p>
        </w:tc>
      </w:tr>
      <w:tr>
        <w:trPr>
          <w:trHeight w:val="229"/>
        </w:trPr>
        <w:tc>
          <w:tcPr>
            <w:tcW w:w="4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166</w:t>
            </w:r>
          </w:p>
        </w:tc>
        <w:tc>
          <w:tcPr>
            <w:tcW w:w="8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198</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306</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396</w:t>
            </w:r>
          </w:p>
        </w:tc>
      </w:tr>
      <w:tr>
        <w:trPr>
          <w:trHeight w:val="210"/>
        </w:trPr>
        <w:tc>
          <w:tcPr>
            <w:tcW w:w="464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83"/>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End of period</w:t>
            </w:r>
          </w:p>
        </w:tc>
        <w:tc>
          <w:tcPr>
            <w:tcW w:w="15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w:t>
            </w:r>
          </w:p>
        </w:tc>
      </w:tr>
      <w:tr>
        <w:trPr>
          <w:trHeight w:val="197"/>
        </w:trPr>
        <w:tc>
          <w:tcPr>
            <w:tcW w:w="464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Retained Earnings:</w:t>
            </w: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15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122,556</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136,588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122,847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139,354</w:t>
            </w:r>
          </w:p>
        </w:tc>
      </w:tr>
      <w:tr>
        <w:trPr>
          <w:trHeight w:val="216"/>
        </w:trPr>
        <w:tc>
          <w:tcPr>
            <w:tcW w:w="4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 for the period</w:t>
            </w: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1,918</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(7,201)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3,772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(8,394)</w:t>
            </w:r>
          </w:p>
        </w:tc>
      </w:tr>
      <w:tr>
        <w:trPr>
          <w:trHeight w:val="216"/>
        </w:trPr>
        <w:tc>
          <w:tcPr>
            <w:tcW w:w="4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and retirement of common stock</w:t>
            </w: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(135)</w:t>
            </w:r>
          </w:p>
        </w:tc>
        <w:tc>
          <w:tcPr>
            <w:tcW w:w="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dividends declared and paid</w:t>
            </w:r>
          </w:p>
        </w:tc>
        <w:tc>
          <w:tcPr>
            <w:tcW w:w="1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(1,742)</w:t>
            </w:r>
          </w:p>
        </w:tc>
        <w:tc>
          <w:tcPr>
            <w:tcW w:w="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(1,580)</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(3,476)</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(3,153)</w:t>
            </w:r>
          </w:p>
        </w:tc>
      </w:tr>
      <w:tr>
        <w:trPr>
          <w:trHeight w:val="210"/>
        </w:trPr>
        <w:tc>
          <w:tcPr>
            <w:tcW w:w="4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 of period</w:t>
            </w:r>
          </w:p>
        </w:tc>
        <w:tc>
          <w:tcPr>
            <w:tcW w:w="15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122,597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127,807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122,597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127,807</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46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 (Loss):</w:t>
            </w: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15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781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w:t>
            </w:r>
          </w:p>
        </w:tc>
      </w:tr>
      <w:tr>
        <w:trPr>
          <w:trHeight w:val="216"/>
        </w:trPr>
        <w:tc>
          <w:tcPr>
            <w:tcW w:w="4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Cumulative translation adjustments, net of tax</w:t>
            </w: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(174)</w:t>
            </w:r>
          </w:p>
        </w:tc>
      </w:tr>
      <w:tr>
        <w:trPr>
          <w:trHeight w:val="229"/>
        </w:trPr>
        <w:tc>
          <w:tcPr>
            <w:tcW w:w="4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pension costs, net of tax</w:t>
            </w:r>
          </w:p>
        </w:tc>
        <w:tc>
          <w:tcPr>
            <w:tcW w:w="1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r>
      <w:tr>
        <w:trPr>
          <w:trHeight w:val="210"/>
        </w:trPr>
        <w:tc>
          <w:tcPr>
            <w:tcW w:w="4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 of period</w:t>
            </w:r>
          </w:p>
        </w:tc>
        <w:tc>
          <w:tcPr>
            <w:tcW w:w="15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769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5980" w:type="dxa"/>
            <w:vAlign w:val="bottom"/>
            <w:tcBorders>
              <w:top w:val="single" w:sz="8" w:color="CCEEFF"/>
            </w:tcBorders>
            <w:gridSpan w:val="2"/>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3"/>
        </w:trPr>
        <w:tc>
          <w:tcPr>
            <w:tcW w:w="87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balance of cumulative translation adjustments, net of tax, was zero at both May 31, 2025 and November 30, 2024.</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4640" w:type="dxa"/>
            <w:vAlign w:val="bottom"/>
          </w:tcPr>
          <w:p>
            <w:pPr>
              <w:spacing w:after="0"/>
              <w:rPr>
                <w:sz w:val="24"/>
                <w:szCs w:val="24"/>
                <w:color w:val="auto"/>
              </w:rPr>
            </w:pPr>
          </w:p>
        </w:tc>
        <w:tc>
          <w:tcPr>
            <w:tcW w:w="158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19 of 35</w:t>
            </w: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8"/>
        </w:trPr>
        <w:tc>
          <w:tcPr>
            <w:tcW w:w="46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4" w:right="339" w:bottom="1440" w:gutter="0" w:footer="0" w:header="0"/>
        </w:sectPr>
      </w:pPr>
    </w:p>
    <w:bookmarkStart w:id="19" w:name="page20"/>
    <w:bookmarkEnd w:id="19"/>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NOTES TO CONDENSED CONSOLIDATED FINANCIAL STATEMENTS-UNAUDITED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MAY 31, 2025</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Recent Accounting Pronouncements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November 2023, the FASB issued Accounting Standards Update 2023-07 – Segment Reporting (Topic ASC 740) Improvements to Reportable Segment Disclosures. The ASU improves reportable segment disclosure requirements, primarily through enhanced disclosures about significant segment expenses. The amendments in this update require: that a public entity disclose, on an annual and interim basis, significant segment expenses that are regularly provided to the chief operating decision maker (CODM) and included within each reported measure of segment profit or loss (collectively referred to as the “significant expense principle”); and that a public entity disclose, on an annual and interim basis, an amount for other segment items by reportable segment and a description of its composition. The other segment items category is the difference between segment revenue less the segment expenses disclosed under the significant expense principle and each reported measure of segment profit or loss. The amendments in ASU 2023-07 will become effective for us for our 2025 fiscal year and for interim periods beginning with our 2026 fiscal year. Early adoption is permitted. We do not expect that this guidance will have a material impact upon our financial position and results of operations.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2023, the FASB issued Accounting Standards Update 2023-09 – Income Taxes (Topic ASC 740) Income Taxes. The ASU improves the transparency of income tax disclosures by requiring (1) consistent categories and greater disaggregation of information in the rate reconciliation and (2) income taxes paid disaggregated by jurisdiction. It also includes certain other amendments to improve the effectiveness of income tax disclosures. The amendments in ASU 2023-09 will become effective for us as of the beginning of our 2026 fiscal year. Early adoption is permitted for annual financial statements that have not yet been issued or made available for issuance. We do not expect that this guidance will have a material impact upon our financial position and results of operations.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November 2024, the FASB issued Accounting Standards Update 2024-03 – Income Statement – Reporting Comprehensive Income – Expense Disaggregation Disclosures (Subtopic ASC 220-40) Disaggregation of Income Statement Expenses. The amendments in this ASU require a public business entity to disclose specific information about certain costs and expenses in the notes to its financial statements for interim and annual reporting periods. The objective of the disclosure requirements is to provided disaggregated information about a public business entity's expenses to help investors (a) better understand the entity's performance, (b) better assess the entity's prospects for future cash flows, and (c) compare an entity's performance over time and with that of other entities. The amendments in ASU 2024-03 will become effective for us for our 2028 fiscal year and for interim periods beginning with our 2029 fiscal year. Early adoption is permitted. We do not expect that this guidance will have a material impact upon our financial position and results of operations.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0" w:name="page21"/>
    <w:bookmarkEnd w:id="20"/>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MAY 31, 2025</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Safe-harbor, forward-looking statements: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report contains certain forward-looking statements within the meaning of the Private Securities Litigation Reform Act of 1995 with respect to the financial condition, results of operations and business of Bassett Furniture Industries, Incorporated and subsidiaries. Such forward-looking statements are identified by use of forward-looking words such as “</w:t>
      </w:r>
      <w:r>
        <w:rPr>
          <w:rFonts w:ascii="Times New Roman" w:cs="Times New Roman" w:eastAsia="Times New Roman" w:hAnsi="Times New Roman"/>
          <w:sz w:val="18"/>
          <w:szCs w:val="18"/>
          <w:i w:val="1"/>
          <w:iCs w:val="1"/>
          <w:color w:val="auto"/>
        </w:rPr>
        <w:t>anticipates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believes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plans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estimates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expects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aims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intends</w:t>
      </w:r>
      <w:r>
        <w:rPr>
          <w:rFonts w:ascii="Times New Roman" w:cs="Times New Roman" w:eastAsia="Times New Roman" w:hAnsi="Times New Roman"/>
          <w:sz w:val="18"/>
          <w:szCs w:val="18"/>
          <w:color w:val="auto"/>
        </w:rPr>
        <w:t>” or words or phrases of similar expression. These forward-looking statements involve certain risks and uncertainties. No assurance can be given that any such matters will be realized. Important factors that could cause actual results to differ materially from those contemplated by such forward-looking statements include:</w:t>
      </w:r>
    </w:p>
    <w:p>
      <w:pPr>
        <w:spacing w:after="0" w:line="183" w:lineRule="exact"/>
        <w:rPr>
          <w:sz w:val="20"/>
          <w:szCs w:val="20"/>
          <w:color w:val="auto"/>
        </w:rPr>
      </w:pPr>
    </w:p>
    <w:p>
      <w:pPr>
        <w:jc w:val="both"/>
        <w:ind w:left="340" w:hanging="332"/>
        <w:spacing w:after="0" w:line="266"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cost and availability of raw materials, fuel, labor, delivery costs and sourced products, including those which may result from supply chain disruptions and shortages and the imposition of new or increased tariffs, retaliatory tariffs, duties and trade limitations with respect to foreign-sourced products</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conditions in the home furnishings industry</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retail traffic levels in stores and on the web and consumer demand for home furnishings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of our customers and consumers to obtain affordable credit due to increased interest rates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profitability of the stores (independent licensees and Company-owned retail stores) which may result in future store closings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additional asset impairment charges arising from the ongoing efforts to consolidate our retail warehouses.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implement our Company-owned retail strategies and realize the benefits from such strategies</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and security of our information technology systems and possible disruptions due to cybersecurity threats, including any impacts from a network security incident; and the sufficiency of our insurance coverage, including cybersecurity insurance</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tax legislation, or regulatory or judicial positions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efficiently manage the import supply chain to minimize business interruption</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concentration of domestic manufacturing, particularly of upholstery products, and the resulting exposure to business interruption from accidents, weather and other events and circumstances beyond our control</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other risks that could cause actual results to differ materially from those contemplated by such forward-looking statements are set forth in Part I, Item 1A. Risk Factors in the Company’s Annual Report on Form 10-K for the fiscal year ended November 30, 2024.</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You should keep in mind that any forward-looking statement made by us in this report or elsewhere speaks only as of the date on which such forward-looking statement is made. New risks and uncertainties arise from time to time, and it is impossible for us to predict these events or how they may affect us. We have no duty to, and do not intend to, update or revise the forward-looking statements in this discussion after the date hereof, except as may be required by law. In light of these risks and uncertainties, you should keep in mind that the events described in any forward-looking statement made in this report or elsewhere might not occur.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1" w:name="page22"/>
    <w:bookmarkEnd w:id="21"/>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MAY 31, 2025</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Our fiscal year, which ends on the last Saturday of November, periodically results in a 53-week year instead of the normal 52 weeks. The prior fiscal year ending November 30, 2024 was a 53-week year, with the additional week being included in the first fiscal quarter. Accordingly, the information presented below includes 26 weeks of operations for the six months ended May 31, 2025 as compared to 27 weeks included in the six months ended June 1, 2024.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Bassett is a leading retailer, manufacturer and marketer of branded home furnishings. We were founded in 1902 and incorporated under the laws of Virginia in 1930. Our rich 123-year history has instilled the principles of quality, value, and integrity in everything we do, while simultaneously providing us with the expertise to respond to ever-changing consumer tastes and meet the demands of a global economy.</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Approximately 60% of our wholesale sales arise from our network of 87 Company-owned and licensee-owned Bassett Home Furnishings (“BHF”) stores. Our store program is designed to provide a single source home furnishings retail store with a unique combination of stylish, quality furniture and accessories with a high level of customer service. The stores highlight our custom furniture design and manufacturing capabilities, free in-home or virtual design visits (“home makeovers”) and coordinated decorating accessories. Our philosophy is based on building strong long-term relationships with each customer. Salespeople are referred to as “Design Consultants” and are trained to evaluate customer needs and provide comprehensive solutions for their home decor. Until a rigorous training and design certification program is completed, Design Consultants are not authorized to perform in-home or virtual design services for our customers.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Bassett also has a significant traditional wholesale business with more than 1,000 open market accounts. Most of the open market sales are through Bassett Design Centers and Bassett Custom Studios which function as a store within a multi-line store featuring the Company’s custom furniture capabilities. The wholesale business, including the Lane Venture outdoor brand, also services general furniture stores and a growing number of interior design firms through a network of over 30 independent sales representatives who have stated geographical territories. These sales representatives are compensated based on a standard commission rate.</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consider our website to be the front door to our brand experience where customers can research our furniture and accessory offerings and subsequently buy online or engage with an in-store design consultant. We introduced a new web platform late in 2023 that leverages world class features including enhanced customer research capabilities and streamlined navigation. We know that we are driving a significant percentage of the retail foot traffic to our store network and our open market customers through engagement with www.bassettfurniture.com. Although e-commerce sales continue to be small in relation to in-store sales, we are pleased that we have seen a greater than 35% e-commerce sales increase for the six months ended May 31, 2025 as compared to the same period of 2024. We will continue to invest in ongoing improvements to the aesthetics and user experience that we provide on our website.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fourth quarter of fiscal 2022 we acquired Noa Home Inc. (“Noa Home”). A mid-priced e-commerce furniture retailer headquartered in Montreal, Canada, Noa Home had operations in Canada, Australia, Singapore and the United Kingdom. After nearly two years of operating losses, we concluded during the second quarter of 2024 that Noa Home was not likely to achieve profitability at any time in the foreseeable future and decided to cease operations by selling the inventory in an orderly fashion. As of November 30, 2024, we had substantially completed the liquidation of Noa Home’s assets and liabilities.</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have factories in Newton, North Carolina that manufacture both stationary and motion upholstered furniture for inside the home along with our outdoor furniture offerings. We also have a factory in Martinsville, Virginia that assembles and finishes our custom bedroom and dining offerings. We also own a facility in Haleyville, Alabama where we manufacture aluminum frames for our outdoor furniture.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furniture that we manufacture domestically, we source most of our formal bedroom and dining room furniture (casegoods) and certain leather upholstery offerings from several foreign plants, primarily in Vietnam. Approximately 80% of our wholesale revenues are derived from products that are manufactured in the United States using a mix of domestic and globally sourced components and raw materials.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MAY 31,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Results of Operations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Periods ended May 31, 2025 compared with the periods ended June 1, 2024: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results of operations for the three and six months ended May 31, 2025 and June 1, 2024 are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0" w:type="dxa"/>
            <w:vAlign w:val="bottom"/>
            <w:gridSpan w:val="4"/>
          </w:tcPr>
          <w:p>
            <w:pPr>
              <w:jc w:val="right"/>
              <w:ind w:right="448"/>
              <w:spacing w:after="0"/>
              <w:rPr>
                <w:sz w:val="20"/>
                <w:szCs w:val="20"/>
                <w:color w:val="auto"/>
              </w:rPr>
            </w:pPr>
            <w:r>
              <w:rPr>
                <w:rFonts w:ascii="Times New Roman" w:cs="Times New Roman" w:eastAsia="Times New Roman" w:hAnsi="Times New Roman"/>
                <w:sz w:val="14"/>
                <w:szCs w:val="14"/>
                <w:color w:val="auto"/>
              </w:rPr>
              <w:t>Quarter Ended</w:t>
            </w: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3"/>
          </w:tcPr>
          <w:p>
            <w:pPr>
              <w:jc w:val="right"/>
              <w:ind w:right="680"/>
              <w:spacing w:after="0"/>
              <w:rPr>
                <w:sz w:val="20"/>
                <w:szCs w:val="20"/>
                <w:color w:val="auto"/>
              </w:rPr>
            </w:pPr>
            <w:r>
              <w:rPr>
                <w:rFonts w:ascii="Times New Roman" w:cs="Times New Roman" w:eastAsia="Times New Roman" w:hAnsi="Times New Roman"/>
                <w:sz w:val="14"/>
                <w:szCs w:val="14"/>
                <w:color w:val="auto"/>
              </w:rPr>
              <w:t>Change</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60" w:type="dxa"/>
            <w:vAlign w:val="bottom"/>
            <w:gridSpan w:val="3"/>
          </w:tcPr>
          <w:p>
            <w:pPr>
              <w:jc w:val="right"/>
              <w:ind w:right="288"/>
              <w:spacing w:after="0"/>
              <w:rPr>
                <w:sz w:val="20"/>
                <w:szCs w:val="20"/>
                <w:color w:val="auto"/>
              </w:rPr>
            </w:pPr>
            <w:r>
              <w:rPr>
                <w:rFonts w:ascii="Times New Roman" w:cs="Times New Roman" w:eastAsia="Times New Roman" w:hAnsi="Times New Roman"/>
                <w:sz w:val="14"/>
                <w:szCs w:val="14"/>
                <w:color w:val="auto"/>
              </w:rPr>
              <w:t>Six Months Ended*</w:t>
            </w: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142"/>
        </w:trPr>
        <w:tc>
          <w:tcPr>
            <w:tcW w:w="20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3"/>
          </w:tcPr>
          <w:p>
            <w:pPr>
              <w:jc w:val="right"/>
              <w:ind w:right="520"/>
              <w:spacing w:after="0" w:line="142" w:lineRule="exact"/>
              <w:rPr>
                <w:sz w:val="20"/>
                <w:szCs w:val="20"/>
                <w:color w:val="auto"/>
              </w:rPr>
            </w:pPr>
            <w:r>
              <w:rPr>
                <w:rFonts w:ascii="Times New Roman" w:cs="Times New Roman" w:eastAsia="Times New Roman" w:hAnsi="Times New Roman"/>
                <w:sz w:val="14"/>
                <w:szCs w:val="14"/>
                <w:color w:val="auto"/>
              </w:rPr>
              <w:t>May 31, 2025</w:t>
            </w:r>
          </w:p>
        </w:tc>
        <w:tc>
          <w:tcPr>
            <w:tcW w:w="1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2"/>
          </w:tcPr>
          <w:p>
            <w:pPr>
              <w:ind w:left="180"/>
              <w:spacing w:after="0" w:line="142" w:lineRule="exact"/>
              <w:rPr>
                <w:sz w:val="20"/>
                <w:szCs w:val="20"/>
                <w:color w:val="auto"/>
              </w:rPr>
            </w:pPr>
            <w:r>
              <w:rPr>
                <w:rFonts w:ascii="Times New Roman" w:cs="Times New Roman" w:eastAsia="Times New Roman" w:hAnsi="Times New Roman"/>
                <w:sz w:val="14"/>
                <w:szCs w:val="14"/>
                <w:color w:val="auto"/>
              </w:rPr>
              <w:t>June 1, 2024</w:t>
            </w:r>
          </w:p>
        </w:tc>
        <w:tc>
          <w:tcPr>
            <w:tcW w:w="220" w:type="dxa"/>
            <w:vAlign w:val="bottom"/>
          </w:tcPr>
          <w:p>
            <w:pPr>
              <w:spacing w:after="0"/>
              <w:rPr>
                <w:sz w:val="12"/>
                <w:szCs w:val="12"/>
                <w:color w:val="auto"/>
              </w:rPr>
            </w:pPr>
          </w:p>
        </w:tc>
        <w:tc>
          <w:tcPr>
            <w:tcW w:w="720" w:type="dxa"/>
            <w:vAlign w:val="bottom"/>
            <w:tcBorders>
              <w:top w:val="single" w:sz="8" w:color="auto"/>
            </w:tcBorders>
            <w:gridSpan w:val="2"/>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Dollars</w:t>
            </w:r>
          </w:p>
        </w:tc>
        <w:tc>
          <w:tcPr>
            <w:tcW w:w="6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Percent</w:t>
            </w: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3"/>
          </w:tcPr>
          <w:p>
            <w:pPr>
              <w:jc w:val="right"/>
              <w:ind w:right="500"/>
              <w:spacing w:after="0" w:line="142" w:lineRule="exact"/>
              <w:rPr>
                <w:sz w:val="20"/>
                <w:szCs w:val="20"/>
                <w:color w:val="auto"/>
              </w:rPr>
            </w:pPr>
            <w:r>
              <w:rPr>
                <w:rFonts w:ascii="Times New Roman" w:cs="Times New Roman" w:eastAsia="Times New Roman" w:hAnsi="Times New Roman"/>
                <w:sz w:val="14"/>
                <w:szCs w:val="14"/>
                <w:color w:val="auto"/>
              </w:rPr>
              <w:t>May 31, 2025</w:t>
            </w:r>
          </w:p>
        </w:tc>
        <w:tc>
          <w:tcPr>
            <w:tcW w:w="1340" w:type="dxa"/>
            <w:vAlign w:val="bottom"/>
            <w:tcBorders>
              <w:top w:val="single" w:sz="8" w:color="auto"/>
            </w:tcBorders>
            <w:gridSpan w:val="2"/>
          </w:tcPr>
          <w:p>
            <w:pPr>
              <w:ind w:left="300"/>
              <w:spacing w:after="0" w:line="142" w:lineRule="exact"/>
              <w:rPr>
                <w:sz w:val="20"/>
                <w:szCs w:val="20"/>
                <w:color w:val="auto"/>
              </w:rPr>
            </w:pPr>
            <w:r>
              <w:rPr>
                <w:rFonts w:ascii="Times New Roman" w:cs="Times New Roman" w:eastAsia="Times New Roman" w:hAnsi="Times New Roman"/>
                <w:sz w:val="14"/>
                <w:szCs w:val="14"/>
                <w:color w:val="auto"/>
              </w:rPr>
              <w:t>June 1, 2024</w:t>
            </w:r>
          </w:p>
        </w:tc>
        <w:tc>
          <w:tcPr>
            <w:tcW w:w="240" w:type="dxa"/>
            <w:vAlign w:val="bottom"/>
          </w:tcPr>
          <w:p>
            <w:pPr>
              <w:spacing w:after="0"/>
              <w:rPr>
                <w:sz w:val="12"/>
                <w:szCs w:val="12"/>
                <w:color w:val="auto"/>
              </w:rPr>
            </w:pPr>
          </w:p>
        </w:tc>
        <w:tc>
          <w:tcPr>
            <w:tcW w:w="680" w:type="dxa"/>
            <w:vAlign w:val="bottom"/>
            <w:tcBorders>
              <w:top w:val="single" w:sz="8" w:color="auto"/>
            </w:tcBorders>
            <w:gridSpan w:val="2"/>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Dollars</w:t>
            </w:r>
          </w:p>
        </w:tc>
        <w:tc>
          <w:tcPr>
            <w:tcW w:w="5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Percent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40" w:type="dxa"/>
            <w:vAlign w:val="bottom"/>
            <w:tcBorders>
              <w:right w:val="single" w:sz="8" w:color="CCEEFF"/>
            </w:tcBorders>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Net sales of furniture and</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84,348</w:t>
            </w:r>
          </w:p>
        </w:tc>
        <w:tc>
          <w:tcPr>
            <w:tcW w:w="8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vMerge w:val="restart"/>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83,410</w:t>
            </w:r>
          </w:p>
        </w:tc>
        <w:tc>
          <w:tcPr>
            <w:tcW w:w="74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100.0%</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938</w:t>
            </w: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166,510</w:t>
            </w:r>
          </w:p>
        </w:tc>
        <w:tc>
          <w:tcPr>
            <w:tcW w:w="84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100.0%</w:t>
            </w:r>
          </w:p>
        </w:tc>
        <w:tc>
          <w:tcPr>
            <w:tcW w:w="82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99"/>
              </w:rPr>
              <w:t>$ 169,964</w:t>
            </w: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100.0%</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(3,454)</w:t>
            </w:r>
          </w:p>
        </w:tc>
        <w:tc>
          <w:tcPr>
            <w:tcW w:w="6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71"/>
        </w:trPr>
        <w:tc>
          <w:tcPr>
            <w:tcW w:w="20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accessories</w:t>
            </w:r>
          </w:p>
        </w:tc>
        <w:tc>
          <w:tcPr>
            <w:tcW w:w="140" w:type="dxa"/>
            <w:vAlign w:val="bottom"/>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740" w:type="dxa"/>
            <w:vAlign w:val="bottom"/>
            <w:tcBorders>
              <w:right w:val="single" w:sz="8" w:color="CCEEFF"/>
            </w:tcBorders>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840" w:type="dxa"/>
            <w:vAlign w:val="bottom"/>
            <w:tcBorders>
              <w:right w:val="single" w:sz="8" w:color="CCEEFF"/>
            </w:tcBorders>
            <w:gridSpan w:val="2"/>
            <w:vMerge w:val="continue"/>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Cost of furniture and accessories</w:t>
            </w:r>
          </w:p>
        </w:tc>
        <w:tc>
          <w:tcPr>
            <w:tcW w:w="140" w:type="dxa"/>
            <w:vAlign w:val="bottom"/>
          </w:tcPr>
          <w:p>
            <w:pPr>
              <w:spacing w:after="0"/>
              <w:rPr>
                <w:sz w:val="10"/>
                <w:szCs w:val="10"/>
                <w:color w:val="auto"/>
              </w:rPr>
            </w:pPr>
          </w:p>
        </w:tc>
        <w:tc>
          <w:tcPr>
            <w:tcW w:w="68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37,439</w:t>
            </w: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44.4%</w:t>
            </w:r>
          </w:p>
        </w:tc>
        <w:tc>
          <w:tcPr>
            <w:tcW w:w="100" w:type="dxa"/>
            <w:vAlign w:val="bottom"/>
          </w:tcPr>
          <w:p>
            <w:pPr>
              <w:spacing w:after="0"/>
              <w:rPr>
                <w:sz w:val="10"/>
                <w:szCs w:val="10"/>
                <w:color w:val="auto"/>
              </w:rPr>
            </w:pPr>
          </w:p>
        </w:tc>
        <w:tc>
          <w:tcPr>
            <w:tcW w:w="70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39,650</w:t>
            </w: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47.5%</w:t>
            </w:r>
          </w:p>
        </w:tc>
        <w:tc>
          <w:tcPr>
            <w:tcW w:w="120" w:type="dxa"/>
            <w:vAlign w:val="bottom"/>
          </w:tcPr>
          <w:p>
            <w:pPr>
              <w:spacing w:after="0"/>
              <w:rPr>
                <w:sz w:val="10"/>
                <w:szCs w:val="10"/>
                <w:color w:val="auto"/>
              </w:rPr>
            </w:pPr>
          </w:p>
        </w:tc>
        <w:tc>
          <w:tcPr>
            <w:tcW w:w="6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(2,211)</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10"/>
                <w:szCs w:val="10"/>
                <w:color w:val="auto"/>
              </w:rPr>
            </w:pPr>
          </w:p>
        </w:tc>
        <w:tc>
          <w:tcPr>
            <w:tcW w:w="6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72,771</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43.7%</w:t>
            </w:r>
          </w:p>
        </w:tc>
        <w:tc>
          <w:tcPr>
            <w:tcW w:w="82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78,337</w:t>
            </w: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46.1%</w:t>
            </w:r>
          </w:p>
        </w:tc>
        <w:tc>
          <w:tcPr>
            <w:tcW w:w="120" w:type="dxa"/>
            <w:vAlign w:val="bottom"/>
          </w:tcPr>
          <w:p>
            <w:pPr>
              <w:spacing w:after="0"/>
              <w:rPr>
                <w:sz w:val="10"/>
                <w:szCs w:val="10"/>
                <w:color w:val="auto"/>
              </w:rPr>
            </w:pPr>
          </w:p>
        </w:tc>
        <w:tc>
          <w:tcPr>
            <w:tcW w:w="5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(5,566)</w:t>
            </w: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171"/>
        </w:trPr>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sold</w:t>
            </w: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40" w:type="dxa"/>
            <w:vAlign w:val="bottom"/>
            <w:tcBorders>
              <w:right w:val="single" w:sz="8" w:color="CCEEFF"/>
            </w:tcBorders>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Gross profit</w:t>
            </w: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40" w:type="dxa"/>
            <w:vAlign w:val="bottom"/>
            <w:tcBorders>
              <w:right w:val="single" w:sz="8" w:color="CCEEFF"/>
            </w:tcBorders>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46,909</w:t>
            </w:r>
          </w:p>
        </w:tc>
        <w:tc>
          <w:tcPr>
            <w:tcW w:w="800" w:type="dxa"/>
            <w:vAlign w:val="bottom"/>
            <w:gridSpan w:val="2"/>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55.6%</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88"/>
              <w:spacing w:after="0" w:line="142" w:lineRule="exact"/>
              <w:rPr>
                <w:sz w:val="20"/>
                <w:szCs w:val="20"/>
                <w:color w:val="auto"/>
              </w:rPr>
            </w:pPr>
            <w:r>
              <w:rPr>
                <w:rFonts w:ascii="Times New Roman" w:cs="Times New Roman" w:eastAsia="Times New Roman" w:hAnsi="Times New Roman"/>
                <w:sz w:val="14"/>
                <w:szCs w:val="14"/>
                <w:color w:val="auto"/>
              </w:rPr>
              <w:t>43,760</w:t>
            </w:r>
          </w:p>
        </w:tc>
        <w:tc>
          <w:tcPr>
            <w:tcW w:w="740" w:type="dxa"/>
            <w:vAlign w:val="bottom"/>
            <w:tcBorders>
              <w:right w:val="single" w:sz="8" w:color="CCEEFF"/>
            </w:tcBorders>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52.5%</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3,149</w:t>
            </w:r>
          </w:p>
        </w:tc>
        <w:tc>
          <w:tcPr>
            <w:tcW w:w="840" w:type="dxa"/>
            <w:vAlign w:val="bottom"/>
            <w:gridSpan w:val="2"/>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7.2%</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93,739</w:t>
            </w:r>
          </w:p>
        </w:tc>
        <w:tc>
          <w:tcPr>
            <w:tcW w:w="840" w:type="dxa"/>
            <w:vAlign w:val="bottom"/>
            <w:tcBorders>
              <w:right w:val="single" w:sz="8" w:color="CCEEFF"/>
            </w:tcBorders>
            <w:gridSpan w:val="2"/>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56.3%</w:t>
            </w:r>
          </w:p>
        </w:tc>
        <w:tc>
          <w:tcPr>
            <w:tcW w:w="820" w:type="dxa"/>
            <w:vAlign w:val="bottom"/>
            <w:shd w:val="clear" w:color="auto" w:fill="CCEEFF"/>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91,627</w:t>
            </w:r>
          </w:p>
        </w:tc>
        <w:tc>
          <w:tcPr>
            <w:tcW w:w="760" w:type="dxa"/>
            <w:vAlign w:val="bottom"/>
            <w:gridSpan w:val="2"/>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53.9%</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2,112</w:t>
            </w:r>
          </w:p>
        </w:tc>
        <w:tc>
          <w:tcPr>
            <w:tcW w:w="64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48"/>
        </w:trPr>
        <w:tc>
          <w:tcPr>
            <w:tcW w:w="2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SG&amp;A expenses</w:t>
            </w:r>
          </w:p>
        </w:tc>
        <w:tc>
          <w:tcPr>
            <w:tcW w:w="140" w:type="dxa"/>
            <w:vAlign w:val="bottom"/>
          </w:tcPr>
          <w:p>
            <w:pPr>
              <w:spacing w:after="0"/>
              <w:rPr>
                <w:sz w:val="12"/>
                <w:szCs w:val="12"/>
                <w:color w:val="auto"/>
              </w:rPr>
            </w:pPr>
          </w:p>
        </w:tc>
        <w:tc>
          <w:tcPr>
            <w:tcW w:w="68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44,412</w:t>
            </w: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52.7%</w:t>
            </w:r>
          </w:p>
        </w:tc>
        <w:tc>
          <w:tcPr>
            <w:tcW w:w="100" w:type="dxa"/>
            <w:vAlign w:val="bottom"/>
          </w:tcPr>
          <w:p>
            <w:pPr>
              <w:spacing w:after="0"/>
              <w:rPr>
                <w:sz w:val="12"/>
                <w:szCs w:val="12"/>
                <w:color w:val="auto"/>
              </w:rPr>
            </w:pPr>
          </w:p>
        </w:tc>
        <w:tc>
          <w:tcPr>
            <w:tcW w:w="700" w:type="dxa"/>
            <w:vAlign w:val="bottom"/>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46,707</w:t>
            </w:r>
          </w:p>
        </w:tc>
        <w:tc>
          <w:tcPr>
            <w:tcW w:w="7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56.0%</w:t>
            </w:r>
          </w:p>
        </w:tc>
        <w:tc>
          <w:tcPr>
            <w:tcW w:w="120" w:type="dxa"/>
            <w:vAlign w:val="bottom"/>
          </w:tcPr>
          <w:p>
            <w:pPr>
              <w:spacing w:after="0"/>
              <w:rPr>
                <w:sz w:val="12"/>
                <w:szCs w:val="12"/>
                <w:color w:val="auto"/>
              </w:rPr>
            </w:pPr>
          </w:p>
        </w:tc>
        <w:tc>
          <w:tcPr>
            <w:tcW w:w="6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(2,295)</w:t>
            </w:r>
          </w:p>
        </w:tc>
        <w:tc>
          <w:tcPr>
            <w:tcW w:w="8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-4.9%</w:t>
            </w:r>
          </w:p>
        </w:tc>
        <w:tc>
          <w:tcPr>
            <w:tcW w:w="100" w:type="dxa"/>
            <w:vAlign w:val="bottom"/>
          </w:tcPr>
          <w:p>
            <w:pPr>
              <w:spacing w:after="0"/>
              <w:rPr>
                <w:sz w:val="12"/>
                <w:szCs w:val="12"/>
                <w:color w:val="auto"/>
              </w:rPr>
            </w:pPr>
          </w:p>
        </w:tc>
        <w:tc>
          <w:tcPr>
            <w:tcW w:w="64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88,787</w:t>
            </w:r>
          </w:p>
        </w:tc>
        <w:tc>
          <w:tcPr>
            <w:tcW w:w="8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53.3%</w:t>
            </w:r>
          </w:p>
        </w:tc>
        <w:tc>
          <w:tcPr>
            <w:tcW w:w="82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96,931</w:t>
            </w:r>
          </w:p>
        </w:tc>
        <w:tc>
          <w:tcPr>
            <w:tcW w:w="7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57.0%</w:t>
            </w:r>
          </w:p>
        </w:tc>
        <w:tc>
          <w:tcPr>
            <w:tcW w:w="120" w:type="dxa"/>
            <w:vAlign w:val="bottom"/>
          </w:tcPr>
          <w:p>
            <w:pPr>
              <w:spacing w:after="0"/>
              <w:rPr>
                <w:sz w:val="12"/>
                <w:szCs w:val="12"/>
                <w:color w:val="auto"/>
              </w:rPr>
            </w:pPr>
          </w:p>
        </w:tc>
        <w:tc>
          <w:tcPr>
            <w:tcW w:w="5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(8,144)</w:t>
            </w:r>
          </w:p>
        </w:tc>
        <w:tc>
          <w:tcPr>
            <w:tcW w:w="6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-8.4%</w:t>
            </w:r>
          </w:p>
        </w:tc>
        <w:tc>
          <w:tcPr>
            <w:tcW w:w="0" w:type="dxa"/>
            <w:vAlign w:val="bottom"/>
          </w:tcPr>
          <w:p>
            <w:pPr>
              <w:spacing w:after="0"/>
              <w:rPr>
                <w:sz w:val="1"/>
                <w:szCs w:val="1"/>
                <w:color w:val="auto"/>
              </w:rPr>
            </w:pPr>
          </w:p>
        </w:tc>
      </w:tr>
      <w:tr>
        <w:trPr>
          <w:trHeight w:val="162"/>
        </w:trPr>
        <w:tc>
          <w:tcPr>
            <w:tcW w:w="20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Asset impairment charges</w:t>
            </w: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0.0%</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5,515</w:t>
            </w:r>
          </w:p>
        </w:tc>
        <w:tc>
          <w:tcPr>
            <w:tcW w:w="7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6.6%</w:t>
            </w: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(5,515)</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0.0%</w:t>
            </w:r>
          </w:p>
        </w:tc>
        <w:tc>
          <w:tcPr>
            <w:tcW w:w="8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5,515</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(5,515)</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42"/>
        </w:trPr>
        <w:tc>
          <w:tcPr>
            <w:tcW w:w="20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(loss) from operations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2,497</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(8,462)</w:t>
            </w:r>
          </w:p>
        </w:tc>
        <w:tc>
          <w:tcPr>
            <w:tcW w:w="7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10,959</w:t>
            </w:r>
          </w:p>
        </w:tc>
        <w:tc>
          <w:tcPr>
            <w:tcW w:w="8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N/M</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4,952</w:t>
            </w: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3.0%</w:t>
            </w:r>
          </w:p>
        </w:tc>
        <w:tc>
          <w:tcPr>
            <w:tcW w:w="8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 (10,819)</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15,771</w:t>
            </w: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*26 weeks for fiscal 2025 as compared with 27 weeks for fiscal 2024.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Analysis of Quarterly Results: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sales revenue for the three months ended May 31, 2025 increased $938 or 1.1% over the prior year period. This consisted of a $3,764 or 7.5% increase in retail sales from our Company-owned stores partially offset by a $1,742 or 5.5% decline in sales to external wholesale customers and a $1,084 decline in sales by Noa Home, which was closed during the second half of fiscal 2024.</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margins for the three months ended May 31, 2025 increased 310 basis points over the prior year period as we recorded $2,700 of additional inventory valuation charges during the three months ended June 1, 2024 ($1,729 in the wholesale segment, $471 in the retail segment and $500 associated with Noa Home). Excluding those charges, gross margins would have been essentially flat.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(“SG&amp;A”) expenses as a percentage of sales for the three months ended May 31, 2025 decreased 330 basis points from 2024 primarily due to the benefit of cost reductions implemented during the second half of fiscal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Analysis of Year-to-Date Results: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sales revenue for the six months ended May 31, 2025 decreased $3,454 or 2.0% from the prior year period. Normalizing for the additional week in the first half of 2024, consolidated sales increased 1.7% which included a 7.1% increase in retail sales, partially offset by a 2.5% decrease in sales to external wholesale customers and a $2,946 decline due to the closure of Noa Home during the second half of 2024.</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Gross margins for the six months ended May 31, 2025 increased 240 basis points over the prior year period. Excluding the above-mentioned additional inventory valuation charges in 2024, gross margins would have increased 80 basis points primarily due to improved margins in the wholesale segment.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(“SG&amp;A”) expenses as a percentage of sales for the six months ended May 31, 2025 decreased 370 basis points from 2024 primarily due to the benefit of cost reductions implemented during the second half of fiscal 2024.</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3" w:name="page24"/>
    <w:bookmarkEnd w:id="23"/>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MAY 31, 2025</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We have strategically aligned our business into two reportable segments as defined in ASC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and as described below:</w:t>
      </w:r>
    </w:p>
    <w:p>
      <w:pPr>
        <w:spacing w:after="0" w:line="223" w:lineRule="exact"/>
        <w:rPr>
          <w:sz w:val="20"/>
          <w:szCs w:val="20"/>
          <w:color w:val="auto"/>
        </w:rPr>
      </w:pPr>
    </w:p>
    <w:p>
      <w:pPr>
        <w:jc w:val="both"/>
        <w:ind w:left="660" w:right="20" w:hanging="328"/>
        <w:spacing w:after="0" w:line="268"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Wholesale. </w:t>
      </w:r>
      <w:r>
        <w:rPr>
          <w:rFonts w:ascii="Times New Roman" w:cs="Times New Roman" w:eastAsia="Times New Roman" w:hAnsi="Times New Roman"/>
          <w:sz w:val="18"/>
          <w:szCs w:val="18"/>
          <w:color w:val="auto"/>
        </w:rPr>
        <w:t>The wholesale home furnishings segment is involved principally in the design, manufacture, sourcing, sale and distribution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furniture products to a network of Bassett stores (Company-owned and licensee-owned retail stores) and independent furniture retailers. Our wholesale segment includes our wood and upholstery operations, which includes Lane Venture.</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Retail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Company-owned stores. </w:t>
      </w:r>
      <w:r>
        <w:rPr>
          <w:rFonts w:ascii="Times New Roman" w:cs="Times New Roman" w:eastAsia="Times New Roman" w:hAnsi="Times New Roman"/>
          <w:sz w:val="18"/>
          <w:szCs w:val="18"/>
          <w:color w:val="auto"/>
        </w:rPr>
        <w:t>Our retail segment consists of Company-owned stores and includes the revenues, expenses, assets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liabilities and capital expenditures directly related to these stores and the Company-owned distribution network utilized to deliver products to our retail customers.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the two reportable segments described above, we include our remaining business activities and assets in a reconciling category known as Corporate and other. This category includes the shared costs of corporate functions such as treasury and finance, information technology, accounting, human resources, legal and others, including certain product development and marketing functions benefitting both wholesale and retail operations. In addition to property and equipment and various other assets associated with the shared corporate functions, the identifiable assets of Corporate and other include substantially all of our cash and our investments in CDs. We consider our corporate functions to be other business activities and have aggregated them with any of our operating segments that do not meet the requirements to be reportable segments. As of and for the three and six months ended June 1, 2024, the only such operating segment included in Corporate and other is Noa Home, which was acquired on September 2, 2022, subsequently closed during fiscal 2024 and substantially liquidated as of November 30, 2024. All sales reported in our Corporate and other category during fiscal 2024 were attributable to Noa Home, which generated substantially all of its sales outside of the United States.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Inter-company net sales elimination represents the elimination of wholesale sales to our Company-owned stores. Inter-company income elimination includes the embedded wholesale profit in the Company-owned store inventory that has not been realized. These profits will be recorded when merchandise is delivered to the retail consumer. The inter-company income elimination also includes rent paid by our retail stores occupying Company-owned real estate.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MAY 31,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Reconciliation of Segment Results to Consolidated Income (Loss) Before Income Taxes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supplement the financial measures prepared in accordance with GAAP, we present gross profit by segment inclusive of the effects of intercompany sales by our wholesale segment to our retail segment. Because these intercompany transactions are not eliminated from our segment presentations and because we do not present gross profit as a measure of segment profitability in the accompanying condensed consolidated financial statements, the presentation of gross profit by segment is considered to be a non-GAAP financial measure. In addition, certain special gains or charges as well as non-operating income and expenses are included in consolidated income (loss) before income taxes are not included in the measures of segment profitability. The reconciliation of this non-GAAP financial measure to the most directly comparable financial measure calculated and presented in accordance with GAAP is presented below along with the effects of various other intercompany eliminations on our consolidated results of operations.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7"/>
          </w:tcPr>
          <w:p>
            <w:pPr>
              <w:jc w:val="right"/>
              <w:ind w:right="170"/>
              <w:spacing w:after="0"/>
              <w:rPr>
                <w:sz w:val="20"/>
                <w:szCs w:val="20"/>
                <w:color w:val="auto"/>
              </w:rPr>
            </w:pPr>
            <w:r>
              <w:rPr>
                <w:rFonts w:ascii="Times New Roman" w:cs="Times New Roman" w:eastAsia="Times New Roman" w:hAnsi="Times New Roman"/>
                <w:sz w:val="18"/>
                <w:szCs w:val="18"/>
                <w:color w:val="auto"/>
              </w:rPr>
              <w:t>Quarter Ended May 31, 2025</w:t>
            </w:r>
          </w:p>
        </w:tc>
        <w:tc>
          <w:tcPr>
            <w:tcW w:w="2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right"/>
              <w:ind w:right="330"/>
              <w:spacing w:after="0" w:line="191" w:lineRule="exact"/>
              <w:rPr>
                <w:sz w:val="20"/>
                <w:szCs w:val="20"/>
                <w:color w:val="auto"/>
              </w:rPr>
            </w:pPr>
            <w:r>
              <w:rPr>
                <w:rFonts w:ascii="Times New Roman" w:cs="Times New Roman" w:eastAsia="Times New Roman" w:hAnsi="Times New Roman"/>
                <w:sz w:val="18"/>
                <w:szCs w:val="18"/>
                <w:color w:val="auto"/>
              </w:rPr>
              <w:t>GAAP</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60" w:type="dxa"/>
            <w:vAlign w:val="bottom"/>
            <w:gridSpan w:val="8"/>
          </w:tcPr>
          <w:p>
            <w:pPr>
              <w:jc w:val="right"/>
              <w:ind w:right="500"/>
              <w:spacing w:after="0"/>
              <w:rPr>
                <w:sz w:val="20"/>
                <w:szCs w:val="20"/>
                <w:color w:val="auto"/>
              </w:rPr>
            </w:pPr>
            <w:r>
              <w:rPr>
                <w:rFonts w:ascii="Times New Roman" w:cs="Times New Roman" w:eastAsia="Times New Roman" w:hAnsi="Times New Roman"/>
                <w:sz w:val="18"/>
                <w:szCs w:val="18"/>
                <w:color w:val="auto"/>
              </w:rPr>
              <w:t>Non-GAAP Presentation</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gridSpan w:val="2"/>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Special</w:t>
            </w: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Presentation</w:t>
            </w:r>
          </w:p>
        </w:tc>
        <w:tc>
          <w:tcPr>
            <w:tcW w:w="0" w:type="dxa"/>
            <w:vAlign w:val="bottom"/>
          </w:tcPr>
          <w:p>
            <w:pPr>
              <w:spacing w:after="0"/>
              <w:rPr>
                <w:sz w:val="1"/>
                <w:szCs w:val="1"/>
                <w:color w:val="auto"/>
              </w:rPr>
            </w:pPr>
          </w:p>
        </w:tc>
      </w:tr>
      <w:tr>
        <w:trPr>
          <w:trHeight w:val="191"/>
        </w:trPr>
        <w:tc>
          <w:tcPr>
            <w:tcW w:w="2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4"/>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Corporate</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Wholesale</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Retail</w:t>
            </w:r>
          </w:p>
        </w:tc>
        <w:tc>
          <w:tcPr>
            <w:tcW w:w="260" w:type="dxa"/>
            <w:vAlign w:val="bottom"/>
          </w:tcPr>
          <w:p>
            <w:pPr>
              <w:spacing w:after="0"/>
              <w:rPr>
                <w:sz w:val="20"/>
                <w:szCs w:val="20"/>
                <w:color w:val="auto"/>
              </w:rPr>
            </w:pPr>
          </w:p>
        </w:tc>
        <w:tc>
          <w:tcPr>
            <w:tcW w:w="92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&amp; Other</w:t>
            </w:r>
          </w:p>
        </w:tc>
        <w:tc>
          <w:tcPr>
            <w:tcW w:w="11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Eliminations</w:t>
            </w:r>
          </w:p>
        </w:tc>
        <w:tc>
          <w:tcPr>
            <w:tcW w:w="3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Items</w:t>
            </w:r>
          </w:p>
        </w:tc>
        <w:tc>
          <w:tcPr>
            <w:tcW w:w="280" w:type="dxa"/>
            <w:vAlign w:val="bottom"/>
          </w:tcPr>
          <w:p>
            <w:pPr>
              <w:spacing w:after="0"/>
              <w:rPr>
                <w:sz w:val="20"/>
                <w:szCs w:val="20"/>
                <w:color w:val="auto"/>
              </w:rPr>
            </w:pPr>
          </w:p>
        </w:tc>
        <w:tc>
          <w:tcPr>
            <w:tcW w:w="13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Non-Operating</w:t>
            </w:r>
          </w:p>
        </w:tc>
        <w:tc>
          <w:tcPr>
            <w:tcW w:w="13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Consolidated</w:t>
            </w:r>
          </w:p>
        </w:tc>
        <w:tc>
          <w:tcPr>
            <w:tcW w:w="0" w:type="dxa"/>
            <w:vAlign w:val="bottom"/>
          </w:tcPr>
          <w:p>
            <w:pPr>
              <w:spacing w:after="0"/>
              <w:rPr>
                <w:sz w:val="1"/>
                <w:szCs w:val="1"/>
                <w:color w:val="auto"/>
              </w:rPr>
            </w:pPr>
          </w:p>
        </w:tc>
      </w:tr>
      <w:tr>
        <w:trPr>
          <w:trHeight w:val="210"/>
        </w:trPr>
        <w:tc>
          <w:tcPr>
            <w:tcW w:w="2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of furniture and accessories</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54,229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54,232</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(24,113)</w:t>
            </w:r>
          </w:p>
        </w:tc>
        <w:tc>
          <w:tcPr>
            <w:tcW w:w="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w:t>
            </w:r>
          </w:p>
        </w:tc>
        <w:tc>
          <w:tcPr>
            <w:tcW w:w="6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84,348</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Cost of furniture and accessories sold</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35,649</w:t>
            </w: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25,838</w:t>
            </w:r>
          </w:p>
        </w:tc>
        <w:tc>
          <w:tcPr>
            <w:tcW w:w="2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(24,048)</w:t>
            </w:r>
          </w:p>
        </w:tc>
        <w:tc>
          <w:tcPr>
            <w:tcW w:w="3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w:t>
            </w:r>
          </w:p>
        </w:tc>
        <w:tc>
          <w:tcPr>
            <w:tcW w:w="6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28,394</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(65)</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46,909</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SG&amp;A expense</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10,290</w:t>
            </w: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27,912</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6,521</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(311)</w:t>
            </w:r>
          </w:p>
        </w:tc>
        <w:tc>
          <w:tcPr>
            <w:tcW w:w="3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(3)</w:t>
            </w:r>
          </w:p>
        </w:tc>
        <w:tc>
          <w:tcPr>
            <w:tcW w:w="6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26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(6,521)</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246</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2,497</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521</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521</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loss, net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(422)</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(422)</w:t>
            </w:r>
          </w:p>
        </w:tc>
        <w:tc>
          <w:tcPr>
            <w:tcW w:w="0" w:type="dxa"/>
            <w:vAlign w:val="bottom"/>
          </w:tcPr>
          <w:p>
            <w:pPr>
              <w:spacing w:after="0"/>
              <w:rPr>
                <w:sz w:val="1"/>
                <w:szCs w:val="1"/>
                <w:color w:val="auto"/>
              </w:rPr>
            </w:pPr>
          </w:p>
        </w:tc>
      </w:tr>
      <w:tr>
        <w:trPr>
          <w:trHeight w:val="20"/>
        </w:trPr>
        <w:tc>
          <w:tcPr>
            <w:tcW w:w="27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8,290</w:t>
            </w:r>
          </w:p>
        </w:tc>
        <w:tc>
          <w:tcPr>
            <w:tcW w:w="1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(6,521)</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246</w:t>
            </w:r>
          </w:p>
        </w:tc>
        <w:tc>
          <w:tcPr>
            <w:tcW w:w="300" w:type="dxa"/>
            <w:vAlign w:val="bottom"/>
          </w:tcPr>
          <w:p>
            <w:pPr>
              <w:spacing w:after="0"/>
              <w:rPr>
                <w:sz w:val="18"/>
                <w:szCs w:val="18"/>
                <w:color w:val="auto"/>
              </w:rPr>
            </w:pPr>
          </w:p>
        </w:tc>
        <w:tc>
          <w:tcPr>
            <w:tcW w:w="6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99</w:t>
            </w: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2,596</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20" w:type="dxa"/>
            <w:vAlign w:val="bottom"/>
            <w:tcBorders>
              <w:top w:val="single" w:sz="8" w:color="auto"/>
              <w:bottom w:val="single" w:sz="8" w:color="auto"/>
            </w:tcBorders>
            <w:gridSpan w:val="7"/>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2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7"/>
          </w:tcPr>
          <w:p>
            <w:pPr>
              <w:jc w:val="right"/>
              <w:ind w:right="290"/>
              <w:spacing w:after="0"/>
              <w:rPr>
                <w:sz w:val="20"/>
                <w:szCs w:val="20"/>
                <w:color w:val="auto"/>
              </w:rPr>
            </w:pPr>
            <w:r>
              <w:rPr>
                <w:rFonts w:ascii="Times New Roman" w:cs="Times New Roman" w:eastAsia="Times New Roman" w:hAnsi="Times New Roman"/>
                <w:sz w:val="18"/>
                <w:szCs w:val="18"/>
                <w:color w:val="auto"/>
              </w:rPr>
              <w:t>Quarter Ended June 1, 2024</w:t>
            </w:r>
          </w:p>
        </w:tc>
        <w:tc>
          <w:tcPr>
            <w:tcW w:w="2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right"/>
              <w:ind w:right="330"/>
              <w:spacing w:after="0" w:line="191" w:lineRule="exact"/>
              <w:rPr>
                <w:sz w:val="20"/>
                <w:szCs w:val="20"/>
                <w:color w:val="auto"/>
              </w:rPr>
            </w:pPr>
            <w:r>
              <w:rPr>
                <w:rFonts w:ascii="Times New Roman" w:cs="Times New Roman" w:eastAsia="Times New Roman" w:hAnsi="Times New Roman"/>
                <w:sz w:val="18"/>
                <w:szCs w:val="18"/>
                <w:color w:val="auto"/>
              </w:rPr>
              <w:t>GAAP</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gridSpan w:val="6"/>
          </w:tcPr>
          <w:p>
            <w:pPr>
              <w:jc w:val="right"/>
              <w:ind w:right="50"/>
              <w:spacing w:after="0"/>
              <w:rPr>
                <w:sz w:val="20"/>
                <w:szCs w:val="20"/>
                <w:color w:val="auto"/>
              </w:rPr>
            </w:pPr>
            <w:r>
              <w:rPr>
                <w:rFonts w:ascii="Times New Roman" w:cs="Times New Roman" w:eastAsia="Times New Roman" w:hAnsi="Times New Roman"/>
                <w:sz w:val="18"/>
                <w:szCs w:val="18"/>
                <w:color w:val="auto"/>
              </w:rPr>
              <w:t>Non-GAAP Presentation</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gridSpan w:val="2"/>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Special</w:t>
            </w: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Presentation</w:t>
            </w:r>
          </w:p>
        </w:tc>
        <w:tc>
          <w:tcPr>
            <w:tcW w:w="0" w:type="dxa"/>
            <w:vAlign w:val="bottom"/>
          </w:tcPr>
          <w:p>
            <w:pPr>
              <w:spacing w:after="0"/>
              <w:rPr>
                <w:sz w:val="1"/>
                <w:szCs w:val="1"/>
                <w:color w:val="auto"/>
              </w:rPr>
            </w:pPr>
          </w:p>
        </w:tc>
      </w:tr>
      <w:tr>
        <w:trPr>
          <w:trHeight w:val="191"/>
        </w:trPr>
        <w:tc>
          <w:tcPr>
            <w:tcW w:w="2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3"/>
          </w:tcPr>
          <w:p>
            <w:pPr>
              <w:jc w:val="right"/>
              <w:spacing w:after="0" w:line="191" w:lineRule="exact"/>
              <w:rPr>
                <w:sz w:val="20"/>
                <w:szCs w:val="20"/>
                <w:color w:val="auto"/>
              </w:rPr>
            </w:pPr>
            <w:r>
              <w:rPr>
                <w:rFonts w:ascii="Times New Roman" w:cs="Times New Roman" w:eastAsia="Times New Roman" w:hAnsi="Times New Roman"/>
                <w:sz w:val="18"/>
                <w:szCs w:val="18"/>
                <w:color w:val="auto"/>
              </w:rPr>
              <w:t>Corporate &amp;</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Wholesale</w:t>
            </w:r>
          </w:p>
        </w:tc>
        <w:tc>
          <w:tcPr>
            <w:tcW w:w="140" w:type="dxa"/>
            <w:vAlign w:val="bottom"/>
          </w:tcPr>
          <w:p>
            <w:pPr>
              <w:spacing w:after="0"/>
              <w:rPr>
                <w:sz w:val="20"/>
                <w:szCs w:val="20"/>
                <w:color w:val="auto"/>
              </w:rPr>
            </w:pPr>
          </w:p>
        </w:tc>
        <w:tc>
          <w:tcPr>
            <w:tcW w:w="7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Retail</w:t>
            </w:r>
          </w:p>
        </w:tc>
        <w:tc>
          <w:tcPr>
            <w:tcW w:w="360" w:type="dxa"/>
            <w:vAlign w:val="bottom"/>
          </w:tcPr>
          <w:p>
            <w:pPr>
              <w:spacing w:after="0"/>
              <w:rPr>
                <w:sz w:val="20"/>
                <w:szCs w:val="20"/>
                <w:color w:val="auto"/>
              </w:rPr>
            </w:pPr>
          </w:p>
        </w:tc>
        <w:tc>
          <w:tcPr>
            <w:tcW w:w="8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Other</w:t>
            </w:r>
          </w:p>
        </w:tc>
        <w:tc>
          <w:tcPr>
            <w:tcW w:w="110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Eliminations</w:t>
            </w:r>
          </w:p>
        </w:tc>
        <w:tc>
          <w:tcPr>
            <w:tcW w:w="400" w:type="dxa"/>
            <w:vAlign w:val="bottom"/>
          </w:tcPr>
          <w:p>
            <w:pPr>
              <w:spacing w:after="0"/>
              <w:rPr>
                <w:sz w:val="20"/>
                <w:szCs w:val="20"/>
                <w:color w:val="auto"/>
              </w:rPr>
            </w:pPr>
          </w:p>
        </w:tc>
        <w:tc>
          <w:tcPr>
            <w:tcW w:w="9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Items</w:t>
            </w:r>
          </w:p>
        </w:tc>
        <w:tc>
          <w:tcPr>
            <w:tcW w:w="280" w:type="dxa"/>
            <w:vAlign w:val="bottom"/>
          </w:tcPr>
          <w:p>
            <w:pPr>
              <w:spacing w:after="0"/>
              <w:rPr>
                <w:sz w:val="20"/>
                <w:szCs w:val="20"/>
                <w:color w:val="auto"/>
              </w:rPr>
            </w:pPr>
          </w:p>
        </w:tc>
        <w:tc>
          <w:tcPr>
            <w:tcW w:w="13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Non-Operating</w:t>
            </w:r>
          </w:p>
        </w:tc>
        <w:tc>
          <w:tcPr>
            <w:tcW w:w="13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Consolidated</w:t>
            </w:r>
          </w:p>
        </w:tc>
        <w:tc>
          <w:tcPr>
            <w:tcW w:w="0" w:type="dxa"/>
            <w:vAlign w:val="bottom"/>
          </w:tcPr>
          <w:p>
            <w:pPr>
              <w:spacing w:after="0"/>
              <w:rPr>
                <w:sz w:val="1"/>
                <w:szCs w:val="1"/>
                <w:color w:val="auto"/>
              </w:rPr>
            </w:pPr>
          </w:p>
        </w:tc>
      </w:tr>
      <w:tr>
        <w:trPr>
          <w:trHeight w:val="210"/>
        </w:trPr>
        <w:tc>
          <w:tcPr>
            <w:tcW w:w="2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of furniture and accessories</w:t>
            </w:r>
          </w:p>
        </w:tc>
        <w:tc>
          <w:tcPr>
            <w:tcW w:w="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52,609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50,468</w:t>
            </w:r>
          </w:p>
        </w:tc>
        <w:tc>
          <w:tcPr>
            <w:tcW w:w="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1,084</w:t>
            </w:r>
          </w:p>
        </w:tc>
        <w:tc>
          <w:tcPr>
            <w:tcW w:w="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(20,751)</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83,410</w:t>
            </w:r>
          </w:p>
        </w:tc>
        <w:tc>
          <w:tcPr>
            <w:tcW w:w="0" w:type="dxa"/>
            <w:vAlign w:val="bottom"/>
          </w:tcPr>
          <w:p>
            <w:pPr>
              <w:spacing w:after="0"/>
              <w:rPr>
                <w:sz w:val="1"/>
                <w:szCs w:val="1"/>
                <w:color w:val="auto"/>
              </w:rPr>
            </w:pPr>
          </w:p>
        </w:tc>
      </w:tr>
      <w:tr>
        <w:trPr>
          <w:trHeight w:val="198"/>
        </w:trPr>
        <w:tc>
          <w:tcPr>
            <w:tcW w:w="27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Cost of furniture and accessories</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35,906</w:t>
            </w:r>
          </w:p>
        </w:tc>
        <w:tc>
          <w:tcPr>
            <w:tcW w:w="140" w:type="dxa"/>
            <w:vAlign w:val="bottom"/>
          </w:tcPr>
          <w:p>
            <w:pPr>
              <w:spacing w:after="0"/>
              <w:rPr>
                <w:sz w:val="17"/>
                <w:szCs w:val="17"/>
                <w:color w:val="auto"/>
              </w:rPr>
            </w:pP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23,779</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946</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(20,981)</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Pr>
          <w:p>
            <w:pPr>
              <w:spacing w:after="0"/>
              <w:rPr>
                <w:sz w:val="17"/>
                <w:szCs w:val="17"/>
                <w:color w:val="auto"/>
              </w:rPr>
            </w:pPr>
          </w:p>
        </w:tc>
        <w:tc>
          <w:tcPr>
            <w:tcW w:w="6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39,650</w:t>
            </w:r>
          </w:p>
        </w:tc>
        <w:tc>
          <w:tcPr>
            <w:tcW w:w="10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sold</w:t>
            </w:r>
          </w:p>
        </w:tc>
        <w:tc>
          <w:tcPr>
            <w:tcW w:w="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vMerge w:val="continue"/>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vMerge w:val="continue"/>
          </w:tcPr>
          <w:p>
            <w:pPr>
              <w:spacing w:after="0"/>
              <w:rPr>
                <w:sz w:val="19"/>
                <w:szCs w:val="19"/>
                <w:color w:val="auto"/>
              </w:rPr>
            </w:pPr>
          </w:p>
        </w:tc>
        <w:tc>
          <w:tcPr>
            <w:tcW w:w="40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16,703</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26,689</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43,760</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SG&amp;A expense</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11,016</w:t>
            </w: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28,911</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7,080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Pr>
          <w:p>
            <w:pPr>
              <w:spacing w:after="0"/>
              <w:rPr>
                <w:sz w:val="18"/>
                <w:szCs w:val="18"/>
                <w:color w:val="auto"/>
              </w:rPr>
            </w:pPr>
          </w:p>
        </w:tc>
        <w:tc>
          <w:tcPr>
            <w:tcW w:w="6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46,707</w:t>
            </w:r>
          </w:p>
        </w:tc>
        <w:tc>
          <w:tcPr>
            <w:tcW w:w="0" w:type="dxa"/>
            <w:vAlign w:val="bottom"/>
          </w:tcPr>
          <w:p>
            <w:pPr>
              <w:spacing w:after="0"/>
              <w:rPr>
                <w:sz w:val="1"/>
                <w:szCs w:val="1"/>
                <w:color w:val="auto"/>
              </w:rPr>
            </w:pPr>
          </w:p>
        </w:tc>
      </w:tr>
      <w:tr>
        <w:trPr>
          <w:trHeight w:val="216"/>
        </w:trPr>
        <w:tc>
          <w:tcPr>
            <w:tcW w:w="2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impairment charges</w:t>
            </w: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98"/>
              </w:rPr>
              <w:t>5,515</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w:t>
            </w:r>
          </w:p>
        </w:tc>
        <w:tc>
          <w:tcPr>
            <w:tcW w:w="5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5,687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(2,222)</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5"/>
              </w:rPr>
              <w:t>(6,942)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400" w:type="dxa"/>
            <w:vAlign w:val="bottom"/>
          </w:tcPr>
          <w:p>
            <w:pPr>
              <w:spacing w:after="0"/>
              <w:rPr>
                <w:sz w:val="18"/>
                <w:szCs w:val="18"/>
                <w:color w:val="auto"/>
              </w:rPr>
            </w:pPr>
          </w:p>
        </w:tc>
        <w:tc>
          <w:tcPr>
            <w:tcW w:w="9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(5,515)</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(8,462)</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627</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627</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Other loss, net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(276)</w:t>
            </w:r>
          </w:p>
        </w:tc>
        <w:tc>
          <w:tcPr>
            <w:tcW w:w="2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5,687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(2,222)</w:t>
            </w:r>
          </w:p>
        </w:tc>
        <w:tc>
          <w:tcPr>
            <w:tcW w:w="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5"/>
              </w:rPr>
              <w:t>(6,942)</w:t>
            </w:r>
          </w:p>
        </w:tc>
        <w:tc>
          <w:tcPr>
            <w:tcW w:w="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4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(5,515)</w:t>
            </w:r>
          </w:p>
        </w:tc>
        <w:tc>
          <w:tcPr>
            <w:tcW w:w="280" w:type="dxa"/>
            <w:vAlign w:val="bottom"/>
            <w:shd w:val="clear" w:color="auto" w:fill="CCEEFF"/>
          </w:tcPr>
          <w:p>
            <w:pPr>
              <w:spacing w:after="0"/>
              <w:rPr>
                <w:sz w:val="21"/>
                <w:szCs w:val="21"/>
                <w:color w:val="auto"/>
              </w:rPr>
            </w:pPr>
          </w:p>
        </w:tc>
        <w:tc>
          <w:tcPr>
            <w:tcW w:w="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351</w:t>
            </w:r>
          </w:p>
        </w:tc>
        <w:tc>
          <w:tcPr>
            <w:tcW w:w="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(8,111)</w:t>
            </w:r>
          </w:p>
        </w:tc>
        <w:tc>
          <w:tcPr>
            <w:tcW w:w="0" w:type="dxa"/>
            <w:vAlign w:val="bottom"/>
          </w:tcPr>
          <w:p>
            <w:pPr>
              <w:spacing w:after="0"/>
              <w:rPr>
                <w:sz w:val="1"/>
                <w:szCs w:val="1"/>
                <w:color w:val="auto"/>
              </w:rPr>
            </w:pPr>
          </w:p>
        </w:tc>
      </w:tr>
      <w:tr>
        <w:trPr>
          <w:trHeight w:val="413"/>
        </w:trPr>
        <w:tc>
          <w:tcPr>
            <w:tcW w:w="27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25 of 35</w:t>
            </w:r>
          </w:p>
        </w:tc>
        <w:tc>
          <w:tcPr>
            <w:tcW w:w="2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64"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MAY 31,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8"/>
                <w:szCs w:val="18"/>
                <w:color w:val="auto"/>
              </w:rPr>
              <w:t>Six Months Ended May 31, 2025*</w:t>
            </w:r>
          </w:p>
        </w:tc>
        <w:tc>
          <w:tcPr>
            <w:tcW w:w="2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right"/>
              <w:ind w:right="330"/>
              <w:spacing w:after="0" w:line="191" w:lineRule="exact"/>
              <w:rPr>
                <w:sz w:val="20"/>
                <w:szCs w:val="20"/>
                <w:color w:val="auto"/>
              </w:rPr>
            </w:pPr>
            <w:r>
              <w:rPr>
                <w:rFonts w:ascii="Times New Roman" w:cs="Times New Roman" w:eastAsia="Times New Roman" w:hAnsi="Times New Roman"/>
                <w:sz w:val="18"/>
                <w:szCs w:val="18"/>
                <w:color w:val="auto"/>
              </w:rPr>
              <w:t>GAAP</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980" w:type="dxa"/>
            <w:vAlign w:val="bottom"/>
            <w:gridSpan w:val="8"/>
          </w:tcPr>
          <w:p>
            <w:pPr>
              <w:jc w:val="right"/>
              <w:ind w:right="580"/>
              <w:spacing w:after="0"/>
              <w:rPr>
                <w:sz w:val="20"/>
                <w:szCs w:val="20"/>
                <w:color w:val="auto"/>
              </w:rPr>
            </w:pPr>
            <w:r>
              <w:rPr>
                <w:rFonts w:ascii="Times New Roman" w:cs="Times New Roman" w:eastAsia="Times New Roman" w:hAnsi="Times New Roman"/>
                <w:sz w:val="18"/>
                <w:szCs w:val="18"/>
                <w:color w:val="auto"/>
              </w:rPr>
              <w:t>Non-GAAP Presentation</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gridSpan w:val="2"/>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Special</w:t>
            </w: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Presentation</w:t>
            </w:r>
          </w:p>
        </w:tc>
        <w:tc>
          <w:tcPr>
            <w:tcW w:w="0" w:type="dxa"/>
            <w:vAlign w:val="bottom"/>
          </w:tcPr>
          <w:p>
            <w:pPr>
              <w:spacing w:after="0"/>
              <w:rPr>
                <w:sz w:val="1"/>
                <w:szCs w:val="1"/>
                <w:color w:val="auto"/>
              </w:rPr>
            </w:pPr>
          </w:p>
        </w:tc>
      </w:tr>
      <w:tr>
        <w:trPr>
          <w:trHeight w:val="191"/>
        </w:trPr>
        <w:tc>
          <w:tcPr>
            <w:tcW w:w="2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4"/>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Corporate</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Wholesale</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Retail</w:t>
            </w:r>
          </w:p>
        </w:tc>
        <w:tc>
          <w:tcPr>
            <w:tcW w:w="28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&amp; Other</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Eliminations</w:t>
            </w:r>
          </w:p>
        </w:tc>
        <w:tc>
          <w:tcPr>
            <w:tcW w:w="3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Items</w:t>
            </w:r>
          </w:p>
        </w:tc>
        <w:tc>
          <w:tcPr>
            <w:tcW w:w="280" w:type="dxa"/>
            <w:vAlign w:val="bottom"/>
          </w:tcPr>
          <w:p>
            <w:pPr>
              <w:spacing w:after="0"/>
              <w:rPr>
                <w:sz w:val="20"/>
                <w:szCs w:val="20"/>
                <w:color w:val="auto"/>
              </w:rPr>
            </w:pPr>
          </w:p>
        </w:tc>
        <w:tc>
          <w:tcPr>
            <w:tcW w:w="13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Non-Operating</w:t>
            </w:r>
          </w:p>
        </w:tc>
        <w:tc>
          <w:tcPr>
            <w:tcW w:w="13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Consolidated</w:t>
            </w:r>
          </w:p>
        </w:tc>
        <w:tc>
          <w:tcPr>
            <w:tcW w:w="0" w:type="dxa"/>
            <w:vAlign w:val="bottom"/>
          </w:tcPr>
          <w:p>
            <w:pPr>
              <w:spacing w:after="0"/>
              <w:rPr>
                <w:sz w:val="1"/>
                <w:szCs w:val="1"/>
                <w:color w:val="auto"/>
              </w:rPr>
            </w:pPr>
          </w:p>
        </w:tc>
      </w:tr>
      <w:tr>
        <w:trPr>
          <w:trHeight w:val="209"/>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of furniture and accessories</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107,156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107,526</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(48,172)</w:t>
            </w:r>
          </w:p>
        </w:tc>
        <w:tc>
          <w:tcPr>
            <w:tcW w:w="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w:t>
            </w:r>
          </w:p>
        </w:tc>
        <w:tc>
          <w:tcPr>
            <w:tcW w:w="6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166,510</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Cost of furniture and accessories sold</w:t>
            </w: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69,840</w:t>
            </w: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50,775</w:t>
            </w:r>
          </w:p>
        </w:tc>
        <w:tc>
          <w:tcPr>
            <w:tcW w:w="2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(47,844)</w:t>
            </w:r>
          </w:p>
        </w:tc>
        <w:tc>
          <w:tcPr>
            <w:tcW w:w="3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w:t>
            </w:r>
          </w:p>
        </w:tc>
        <w:tc>
          <w:tcPr>
            <w:tcW w:w="6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2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37,316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56,751</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(328)</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93,739</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SG&amp;A expense</w:t>
            </w: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20,341</w:t>
            </w: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56,317</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12,747</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(618)</w:t>
            </w:r>
          </w:p>
        </w:tc>
        <w:tc>
          <w:tcPr>
            <w:tcW w:w="3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(3)</w:t>
            </w:r>
          </w:p>
        </w:tc>
        <w:tc>
          <w:tcPr>
            <w:tcW w:w="6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28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(12,747)</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290</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4,952</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1,080</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1,080</w:t>
            </w:r>
          </w:p>
        </w:tc>
        <w:tc>
          <w:tcPr>
            <w:tcW w:w="0" w:type="dxa"/>
            <w:vAlign w:val="bottom"/>
          </w:tcPr>
          <w:p>
            <w:pPr>
              <w:spacing w:after="0"/>
              <w:rPr>
                <w:sz w:val="1"/>
                <w:szCs w:val="1"/>
                <w:color w:val="auto"/>
              </w:rPr>
            </w:pPr>
          </w:p>
        </w:tc>
      </w:tr>
      <w:tr>
        <w:trPr>
          <w:trHeight w:val="216"/>
        </w:trPr>
        <w:tc>
          <w:tcPr>
            <w:tcW w:w="28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loss, net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(881)</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(881)</w:t>
            </w:r>
          </w:p>
        </w:tc>
        <w:tc>
          <w:tcPr>
            <w:tcW w:w="0" w:type="dxa"/>
            <w:vAlign w:val="bottom"/>
          </w:tcPr>
          <w:p>
            <w:pPr>
              <w:spacing w:after="0"/>
              <w:rPr>
                <w:sz w:val="1"/>
                <w:szCs w:val="1"/>
                <w:color w:val="auto"/>
              </w:rPr>
            </w:pPr>
          </w:p>
        </w:tc>
      </w:tr>
      <w:tr>
        <w:trPr>
          <w:trHeight w:val="20"/>
        </w:trPr>
        <w:tc>
          <w:tcPr>
            <w:tcW w:w="28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16,975</w:t>
            </w:r>
          </w:p>
        </w:tc>
        <w:tc>
          <w:tcPr>
            <w:tcW w:w="1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(12,747)</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290</w:t>
            </w:r>
          </w:p>
        </w:tc>
        <w:tc>
          <w:tcPr>
            <w:tcW w:w="300" w:type="dxa"/>
            <w:vAlign w:val="bottom"/>
          </w:tcPr>
          <w:p>
            <w:pPr>
              <w:spacing w:after="0"/>
              <w:rPr>
                <w:sz w:val="18"/>
                <w:szCs w:val="18"/>
                <w:color w:val="auto"/>
              </w:rPr>
            </w:pPr>
          </w:p>
        </w:tc>
        <w:tc>
          <w:tcPr>
            <w:tcW w:w="6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199</w:t>
            </w: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5,151</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540" w:type="dxa"/>
            <w:vAlign w:val="bottom"/>
            <w:tcBorders>
              <w:top w:val="single" w:sz="8" w:color="auto"/>
              <w:bottom w:val="single" w:sz="8" w:color="auto"/>
            </w:tcBorders>
            <w:gridSpan w:val="8"/>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28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9"/>
          </w:tcPr>
          <w:p>
            <w:pPr>
              <w:jc w:val="right"/>
              <w:ind w:right="90"/>
              <w:spacing w:after="0"/>
              <w:rPr>
                <w:sz w:val="20"/>
                <w:szCs w:val="20"/>
                <w:color w:val="auto"/>
              </w:rPr>
            </w:pPr>
            <w:r>
              <w:rPr>
                <w:rFonts w:ascii="Times New Roman" w:cs="Times New Roman" w:eastAsia="Times New Roman" w:hAnsi="Times New Roman"/>
                <w:sz w:val="18"/>
                <w:szCs w:val="18"/>
                <w:color w:val="auto"/>
              </w:rPr>
              <w:t>Six Months Ended June 1, 2024*</w:t>
            </w:r>
          </w:p>
        </w:tc>
        <w:tc>
          <w:tcPr>
            <w:tcW w:w="2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right"/>
              <w:ind w:right="330"/>
              <w:spacing w:after="0" w:line="191" w:lineRule="exact"/>
              <w:rPr>
                <w:sz w:val="20"/>
                <w:szCs w:val="20"/>
                <w:color w:val="auto"/>
              </w:rPr>
            </w:pPr>
            <w:r>
              <w:rPr>
                <w:rFonts w:ascii="Times New Roman" w:cs="Times New Roman" w:eastAsia="Times New Roman" w:hAnsi="Times New Roman"/>
                <w:sz w:val="18"/>
                <w:szCs w:val="18"/>
                <w:color w:val="auto"/>
              </w:rPr>
              <w:t>GAAP</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40" w:type="dxa"/>
            <w:vAlign w:val="bottom"/>
            <w:gridSpan w:val="6"/>
          </w:tcPr>
          <w:p>
            <w:pPr>
              <w:jc w:val="right"/>
              <w:ind w:right="70"/>
              <w:spacing w:after="0"/>
              <w:rPr>
                <w:sz w:val="20"/>
                <w:szCs w:val="20"/>
                <w:color w:val="auto"/>
              </w:rPr>
            </w:pPr>
            <w:r>
              <w:rPr>
                <w:rFonts w:ascii="Times New Roman" w:cs="Times New Roman" w:eastAsia="Times New Roman" w:hAnsi="Times New Roman"/>
                <w:sz w:val="18"/>
                <w:szCs w:val="18"/>
                <w:color w:val="auto"/>
              </w:rPr>
              <w:t>Non-GAAP Presentation</w:t>
            </w: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gridSpan w:val="2"/>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Special</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Presentation</w:t>
            </w:r>
          </w:p>
        </w:tc>
        <w:tc>
          <w:tcPr>
            <w:tcW w:w="0" w:type="dxa"/>
            <w:vAlign w:val="bottom"/>
          </w:tcPr>
          <w:p>
            <w:pPr>
              <w:spacing w:after="0"/>
              <w:rPr>
                <w:sz w:val="1"/>
                <w:szCs w:val="1"/>
                <w:color w:val="auto"/>
              </w:rPr>
            </w:pPr>
          </w:p>
        </w:tc>
      </w:tr>
      <w:tr>
        <w:trPr>
          <w:trHeight w:val="191"/>
        </w:trPr>
        <w:tc>
          <w:tcPr>
            <w:tcW w:w="28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3"/>
          </w:tcPr>
          <w:p>
            <w:pPr>
              <w:jc w:val="right"/>
              <w:spacing w:after="0" w:line="191" w:lineRule="exact"/>
              <w:rPr>
                <w:sz w:val="20"/>
                <w:szCs w:val="20"/>
                <w:color w:val="auto"/>
              </w:rPr>
            </w:pPr>
            <w:r>
              <w:rPr>
                <w:rFonts w:ascii="Times New Roman" w:cs="Times New Roman" w:eastAsia="Times New Roman" w:hAnsi="Times New Roman"/>
                <w:sz w:val="18"/>
                <w:szCs w:val="18"/>
                <w:color w:val="auto"/>
              </w:rPr>
              <w:t>Corporate &amp;</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820" w:type="dxa"/>
            <w:vAlign w:val="bottom"/>
          </w:tcPr>
          <w:p>
            <w:pPr>
              <w:spacing w:after="0"/>
              <w:rPr>
                <w:sz w:val="20"/>
                <w:szCs w:val="20"/>
                <w:color w:val="auto"/>
              </w:rPr>
            </w:pP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Wholesale</w:t>
            </w:r>
          </w:p>
        </w:tc>
        <w:tc>
          <w:tcPr>
            <w:tcW w:w="140" w:type="dxa"/>
            <w:vAlign w:val="bottom"/>
          </w:tcPr>
          <w:p>
            <w:pPr>
              <w:spacing w:after="0"/>
              <w:rPr>
                <w:sz w:val="20"/>
                <w:szCs w:val="20"/>
                <w:color w:val="auto"/>
              </w:rPr>
            </w:pPr>
          </w:p>
        </w:tc>
        <w:tc>
          <w:tcPr>
            <w:tcW w:w="7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Retail</w:t>
            </w:r>
          </w:p>
        </w:tc>
        <w:tc>
          <w:tcPr>
            <w:tcW w:w="360" w:type="dxa"/>
            <w:vAlign w:val="bottom"/>
          </w:tcPr>
          <w:p>
            <w:pPr>
              <w:spacing w:after="0"/>
              <w:rPr>
                <w:sz w:val="20"/>
                <w:szCs w:val="20"/>
                <w:color w:val="auto"/>
              </w:rPr>
            </w:pPr>
          </w:p>
        </w:tc>
        <w:tc>
          <w:tcPr>
            <w:tcW w:w="92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Other</w:t>
            </w:r>
          </w:p>
        </w:tc>
        <w:tc>
          <w:tcPr>
            <w:tcW w:w="108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color w:val="auto"/>
                <w:w w:val="99"/>
              </w:rPr>
              <w:t>Eliminations</w:t>
            </w:r>
          </w:p>
        </w:tc>
        <w:tc>
          <w:tcPr>
            <w:tcW w:w="340" w:type="dxa"/>
            <w:vAlign w:val="bottom"/>
          </w:tcPr>
          <w:p>
            <w:pPr>
              <w:spacing w:after="0"/>
              <w:rPr>
                <w:sz w:val="20"/>
                <w:szCs w:val="20"/>
                <w:color w:val="auto"/>
              </w:rPr>
            </w:pPr>
          </w:p>
        </w:tc>
        <w:tc>
          <w:tcPr>
            <w:tcW w:w="9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Items</w:t>
            </w:r>
          </w:p>
        </w:tc>
        <w:tc>
          <w:tcPr>
            <w:tcW w:w="280" w:type="dxa"/>
            <w:vAlign w:val="bottom"/>
          </w:tcPr>
          <w:p>
            <w:pPr>
              <w:spacing w:after="0"/>
              <w:rPr>
                <w:sz w:val="20"/>
                <w:szCs w:val="20"/>
                <w:color w:val="auto"/>
              </w:rPr>
            </w:pPr>
          </w:p>
        </w:tc>
        <w:tc>
          <w:tcPr>
            <w:tcW w:w="13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Non-Operating</w:t>
            </w:r>
          </w:p>
        </w:tc>
        <w:tc>
          <w:tcPr>
            <w:tcW w:w="13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Consolidated</w:t>
            </w:r>
          </w:p>
        </w:tc>
        <w:tc>
          <w:tcPr>
            <w:tcW w:w="0" w:type="dxa"/>
            <w:vAlign w:val="bottom"/>
          </w:tcPr>
          <w:p>
            <w:pPr>
              <w:spacing w:after="0"/>
              <w:rPr>
                <w:sz w:val="1"/>
                <w:szCs w:val="1"/>
                <w:color w:val="auto"/>
              </w:rPr>
            </w:pPr>
          </w:p>
        </w:tc>
      </w:tr>
      <w:tr>
        <w:trPr>
          <w:trHeight w:val="210"/>
        </w:trPr>
        <w:tc>
          <w:tcPr>
            <w:tcW w:w="28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of furniture and accessories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95"/>
              </w:rPr>
              <w:t>107,310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104,222</w:t>
            </w:r>
          </w:p>
        </w:tc>
        <w:tc>
          <w:tcPr>
            <w:tcW w:w="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2,946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(44,514)</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169,964</w:t>
            </w:r>
          </w:p>
        </w:tc>
        <w:tc>
          <w:tcPr>
            <w:tcW w:w="0" w:type="dxa"/>
            <w:vAlign w:val="bottom"/>
          </w:tcPr>
          <w:p>
            <w:pPr>
              <w:spacing w:after="0"/>
              <w:rPr>
                <w:sz w:val="1"/>
                <w:szCs w:val="1"/>
                <w:color w:val="auto"/>
              </w:rPr>
            </w:pPr>
          </w:p>
        </w:tc>
      </w:tr>
      <w:tr>
        <w:trPr>
          <w:trHeight w:val="198"/>
        </w:trPr>
        <w:tc>
          <w:tcPr>
            <w:tcW w:w="28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Cost of furniture and accessories</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72,616</w:t>
            </w:r>
          </w:p>
        </w:tc>
        <w:tc>
          <w:tcPr>
            <w:tcW w:w="140" w:type="dxa"/>
            <w:vAlign w:val="bottom"/>
          </w:tcPr>
          <w:p>
            <w:pPr>
              <w:spacing w:after="0"/>
              <w:rPr>
                <w:sz w:val="17"/>
                <w:szCs w:val="17"/>
                <w:color w:val="auto"/>
              </w:rPr>
            </w:pP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48,519</w:t>
            </w: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1,755</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(44,553)</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Pr>
          <w:p>
            <w:pPr>
              <w:spacing w:after="0"/>
              <w:rPr>
                <w:sz w:val="17"/>
                <w:szCs w:val="17"/>
                <w:color w:val="auto"/>
              </w:rPr>
            </w:pPr>
          </w:p>
        </w:tc>
        <w:tc>
          <w:tcPr>
            <w:tcW w:w="6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78,337</w:t>
            </w:r>
          </w:p>
        </w:tc>
        <w:tc>
          <w:tcPr>
            <w:tcW w:w="10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sold</w:t>
            </w: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vMerge w:val="continue"/>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vMerge w:val="continue"/>
          </w:tcPr>
          <w:p>
            <w:pPr>
              <w:spacing w:after="0"/>
              <w:rPr>
                <w:sz w:val="19"/>
                <w:szCs w:val="19"/>
                <w:color w:val="auto"/>
              </w:rPr>
            </w:pPr>
          </w:p>
        </w:tc>
        <w:tc>
          <w:tcPr>
            <w:tcW w:w="34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82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34,694</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55,703</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1,191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39</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91,627</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SG&amp;A expense</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22,248</w:t>
            </w: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59,537</w:t>
            </w:r>
          </w:p>
        </w:tc>
        <w:tc>
          <w:tcPr>
            <w:tcW w:w="360" w:type="dxa"/>
            <w:vAlign w:val="bottom"/>
          </w:tcPr>
          <w:p>
            <w:pPr>
              <w:spacing w:after="0"/>
              <w:rPr>
                <w:sz w:val="18"/>
                <w:szCs w:val="18"/>
                <w:color w:val="auto"/>
              </w:rPr>
            </w:pPr>
          </w:p>
        </w:tc>
        <w:tc>
          <w:tcPr>
            <w:tcW w:w="9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15,728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Pr>
          <w:p>
            <w:pPr>
              <w:spacing w:after="0"/>
              <w:rPr>
                <w:sz w:val="18"/>
                <w:szCs w:val="18"/>
                <w:color w:val="auto"/>
              </w:rPr>
            </w:pPr>
          </w:p>
        </w:tc>
        <w:tc>
          <w:tcPr>
            <w:tcW w:w="6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96,931</w:t>
            </w:r>
          </w:p>
        </w:tc>
        <w:tc>
          <w:tcPr>
            <w:tcW w:w="0" w:type="dxa"/>
            <w:vAlign w:val="bottom"/>
          </w:tcPr>
          <w:p>
            <w:pPr>
              <w:spacing w:after="0"/>
              <w:rPr>
                <w:sz w:val="1"/>
                <w:szCs w:val="1"/>
                <w:color w:val="auto"/>
              </w:rPr>
            </w:pPr>
          </w:p>
        </w:tc>
      </w:tr>
      <w:tr>
        <w:trPr>
          <w:trHeight w:val="216"/>
        </w:trPr>
        <w:tc>
          <w:tcPr>
            <w:tcW w:w="282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impairment charges</w:t>
            </w:r>
          </w:p>
        </w:tc>
        <w:tc>
          <w:tcPr>
            <w:tcW w:w="1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98"/>
              </w:rPr>
              <w:t>5,515</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w:t>
            </w:r>
          </w:p>
        </w:tc>
        <w:tc>
          <w:tcPr>
            <w:tcW w:w="4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12,446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(3,834)</w:t>
            </w:r>
          </w:p>
        </w:tc>
        <w:tc>
          <w:tcPr>
            <w:tcW w:w="360" w:type="dxa"/>
            <w:vAlign w:val="bottom"/>
          </w:tcPr>
          <w:p>
            <w:pPr>
              <w:spacing w:after="0"/>
              <w:rPr>
                <w:sz w:val="18"/>
                <w:szCs w:val="18"/>
                <w:color w:val="auto"/>
              </w:rPr>
            </w:pP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(14,537)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621</w:t>
            </w:r>
          </w:p>
        </w:tc>
        <w:tc>
          <w:tcPr>
            <w:tcW w:w="340" w:type="dxa"/>
            <w:vAlign w:val="bottom"/>
          </w:tcPr>
          <w:p>
            <w:pPr>
              <w:spacing w:after="0"/>
              <w:rPr>
                <w:sz w:val="18"/>
                <w:szCs w:val="18"/>
                <w:color w:val="auto"/>
              </w:rPr>
            </w:pPr>
          </w:p>
        </w:tc>
        <w:tc>
          <w:tcPr>
            <w:tcW w:w="9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(5,515)</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(10,819)</w:t>
            </w:r>
          </w:p>
        </w:tc>
        <w:tc>
          <w:tcPr>
            <w:tcW w:w="0" w:type="dxa"/>
            <w:vAlign w:val="bottom"/>
          </w:tcPr>
          <w:p>
            <w:pPr>
              <w:spacing w:after="0"/>
              <w:rPr>
                <w:sz w:val="1"/>
                <w:szCs w:val="1"/>
                <w:color w:val="auto"/>
              </w:rPr>
            </w:pPr>
          </w:p>
        </w:tc>
      </w:tr>
      <w:tr>
        <w:trPr>
          <w:trHeight w:val="216"/>
        </w:trPr>
        <w:tc>
          <w:tcPr>
            <w:tcW w:w="28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1,383</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1,383</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Other loss, net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(380)</w:t>
            </w:r>
          </w:p>
        </w:tc>
        <w:tc>
          <w:tcPr>
            <w:tcW w:w="2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(380)</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8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12,446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(3,834)</w:t>
            </w:r>
          </w:p>
        </w:tc>
        <w:tc>
          <w:tcPr>
            <w:tcW w:w="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(14,537)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621</w:t>
            </w:r>
          </w:p>
        </w:tc>
        <w:tc>
          <w:tcPr>
            <w:tcW w:w="3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(5,515)</w:t>
            </w:r>
          </w:p>
        </w:tc>
        <w:tc>
          <w:tcPr>
            <w:tcW w:w="280" w:type="dxa"/>
            <w:vAlign w:val="bottom"/>
            <w:shd w:val="clear" w:color="auto" w:fill="CCEEFF"/>
          </w:tcPr>
          <w:p>
            <w:pPr>
              <w:spacing w:after="0"/>
              <w:rPr>
                <w:sz w:val="19"/>
                <w:szCs w:val="19"/>
                <w:color w:val="auto"/>
              </w:rPr>
            </w:pPr>
          </w:p>
        </w:tc>
        <w:tc>
          <w:tcPr>
            <w:tcW w:w="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1,003</w:t>
            </w:r>
          </w:p>
        </w:tc>
        <w:tc>
          <w:tcPr>
            <w:tcW w:w="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(9,816)</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*26 weeks for fiscal 2025 as compared with 27 weeks for fiscal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segment consolidation table:</w:t>
      </w:r>
    </w:p>
    <w:p>
      <w:pPr>
        <w:spacing w:after="0" w:line="225"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elimination of sales from our wholesale segment to our Company-owned BHF stores.</w:t>
      </w:r>
    </w:p>
    <w:p>
      <w:pPr>
        <w:spacing w:after="0" w:line="27"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elimination of purchases by our Company-owned BHF stores from our wholesale segment, as well as the change for the period in the elimination of intercompany profit in ending retail inventory.</w:t>
      </w: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elimination of rent paid by our retail stores occupying Company-owned real estate.</w:t>
      </w:r>
    </w:p>
    <w:p>
      <w:pPr>
        <w:spacing w:after="0" w:line="9" w:lineRule="exact"/>
        <w:rPr>
          <w:rFonts w:ascii="Times New Roman" w:cs="Times New Roman" w:eastAsia="Times New Roman" w:hAnsi="Times New Roman"/>
          <w:sz w:val="18"/>
          <w:szCs w:val="18"/>
          <w:color w:val="auto"/>
        </w:rPr>
      </w:pPr>
    </w:p>
    <w:p>
      <w:pPr>
        <w:ind w:left="340" w:hanging="332"/>
        <w:spacing w:after="0" w:line="260"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asset impairment charges of $2,887 and $727 in our retail and wholesale segments, respectively, a $1,827 charge for the impairment of the Noa Home trade name intangible asset, and a $74 charge for the impairment of Noa Home customized software.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MAY 31,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Wholesale Segment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 for the wholesale segment for the three and six months ended May 31, 2025 and June 1, 2024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60" w:type="dxa"/>
            <w:vAlign w:val="bottom"/>
            <w:gridSpan w:val="4"/>
          </w:tcPr>
          <w:p>
            <w:pPr>
              <w:jc w:val="right"/>
              <w:ind w:right="339"/>
              <w:spacing w:after="0"/>
              <w:rPr>
                <w:sz w:val="20"/>
                <w:szCs w:val="20"/>
                <w:color w:val="auto"/>
              </w:rPr>
            </w:pPr>
            <w:r>
              <w:rPr>
                <w:rFonts w:ascii="Times New Roman" w:cs="Times New Roman" w:eastAsia="Times New Roman" w:hAnsi="Times New Roman"/>
                <w:sz w:val="16"/>
                <w:szCs w:val="16"/>
                <w:color w:val="auto"/>
              </w:rPr>
              <w:t>Quarter Ended</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3"/>
          </w:tcPr>
          <w:p>
            <w:pPr>
              <w:jc w:val="right"/>
              <w:ind w:right="660"/>
              <w:spacing w:after="0"/>
              <w:rPr>
                <w:sz w:val="20"/>
                <w:szCs w:val="20"/>
                <w:color w:val="auto"/>
              </w:rPr>
            </w:pPr>
            <w:r>
              <w:rPr>
                <w:rFonts w:ascii="Times New Roman" w:cs="Times New Roman" w:eastAsia="Times New Roman" w:hAnsi="Times New Roman"/>
                <w:sz w:val="16"/>
                <w:szCs w:val="16"/>
                <w:color w:val="auto"/>
              </w:rPr>
              <w:t>Change</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760" w:type="dxa"/>
            <w:vAlign w:val="bottom"/>
            <w:gridSpan w:val="4"/>
          </w:tcPr>
          <w:p>
            <w:pPr>
              <w:jc w:val="right"/>
              <w:ind w:right="259"/>
              <w:spacing w:after="0"/>
              <w:rPr>
                <w:sz w:val="20"/>
                <w:szCs w:val="20"/>
                <w:color w:val="auto"/>
              </w:rPr>
            </w:pPr>
            <w:r>
              <w:rPr>
                <w:rFonts w:ascii="Times New Roman" w:cs="Times New Roman" w:eastAsia="Times New Roman" w:hAnsi="Times New Roman"/>
                <w:sz w:val="16"/>
                <w:szCs w:val="16"/>
                <w:color w:val="auto"/>
              </w:rPr>
              <w:t>Six Months Ended*</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4"/>
          </w:tcPr>
          <w:p>
            <w:pPr>
              <w:jc w:val="right"/>
              <w:ind w:right="560"/>
              <w:spacing w:after="0"/>
              <w:rPr>
                <w:sz w:val="20"/>
                <w:szCs w:val="20"/>
                <w:color w:val="auto"/>
              </w:rPr>
            </w:pPr>
            <w:r>
              <w:rPr>
                <w:rFonts w:ascii="Times New Roman" w:cs="Times New Roman" w:eastAsia="Times New Roman" w:hAnsi="Times New Roman"/>
                <w:sz w:val="16"/>
                <w:szCs w:val="16"/>
                <w:color w:val="auto"/>
              </w:rPr>
              <w:t>Change</w:t>
            </w: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gridSpan w:val="3"/>
          </w:tcPr>
          <w:p>
            <w:pPr>
              <w:jc w:val="right"/>
              <w:ind w:right="460"/>
              <w:spacing w:after="0"/>
              <w:rPr>
                <w:sz w:val="20"/>
                <w:szCs w:val="20"/>
                <w:color w:val="auto"/>
              </w:rPr>
            </w:pPr>
            <w:r>
              <w:rPr>
                <w:rFonts w:ascii="Times New Roman" w:cs="Times New Roman" w:eastAsia="Times New Roman" w:hAnsi="Times New Roman"/>
                <w:sz w:val="16"/>
                <w:szCs w:val="16"/>
                <w:color w:val="auto"/>
              </w:rPr>
              <w:t>May 31, 2025</w:t>
            </w:r>
          </w:p>
        </w:tc>
        <w:tc>
          <w:tcPr>
            <w:tcW w:w="1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6"/>
                <w:szCs w:val="16"/>
                <w:color w:val="auto"/>
              </w:rPr>
              <w:t>June 1, 2024</w:t>
            </w:r>
          </w:p>
        </w:tc>
        <w:tc>
          <w:tcPr>
            <w:tcW w:w="240" w:type="dxa"/>
            <w:vAlign w:val="bottom"/>
          </w:tcPr>
          <w:p>
            <w:pPr>
              <w:spacing w:after="0"/>
              <w:rPr>
                <w:sz w:val="18"/>
                <w:szCs w:val="18"/>
                <w:color w:val="auto"/>
              </w:rPr>
            </w:pPr>
          </w:p>
        </w:tc>
        <w:tc>
          <w:tcPr>
            <w:tcW w:w="720" w:type="dxa"/>
            <w:vAlign w:val="bottom"/>
            <w:tcBorders>
              <w:top w:val="single" w:sz="8" w:color="auto"/>
            </w:tcBorders>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Dollars</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Percent</w:t>
            </w: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gridSpan w:val="3"/>
          </w:tcPr>
          <w:p>
            <w:pPr>
              <w:jc w:val="right"/>
              <w:ind w:right="500"/>
              <w:spacing w:after="0"/>
              <w:rPr>
                <w:sz w:val="20"/>
                <w:szCs w:val="20"/>
                <w:color w:val="auto"/>
              </w:rPr>
            </w:pPr>
            <w:r>
              <w:rPr>
                <w:rFonts w:ascii="Times New Roman" w:cs="Times New Roman" w:eastAsia="Times New Roman" w:hAnsi="Times New Roman"/>
                <w:sz w:val="16"/>
                <w:szCs w:val="16"/>
                <w:color w:val="auto"/>
              </w:rPr>
              <w:t>May 31, 2025</w:t>
            </w: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6"/>
                <w:szCs w:val="16"/>
                <w:color w:val="auto"/>
              </w:rPr>
              <w:t>June 1, 2024</w:t>
            </w:r>
          </w:p>
        </w:tc>
        <w:tc>
          <w:tcPr>
            <w:tcW w:w="240" w:type="dxa"/>
            <w:vAlign w:val="bottom"/>
          </w:tcPr>
          <w:p>
            <w:pPr>
              <w:spacing w:after="0"/>
              <w:rPr>
                <w:sz w:val="18"/>
                <w:szCs w:val="18"/>
                <w:color w:val="auto"/>
              </w:rPr>
            </w:pPr>
          </w:p>
        </w:tc>
        <w:tc>
          <w:tcPr>
            <w:tcW w:w="700" w:type="dxa"/>
            <w:vAlign w:val="bottom"/>
            <w:tcBorders>
              <w:top w:val="single" w:sz="8" w:color="auto"/>
            </w:tcBorders>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Dollars</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Percent</w:t>
            </w:r>
          </w:p>
        </w:tc>
        <w:tc>
          <w:tcPr>
            <w:tcW w:w="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7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sales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54,229</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52,609</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1,620</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107,156</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107,310</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(154)</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00" w:type="dxa"/>
            <w:vAlign w:val="bottom"/>
          </w:tcPr>
          <w:p>
            <w:pPr>
              <w:spacing w:after="0"/>
              <w:rPr>
                <w:sz w:val="20"/>
                <w:szCs w:val="20"/>
                <w:color w:val="auto"/>
              </w:rPr>
            </w:pPr>
            <w:r>
              <w:rPr>
                <w:rFonts w:ascii="Times New Roman" w:cs="Times New Roman" w:eastAsia="Times New Roman" w:hAnsi="Times New Roman"/>
                <w:sz w:val="16"/>
                <w:szCs w:val="16"/>
                <w:color w:val="auto"/>
              </w:rPr>
              <w:t>Gross profit (1)</w:t>
            </w:r>
          </w:p>
        </w:tc>
        <w:tc>
          <w:tcPr>
            <w:tcW w:w="120" w:type="dxa"/>
            <w:vAlign w:val="bottom"/>
          </w:tcPr>
          <w:p>
            <w:pPr>
              <w:spacing w:after="0"/>
              <w:rPr>
                <w:sz w:val="17"/>
                <w:szCs w:val="17"/>
                <w:color w:val="auto"/>
              </w:rPr>
            </w:pPr>
          </w:p>
        </w:tc>
        <w:tc>
          <w:tcPr>
            <w:tcW w:w="6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18,580</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34.3%</w:t>
            </w:r>
          </w:p>
        </w:tc>
        <w:tc>
          <w:tcPr>
            <w:tcW w:w="100" w:type="dxa"/>
            <w:vAlign w:val="bottom"/>
          </w:tcPr>
          <w:p>
            <w:pPr>
              <w:spacing w:after="0"/>
              <w:rPr>
                <w:sz w:val="17"/>
                <w:szCs w:val="17"/>
                <w:color w:val="auto"/>
              </w:rPr>
            </w:pPr>
          </w:p>
        </w:tc>
        <w:tc>
          <w:tcPr>
            <w:tcW w:w="6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16,703</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31.7%</w:t>
            </w:r>
          </w:p>
        </w:tc>
        <w:tc>
          <w:tcPr>
            <w:tcW w:w="140" w:type="dxa"/>
            <w:vAlign w:val="bottom"/>
          </w:tcPr>
          <w:p>
            <w:pPr>
              <w:spacing w:after="0"/>
              <w:rPr>
                <w:sz w:val="17"/>
                <w:szCs w:val="17"/>
                <w:color w:val="auto"/>
              </w:rPr>
            </w:pPr>
          </w:p>
        </w:tc>
        <w:tc>
          <w:tcPr>
            <w:tcW w:w="5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1,877</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tcPr>
          <w:p>
            <w:pPr>
              <w:spacing w:after="0"/>
              <w:rPr>
                <w:sz w:val="17"/>
                <w:szCs w:val="17"/>
                <w:color w:val="auto"/>
              </w:rPr>
            </w:pP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37,316</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34.8%</w:t>
            </w:r>
          </w:p>
        </w:tc>
        <w:tc>
          <w:tcPr>
            <w:tcW w:w="120" w:type="dxa"/>
            <w:vAlign w:val="bottom"/>
          </w:tcPr>
          <w:p>
            <w:pPr>
              <w:spacing w:after="0"/>
              <w:rPr>
                <w:sz w:val="17"/>
                <w:szCs w:val="17"/>
                <w:color w:val="auto"/>
              </w:rPr>
            </w:pPr>
          </w:p>
        </w:tc>
        <w:tc>
          <w:tcPr>
            <w:tcW w:w="7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34,694</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32.3%</w:t>
            </w:r>
          </w:p>
        </w:tc>
        <w:tc>
          <w:tcPr>
            <w:tcW w:w="120" w:type="dxa"/>
            <w:vAlign w:val="bottom"/>
          </w:tcPr>
          <w:p>
            <w:pPr>
              <w:spacing w:after="0"/>
              <w:rPr>
                <w:sz w:val="17"/>
                <w:szCs w:val="17"/>
                <w:color w:val="auto"/>
              </w:rPr>
            </w:pPr>
          </w:p>
        </w:tc>
        <w:tc>
          <w:tcPr>
            <w:tcW w:w="5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2,622</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SG&amp;A expenses</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10,290</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19.0%</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11,016</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20.9%</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(726)</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20,341</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19.0%</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22,248</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20.7%</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8"/>
              </w:rPr>
              <w:t>(1,907)</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700" w:type="dxa"/>
            <w:vAlign w:val="bottom"/>
          </w:tcPr>
          <w:p>
            <w:pPr>
              <w:spacing w:after="0"/>
              <w:rPr>
                <w:sz w:val="20"/>
                <w:szCs w:val="20"/>
                <w:color w:val="auto"/>
              </w:rPr>
            </w:pPr>
            <w:r>
              <w:rPr>
                <w:rFonts w:ascii="Times New Roman" w:cs="Times New Roman" w:eastAsia="Times New Roman" w:hAnsi="Times New Roman"/>
                <w:sz w:val="16"/>
                <w:szCs w:val="16"/>
                <w:color w:val="auto"/>
              </w:rPr>
              <w:t>Income from operations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8,290</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15.3%</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5,687</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10.8%</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2,603</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45.8%</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16,975</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15.8%</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12,446</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11.6%</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4,529</w:t>
            </w: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36.4%</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980" w:right="20" w:hanging="324"/>
        <w:spacing w:after="0" w:line="281" w:lineRule="auto"/>
        <w:tabs>
          <w:tab w:leader="none" w:pos="9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Gross profit at the segment level is considered a Non-GAAP financial measure due to the included effects of intercompany transactions. Refer to the reconciliation of gross profit by segment to consolidated gross profit presented under the Reconciliation of Segment Results to Consolidated Results of Operations above.</w:t>
      </w:r>
    </w:p>
    <w:p>
      <w:pPr>
        <w:spacing w:after="0" w:line="163" w:lineRule="exact"/>
        <w:rPr>
          <w:rFonts w:ascii="Times New Roman" w:cs="Times New Roman" w:eastAsia="Times New Roman" w:hAnsi="Times New Roman"/>
          <w:sz w:val="16"/>
          <w:szCs w:val="16"/>
          <w:color w:val="auto"/>
        </w:rPr>
      </w:pPr>
    </w:p>
    <w:p>
      <w:pPr>
        <w:ind w:left="9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*26 weeks for fiscal 2025 as compared with 27 weeks for fiscal 2024.</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Wholesale sales by major product category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8"/>
                <w:szCs w:val="18"/>
                <w:color w:val="auto"/>
              </w:rPr>
              <w:t>Quarter Ended</w:t>
            </w: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3"/>
            <w:vMerge w:val="restart"/>
          </w:tcPr>
          <w:p>
            <w:pPr>
              <w:jc w:val="right"/>
              <w:ind w:right="460"/>
              <w:spacing w:after="0"/>
              <w:rPr>
                <w:sz w:val="20"/>
                <w:szCs w:val="20"/>
                <w:color w:val="auto"/>
              </w:rPr>
            </w:pPr>
            <w:r>
              <w:rPr>
                <w:rFonts w:ascii="Times New Roman" w:cs="Times New Roman" w:eastAsia="Times New Roman" w:hAnsi="Times New Roman"/>
                <w:sz w:val="18"/>
                <w:szCs w:val="18"/>
                <w:color w:val="auto"/>
              </w:rPr>
              <w:t>Total Change</w:t>
            </w:r>
          </w:p>
        </w:tc>
        <w:tc>
          <w:tcPr>
            <w:tcW w:w="0" w:type="dxa"/>
            <w:vAlign w:val="bottom"/>
          </w:tcPr>
          <w:p>
            <w:pPr>
              <w:spacing w:after="0"/>
              <w:rPr>
                <w:sz w:val="1"/>
                <w:szCs w:val="1"/>
                <w:color w:val="auto"/>
              </w:rPr>
            </w:pPr>
          </w:p>
        </w:tc>
      </w:tr>
      <w:tr>
        <w:trPr>
          <w:trHeight w:val="210"/>
        </w:trPr>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gridSpan w:val="3"/>
          </w:tcPr>
          <w:p>
            <w:pPr>
              <w:jc w:val="right"/>
              <w:ind w:right="690"/>
              <w:spacing w:after="0"/>
              <w:rPr>
                <w:sz w:val="20"/>
                <w:szCs w:val="20"/>
                <w:color w:val="auto"/>
              </w:rPr>
            </w:pPr>
            <w:r>
              <w:rPr>
                <w:rFonts w:ascii="Times New Roman" w:cs="Times New Roman" w:eastAsia="Times New Roman" w:hAnsi="Times New Roman"/>
                <w:sz w:val="18"/>
                <w:szCs w:val="18"/>
                <w:color w:val="auto"/>
              </w:rPr>
              <w:t>May 31, 2025</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0" w:type="dxa"/>
            <w:vAlign w:val="bottom"/>
            <w:gridSpan w:val="3"/>
          </w:tcPr>
          <w:p>
            <w:pPr>
              <w:jc w:val="right"/>
              <w:ind w:right="830"/>
              <w:spacing w:after="0"/>
              <w:rPr>
                <w:sz w:val="20"/>
                <w:szCs w:val="20"/>
                <w:color w:val="auto"/>
              </w:rPr>
            </w:pPr>
            <w:r>
              <w:rPr>
                <w:rFonts w:ascii="Times New Roman" w:cs="Times New Roman" w:eastAsia="Times New Roman" w:hAnsi="Times New Roman"/>
                <w:sz w:val="18"/>
                <w:szCs w:val="18"/>
                <w:color w:val="auto"/>
              </w:rPr>
              <w:t>June 1, 2024</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Borders>
              <w:top w:val="single" w:sz="8" w:color="auto"/>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External</w:t>
            </w:r>
          </w:p>
        </w:tc>
        <w:tc>
          <w:tcPr>
            <w:tcW w:w="1200" w:type="dxa"/>
            <w:vAlign w:val="bottom"/>
            <w:tcBorders>
              <w:top w:val="single" w:sz="8" w:color="auto"/>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Intercompany</w:t>
            </w:r>
          </w:p>
        </w:tc>
        <w:tc>
          <w:tcPr>
            <w:tcW w:w="3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Total</w:t>
            </w:r>
          </w:p>
        </w:tc>
        <w:tc>
          <w:tcPr>
            <w:tcW w:w="580" w:type="dxa"/>
            <w:vAlign w:val="bottom"/>
            <w:tcBorders>
              <w:top w:val="single" w:sz="8" w:color="auto"/>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Borders>
              <w:top w:val="single" w:sz="8" w:color="auto"/>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External</w:t>
            </w:r>
          </w:p>
        </w:tc>
        <w:tc>
          <w:tcPr>
            <w:tcW w:w="1220" w:type="dxa"/>
            <w:vAlign w:val="bottom"/>
            <w:tcBorders>
              <w:top w:val="single" w:sz="8" w:color="auto"/>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Intercompany</w:t>
            </w:r>
          </w:p>
        </w:tc>
        <w:tc>
          <w:tcPr>
            <w:tcW w:w="2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tcBorders>
              <w:top w:val="single" w:sz="8" w:color="auto"/>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94"/>
              </w:rPr>
              <w:t>Dollars</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Percent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142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Bassett Custom</w:t>
            </w:r>
          </w:p>
        </w:tc>
        <w:tc>
          <w:tcPr>
            <w:tcW w:w="12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00" w:type="dxa"/>
            <w:vAlign w:val="bottom"/>
            <w:tcBorders>
              <w:left w:val="single" w:sz="8" w:color="CCEEFF"/>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Upholstery</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20,004</w:t>
            </w:r>
          </w:p>
        </w:tc>
        <w:tc>
          <w:tcPr>
            <w:tcW w:w="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14,517</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96"/>
              </w:rPr>
              <w:t>34,521</w:t>
            </w: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21,921</w:t>
            </w:r>
          </w:p>
        </w:tc>
        <w:tc>
          <w:tcPr>
            <w:tcW w:w="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13,009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34,930</w:t>
            </w:r>
          </w:p>
        </w:tc>
        <w:tc>
          <w:tcPr>
            <w:tcW w:w="7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Bassett Leather</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3,917</w:t>
            </w: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300" w:type="dxa"/>
            <w:vAlign w:val="bottom"/>
          </w:tcPr>
          <w:p>
            <w:pPr>
              <w:spacing w:after="0"/>
              <w:rPr>
                <w:sz w:val="18"/>
                <w:szCs w:val="18"/>
                <w:color w:val="auto"/>
              </w:rPr>
            </w:pPr>
          </w:p>
        </w:tc>
        <w:tc>
          <w:tcPr>
            <w:tcW w:w="7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4,705</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w:t>
            </w:r>
          </w:p>
        </w:tc>
        <w:tc>
          <w:tcPr>
            <w:tcW w:w="18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3,563</w:t>
            </w:r>
          </w:p>
        </w:tc>
        <w:tc>
          <w:tcPr>
            <w:tcW w:w="3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392</w:t>
            </w:r>
          </w:p>
        </w:tc>
        <w:tc>
          <w:tcPr>
            <w:tcW w:w="200" w:type="dxa"/>
            <w:vAlign w:val="bottom"/>
          </w:tcPr>
          <w:p>
            <w:pPr>
              <w:spacing w:after="0"/>
              <w:rPr>
                <w:sz w:val="18"/>
                <w:szCs w:val="18"/>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3,955</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8"/>
                <w:szCs w:val="18"/>
                <w:color w:val="auto"/>
              </w:rPr>
            </w:pP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750</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198"/>
        </w:trPr>
        <w:tc>
          <w:tcPr>
            <w:tcW w:w="14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Bassett Custom</w:t>
            </w:r>
          </w:p>
        </w:tc>
        <w:tc>
          <w:tcPr>
            <w:tcW w:w="1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00" w:type="dxa"/>
            <w:vAlign w:val="bottom"/>
            <w:tcBorders>
              <w:left w:val="single" w:sz="8" w:color="CCEEFF"/>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Wood</w:t>
            </w:r>
          </w:p>
        </w:tc>
        <w:tc>
          <w:tcPr>
            <w:tcW w:w="12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3,322</w:t>
            </w: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4,587</w:t>
            </w:r>
          </w:p>
        </w:tc>
        <w:tc>
          <w:tcPr>
            <w:tcW w:w="30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7,909</w:t>
            </w: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14.6%</w:t>
            </w: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3,427</w:t>
            </w:r>
          </w:p>
        </w:tc>
        <w:tc>
          <w:tcPr>
            <w:tcW w:w="38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4,108</w:t>
            </w: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7,535</w:t>
            </w:r>
          </w:p>
        </w:tc>
        <w:tc>
          <w:tcPr>
            <w:tcW w:w="7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374</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Bassett Casegoods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2,873</w:t>
            </w: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4,221</w:t>
            </w:r>
          </w:p>
        </w:tc>
        <w:tc>
          <w:tcPr>
            <w:tcW w:w="300" w:type="dxa"/>
            <w:vAlign w:val="bottom"/>
          </w:tcPr>
          <w:p>
            <w:pPr>
              <w:spacing w:after="0"/>
              <w:rPr>
                <w:sz w:val="18"/>
                <w:szCs w:val="18"/>
                <w:color w:val="auto"/>
              </w:rPr>
            </w:pPr>
          </w:p>
        </w:tc>
        <w:tc>
          <w:tcPr>
            <w:tcW w:w="7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7,094</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13.1%</w:t>
            </w:r>
          </w:p>
        </w:tc>
        <w:tc>
          <w:tcPr>
            <w:tcW w:w="18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2,947</w:t>
            </w:r>
          </w:p>
        </w:tc>
        <w:tc>
          <w:tcPr>
            <w:tcW w:w="3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3,242</w:t>
            </w:r>
          </w:p>
        </w:tc>
        <w:tc>
          <w:tcPr>
            <w:tcW w:w="200" w:type="dxa"/>
            <w:vAlign w:val="bottom"/>
          </w:tcPr>
          <w:p>
            <w:pPr>
              <w:spacing w:after="0"/>
              <w:rPr>
                <w:sz w:val="18"/>
                <w:szCs w:val="18"/>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6,189</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18"/>
                <w:szCs w:val="18"/>
                <w:color w:val="auto"/>
              </w:rPr>
            </w:pP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905</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right w:val="single" w:sz="8" w:color="CCEEFF"/>
            </w:tcBorders>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30,116</w:t>
            </w:r>
          </w:p>
        </w:tc>
        <w:tc>
          <w:tcPr>
            <w:tcW w:w="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24,113</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96"/>
              </w:rPr>
              <w:t>54,229</w:t>
            </w: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31,858</w:t>
            </w:r>
          </w:p>
        </w:tc>
        <w:tc>
          <w:tcPr>
            <w:tcW w:w="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20,751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52,609</w:t>
            </w:r>
          </w:p>
        </w:tc>
        <w:tc>
          <w:tcPr>
            <w:tcW w:w="7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1,620</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14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left w:val="single" w:sz="8" w:color="CCEEFF"/>
              <w:right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8"/>
                <w:szCs w:val="18"/>
                <w:color w:val="auto"/>
                <w:w w:val="97"/>
              </w:rPr>
              <w:t>Six Months Ended*</w:t>
            </w:r>
          </w:p>
        </w:tc>
        <w:tc>
          <w:tcPr>
            <w:tcW w:w="3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3"/>
            <w:vMerge w:val="restart"/>
          </w:tcPr>
          <w:p>
            <w:pPr>
              <w:jc w:val="right"/>
              <w:ind w:right="440"/>
              <w:spacing w:after="0"/>
              <w:rPr>
                <w:sz w:val="20"/>
                <w:szCs w:val="20"/>
                <w:color w:val="auto"/>
              </w:rPr>
            </w:pPr>
            <w:r>
              <w:rPr>
                <w:rFonts w:ascii="Times New Roman" w:cs="Times New Roman" w:eastAsia="Times New Roman" w:hAnsi="Times New Roman"/>
                <w:sz w:val="18"/>
                <w:szCs w:val="18"/>
                <w:color w:val="auto"/>
              </w:rPr>
              <w:t>Total Change</w:t>
            </w:r>
          </w:p>
        </w:tc>
        <w:tc>
          <w:tcPr>
            <w:tcW w:w="0" w:type="dxa"/>
            <w:vAlign w:val="bottom"/>
          </w:tcPr>
          <w:p>
            <w:pPr>
              <w:spacing w:after="0"/>
              <w:rPr>
                <w:sz w:val="1"/>
                <w:szCs w:val="1"/>
                <w:color w:val="auto"/>
              </w:rPr>
            </w:pPr>
          </w:p>
        </w:tc>
      </w:tr>
      <w:tr>
        <w:trPr>
          <w:trHeight w:val="209"/>
        </w:trPr>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May 31, 2025</w:t>
            </w: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0" w:type="dxa"/>
            <w:vAlign w:val="bottom"/>
            <w:gridSpan w:val="3"/>
          </w:tcPr>
          <w:p>
            <w:pPr>
              <w:jc w:val="right"/>
              <w:ind w:right="830"/>
              <w:spacing w:after="0"/>
              <w:rPr>
                <w:sz w:val="20"/>
                <w:szCs w:val="20"/>
                <w:color w:val="auto"/>
              </w:rPr>
            </w:pPr>
            <w:r>
              <w:rPr>
                <w:rFonts w:ascii="Times New Roman" w:cs="Times New Roman" w:eastAsia="Times New Roman" w:hAnsi="Times New Roman"/>
                <w:sz w:val="18"/>
                <w:szCs w:val="18"/>
                <w:color w:val="auto"/>
              </w:rPr>
              <w:t>June 1, 2024</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Borders>
              <w:top w:val="single" w:sz="8" w:color="auto"/>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External</w:t>
            </w:r>
          </w:p>
        </w:tc>
        <w:tc>
          <w:tcPr>
            <w:tcW w:w="1200" w:type="dxa"/>
            <w:vAlign w:val="bottom"/>
            <w:tcBorders>
              <w:top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Intercompany</w:t>
            </w:r>
          </w:p>
        </w:tc>
        <w:tc>
          <w:tcPr>
            <w:tcW w:w="3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Total</w:t>
            </w:r>
          </w:p>
        </w:tc>
        <w:tc>
          <w:tcPr>
            <w:tcW w:w="580" w:type="dxa"/>
            <w:vAlign w:val="bottom"/>
            <w:tcBorders>
              <w:top w:val="single" w:sz="8" w:color="auto"/>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Borders>
              <w:top w:val="single" w:sz="8" w:color="auto"/>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External</w:t>
            </w:r>
          </w:p>
        </w:tc>
        <w:tc>
          <w:tcPr>
            <w:tcW w:w="1220" w:type="dxa"/>
            <w:vAlign w:val="bottom"/>
            <w:tcBorders>
              <w:top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Intercompany</w:t>
            </w:r>
          </w:p>
        </w:tc>
        <w:tc>
          <w:tcPr>
            <w:tcW w:w="2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tcBorders>
              <w:top w:val="single" w:sz="8" w:color="auto"/>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98"/>
              </w:rPr>
              <w:t>Dollars</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Percent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142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Bassett Custom</w:t>
            </w:r>
          </w:p>
        </w:tc>
        <w:tc>
          <w:tcPr>
            <w:tcW w:w="12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00" w:type="dxa"/>
            <w:vAlign w:val="bottom"/>
            <w:tcBorders>
              <w:left w:val="single" w:sz="8" w:color="CCEEFF"/>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Upholstery</w:t>
            </w:r>
          </w:p>
        </w:tc>
        <w:tc>
          <w:tcPr>
            <w:tcW w:w="2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38,850</w:t>
            </w:r>
          </w:p>
        </w:tc>
        <w:tc>
          <w:tcPr>
            <w:tcW w:w="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30,077</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96"/>
              </w:rPr>
              <w:t>68,927</w:t>
            </w: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42,222</w:t>
            </w:r>
          </w:p>
        </w:tc>
        <w:tc>
          <w:tcPr>
            <w:tcW w:w="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27,777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69,999</w:t>
            </w:r>
          </w:p>
        </w:tc>
        <w:tc>
          <w:tcPr>
            <w:tcW w:w="7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Bassett Leather</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8,030</w:t>
            </w:r>
          </w:p>
        </w:tc>
        <w:tc>
          <w:tcPr>
            <w:tcW w:w="34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1,420</w:t>
            </w:r>
          </w:p>
        </w:tc>
        <w:tc>
          <w:tcPr>
            <w:tcW w:w="300" w:type="dxa"/>
            <w:vAlign w:val="bottom"/>
          </w:tcPr>
          <w:p>
            <w:pPr>
              <w:spacing w:after="0"/>
              <w:rPr>
                <w:sz w:val="18"/>
                <w:szCs w:val="18"/>
                <w:color w:val="auto"/>
              </w:rPr>
            </w:pPr>
          </w:p>
        </w:tc>
        <w:tc>
          <w:tcPr>
            <w:tcW w:w="7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9,450</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8.8%</w:t>
            </w:r>
          </w:p>
        </w:tc>
        <w:tc>
          <w:tcPr>
            <w:tcW w:w="18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7,522</w:t>
            </w:r>
          </w:p>
        </w:tc>
        <w:tc>
          <w:tcPr>
            <w:tcW w:w="38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927</w:t>
            </w:r>
          </w:p>
        </w:tc>
        <w:tc>
          <w:tcPr>
            <w:tcW w:w="200" w:type="dxa"/>
            <w:vAlign w:val="bottom"/>
          </w:tcPr>
          <w:p>
            <w:pPr>
              <w:spacing w:after="0"/>
              <w:rPr>
                <w:sz w:val="18"/>
                <w:szCs w:val="18"/>
                <w:color w:val="auto"/>
              </w:rPr>
            </w:pP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8,449</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8"/>
                <w:szCs w:val="18"/>
                <w:color w:val="auto"/>
              </w:rPr>
            </w:pP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1,001</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198"/>
        </w:trPr>
        <w:tc>
          <w:tcPr>
            <w:tcW w:w="14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Bassett Custom</w:t>
            </w:r>
          </w:p>
        </w:tc>
        <w:tc>
          <w:tcPr>
            <w:tcW w:w="1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00" w:type="dxa"/>
            <w:vAlign w:val="bottom"/>
            <w:tcBorders>
              <w:left w:val="single" w:sz="8" w:color="CCEEFF"/>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Wood</w:t>
            </w:r>
          </w:p>
        </w:tc>
        <w:tc>
          <w:tcPr>
            <w:tcW w:w="12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6,635</w:t>
            </w: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8,753</w:t>
            </w:r>
          </w:p>
        </w:tc>
        <w:tc>
          <w:tcPr>
            <w:tcW w:w="30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96"/>
              </w:rPr>
              <w:t>15,388</w:t>
            </w: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14.4%</w:t>
            </w: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7,185</w:t>
            </w:r>
          </w:p>
        </w:tc>
        <w:tc>
          <w:tcPr>
            <w:tcW w:w="38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9,001</w:t>
            </w: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16,186</w:t>
            </w:r>
          </w:p>
        </w:tc>
        <w:tc>
          <w:tcPr>
            <w:tcW w:w="7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Bassett Casegoods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5,469</w:t>
            </w:r>
          </w:p>
        </w:tc>
        <w:tc>
          <w:tcPr>
            <w:tcW w:w="34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7,922</w:t>
            </w:r>
          </w:p>
        </w:tc>
        <w:tc>
          <w:tcPr>
            <w:tcW w:w="300" w:type="dxa"/>
            <w:vAlign w:val="bottom"/>
          </w:tcPr>
          <w:p>
            <w:pPr>
              <w:spacing w:after="0"/>
              <w:rPr>
                <w:sz w:val="18"/>
                <w:szCs w:val="18"/>
                <w:color w:val="auto"/>
              </w:rPr>
            </w:pPr>
          </w:p>
        </w:tc>
        <w:tc>
          <w:tcPr>
            <w:tcW w:w="7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6"/>
              </w:rPr>
              <w:t>13,391</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12.5%</w:t>
            </w:r>
          </w:p>
        </w:tc>
        <w:tc>
          <w:tcPr>
            <w:tcW w:w="18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5,867</w:t>
            </w:r>
          </w:p>
        </w:tc>
        <w:tc>
          <w:tcPr>
            <w:tcW w:w="38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6,809</w:t>
            </w:r>
          </w:p>
        </w:tc>
        <w:tc>
          <w:tcPr>
            <w:tcW w:w="200" w:type="dxa"/>
            <w:vAlign w:val="bottom"/>
          </w:tcPr>
          <w:p>
            <w:pPr>
              <w:spacing w:after="0"/>
              <w:rPr>
                <w:sz w:val="18"/>
                <w:szCs w:val="18"/>
                <w:color w:val="auto"/>
              </w:rPr>
            </w:pP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12,676</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18"/>
                <w:szCs w:val="18"/>
                <w:color w:val="auto"/>
              </w:rPr>
            </w:pP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715</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right w:val="single" w:sz="8" w:color="CCEEFF"/>
            </w:tcBorders>
            <w:shd w:val="clear" w:color="auto" w:fill="CCEEFF"/>
          </w:tcPr>
          <w:p>
            <w:pPr>
              <w:spacing w:after="0"/>
              <w:rPr>
                <w:sz w:val="23"/>
                <w:szCs w:val="23"/>
                <w:color w:val="auto"/>
              </w:rPr>
            </w:pPr>
          </w:p>
        </w:tc>
        <w:tc>
          <w:tcPr>
            <w:tcW w:w="1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58,984</w:t>
            </w:r>
          </w:p>
        </w:tc>
        <w:tc>
          <w:tcPr>
            <w:tcW w:w="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48,172</w:t>
            </w:r>
          </w:p>
        </w:tc>
        <w:tc>
          <w:tcPr>
            <w:tcW w:w="10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$ 107,156</w:t>
            </w: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62,796</w:t>
            </w:r>
          </w:p>
        </w:tc>
        <w:tc>
          <w:tcPr>
            <w:tcW w:w="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44,514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99"/>
              </w:rPr>
              <w:t>107,310</w:t>
            </w:r>
          </w:p>
        </w:tc>
        <w:tc>
          <w:tcPr>
            <w:tcW w:w="7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0"/>
        </w:trPr>
        <w:tc>
          <w:tcPr>
            <w:tcW w:w="14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left w:val="single" w:sz="8" w:color="auto"/>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*26 weeks for fiscal 2025 as compared with 27 weeks for fiscal 2024.</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Analysis of Quarterly Results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Wholesale</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sales for the three months ended May 31, 2025 increased $1,620 or 3.1% over the prior year, consisting of a 12.6% increase in shipments to our retail store network, partially offset by a 2.6% decrease in shipments to the open market, and a 22% decrease in Lane Venture shipments, primarily related to the timing of shipments for a significant customer. Gross margins for the three months ended May 31, 2025 increased 260 basis points over the prior year period. Excluding the $1,729 of additional inventory valuation charges in the prior year period, gross margins would have decreased by 70 basis points primarily due to the prior year including a reduction in the warranty and returns reserve from improved experience in warranty and returns claims and improved administration of those claims. SG&amp;A expenses as a percentage of sales decreased 190 basis points primarily due to lower bad debt costs coupled with the benefit of cost reductions implemented during the second half of fiscal 2024.</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MAY 31,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Analysis of Year-to-Date Results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Wholesale</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Net sales for the six months ended May 31, 2025 decreased $154 or 0.1% from the prior year. Normalizing for the additional the additional week in the first half of 2024, net sales increased 1.7%, consisting of a 9.1% increase in shipments to our retail store network, partially offset by a 2.4% decrease in shipments to the open market and a 9.4% decrease in Lane Venture shipments. Gross margins for the six months ended May 31, 2025 increased 250 basis points over the prior year. Excluding the $1,729 of additional inventory valuation charges in the prior year period, gross margins would have increased by 90 basis points due primarily to improved margins in our Bassett Custom Upholstery business from manufacturing efficiency gains, increased margins in our Lane Venture operations due to improved customer mix and improved margins in the Bassett Leather business, partially offset by the prior year including a reduction in the warranty and returns reserve from improved experience in warranty and returns claims and improved administration of those claims. SG&amp;A expenses as a percentage of sales decreased 170 basis points primarily due to lower bad debt costs coupled with the benefit of cost reductions implemented during the second half of fiscal 2024.</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Wholesale Backlog</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Wholesale backlog at May 31, 2025 was $18,418 as compared to $21,750 at November 30, 2024 and $19,373 at June 1,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 xml:space="preserve">Retail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u w:val="single" w:color="auto"/>
          <w:color w:val="auto"/>
        </w:rPr>
        <w:t xml:space="preserve"> Company-owned Stores Segment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 for the retail segment for the periods ended May 31, 2025 and June 1, 2024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80" w:type="dxa"/>
            <w:vAlign w:val="bottom"/>
            <w:gridSpan w:val="3"/>
          </w:tcPr>
          <w:p>
            <w:pPr>
              <w:jc w:val="right"/>
              <w:ind w:right="359"/>
              <w:spacing w:after="0"/>
              <w:rPr>
                <w:sz w:val="20"/>
                <w:szCs w:val="20"/>
                <w:color w:val="auto"/>
              </w:rPr>
            </w:pPr>
            <w:r>
              <w:rPr>
                <w:rFonts w:ascii="Times New Roman" w:cs="Times New Roman" w:eastAsia="Times New Roman" w:hAnsi="Times New Roman"/>
                <w:sz w:val="16"/>
                <w:szCs w:val="16"/>
                <w:color w:val="auto"/>
              </w:rPr>
              <w:t>Quarter Ended</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3"/>
          </w:tcPr>
          <w:p>
            <w:pPr>
              <w:jc w:val="right"/>
              <w:ind w:right="660"/>
              <w:spacing w:after="0"/>
              <w:rPr>
                <w:sz w:val="20"/>
                <w:szCs w:val="20"/>
                <w:color w:val="auto"/>
              </w:rPr>
            </w:pPr>
            <w:r>
              <w:rPr>
                <w:rFonts w:ascii="Times New Roman" w:cs="Times New Roman" w:eastAsia="Times New Roman" w:hAnsi="Times New Roman"/>
                <w:sz w:val="16"/>
                <w:szCs w:val="16"/>
                <w:color w:val="auto"/>
              </w:rPr>
              <w:t>Change</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780" w:type="dxa"/>
            <w:vAlign w:val="bottom"/>
            <w:gridSpan w:val="4"/>
          </w:tcPr>
          <w:p>
            <w:pPr>
              <w:jc w:val="right"/>
              <w:ind w:right="279"/>
              <w:spacing w:after="0"/>
              <w:rPr>
                <w:sz w:val="20"/>
                <w:szCs w:val="20"/>
                <w:color w:val="auto"/>
              </w:rPr>
            </w:pPr>
            <w:r>
              <w:rPr>
                <w:rFonts w:ascii="Times New Roman" w:cs="Times New Roman" w:eastAsia="Times New Roman" w:hAnsi="Times New Roman"/>
                <w:sz w:val="16"/>
                <w:szCs w:val="16"/>
                <w:color w:val="auto"/>
              </w:rPr>
              <w:t>Six Months Ended*</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4"/>
          </w:tcPr>
          <w:p>
            <w:pPr>
              <w:jc w:val="right"/>
              <w:ind w:right="560"/>
              <w:spacing w:after="0"/>
              <w:rPr>
                <w:sz w:val="20"/>
                <w:szCs w:val="20"/>
                <w:color w:val="auto"/>
              </w:rPr>
            </w:pPr>
            <w:r>
              <w:rPr>
                <w:rFonts w:ascii="Times New Roman" w:cs="Times New Roman" w:eastAsia="Times New Roman" w:hAnsi="Times New Roman"/>
                <w:sz w:val="16"/>
                <w:szCs w:val="16"/>
                <w:color w:val="auto"/>
              </w:rPr>
              <w:t>Change</w:t>
            </w: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gridSpan w:val="3"/>
          </w:tcPr>
          <w:p>
            <w:pPr>
              <w:jc w:val="right"/>
              <w:ind w:right="460"/>
              <w:spacing w:after="0"/>
              <w:rPr>
                <w:sz w:val="20"/>
                <w:szCs w:val="20"/>
                <w:color w:val="auto"/>
              </w:rPr>
            </w:pPr>
            <w:r>
              <w:rPr>
                <w:rFonts w:ascii="Times New Roman" w:cs="Times New Roman" w:eastAsia="Times New Roman" w:hAnsi="Times New Roman"/>
                <w:sz w:val="16"/>
                <w:szCs w:val="16"/>
                <w:color w:val="auto"/>
              </w:rPr>
              <w:t>May 31, 2025</w:t>
            </w:r>
          </w:p>
        </w:tc>
        <w:tc>
          <w:tcPr>
            <w:tcW w:w="1320" w:type="dxa"/>
            <w:vAlign w:val="bottom"/>
            <w:tcBorders>
              <w:top w:val="single" w:sz="8" w:color="auto"/>
            </w:tcBorders>
            <w:gridSpan w:val="2"/>
          </w:tcPr>
          <w:p>
            <w:pPr>
              <w:ind w:left="260"/>
              <w:spacing w:after="0"/>
              <w:rPr>
                <w:sz w:val="20"/>
                <w:szCs w:val="20"/>
                <w:color w:val="auto"/>
              </w:rPr>
            </w:pPr>
            <w:r>
              <w:rPr>
                <w:rFonts w:ascii="Times New Roman" w:cs="Times New Roman" w:eastAsia="Times New Roman" w:hAnsi="Times New Roman"/>
                <w:sz w:val="16"/>
                <w:szCs w:val="16"/>
                <w:color w:val="auto"/>
              </w:rPr>
              <w:t>June 1, 2024</w:t>
            </w:r>
          </w:p>
        </w:tc>
        <w:tc>
          <w:tcPr>
            <w:tcW w:w="240" w:type="dxa"/>
            <w:vAlign w:val="bottom"/>
          </w:tcPr>
          <w:p>
            <w:pPr>
              <w:spacing w:after="0"/>
              <w:rPr>
                <w:sz w:val="18"/>
                <w:szCs w:val="18"/>
                <w:color w:val="auto"/>
              </w:rPr>
            </w:pPr>
          </w:p>
        </w:tc>
        <w:tc>
          <w:tcPr>
            <w:tcW w:w="720" w:type="dxa"/>
            <w:vAlign w:val="bottom"/>
            <w:tcBorders>
              <w:top w:val="single" w:sz="8" w:color="auto"/>
            </w:tcBorders>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Dollars</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Percent</w:t>
            </w: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gridSpan w:val="3"/>
          </w:tcPr>
          <w:p>
            <w:pPr>
              <w:jc w:val="right"/>
              <w:ind w:right="500"/>
              <w:spacing w:after="0"/>
              <w:rPr>
                <w:sz w:val="20"/>
                <w:szCs w:val="20"/>
                <w:color w:val="auto"/>
              </w:rPr>
            </w:pPr>
            <w:r>
              <w:rPr>
                <w:rFonts w:ascii="Times New Roman" w:cs="Times New Roman" w:eastAsia="Times New Roman" w:hAnsi="Times New Roman"/>
                <w:sz w:val="16"/>
                <w:szCs w:val="16"/>
                <w:color w:val="auto"/>
              </w:rPr>
              <w:t>May 31, 2025</w:t>
            </w: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6"/>
                <w:szCs w:val="16"/>
                <w:color w:val="auto"/>
              </w:rPr>
              <w:t>June 1, 2024</w:t>
            </w:r>
          </w:p>
        </w:tc>
        <w:tc>
          <w:tcPr>
            <w:tcW w:w="240" w:type="dxa"/>
            <w:vAlign w:val="bottom"/>
          </w:tcPr>
          <w:p>
            <w:pPr>
              <w:spacing w:after="0"/>
              <w:rPr>
                <w:sz w:val="18"/>
                <w:szCs w:val="18"/>
                <w:color w:val="auto"/>
              </w:rPr>
            </w:pPr>
          </w:p>
        </w:tc>
        <w:tc>
          <w:tcPr>
            <w:tcW w:w="700" w:type="dxa"/>
            <w:vAlign w:val="bottom"/>
            <w:tcBorders>
              <w:top w:val="single" w:sz="8" w:color="auto"/>
            </w:tcBorders>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Dollars</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Percent</w:t>
            </w:r>
          </w:p>
        </w:tc>
        <w:tc>
          <w:tcPr>
            <w:tcW w:w="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7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sales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54,232</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100.0%</w:t>
            </w:r>
          </w:p>
        </w:tc>
        <w:tc>
          <w:tcPr>
            <w:tcW w:w="7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6"/>
              </w:rPr>
              <w:t>$ 50,468</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3,764</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107,526</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104,222</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3,304</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00" w:type="dxa"/>
            <w:vAlign w:val="bottom"/>
          </w:tcPr>
          <w:p>
            <w:pPr>
              <w:spacing w:after="0"/>
              <w:rPr>
                <w:sz w:val="20"/>
                <w:szCs w:val="20"/>
                <w:color w:val="auto"/>
              </w:rPr>
            </w:pPr>
            <w:r>
              <w:rPr>
                <w:rFonts w:ascii="Times New Roman" w:cs="Times New Roman" w:eastAsia="Times New Roman" w:hAnsi="Times New Roman"/>
                <w:sz w:val="16"/>
                <w:szCs w:val="16"/>
                <w:color w:val="auto"/>
              </w:rPr>
              <w:t>Gross profit (1)</w:t>
            </w:r>
          </w:p>
        </w:tc>
        <w:tc>
          <w:tcPr>
            <w:tcW w:w="120" w:type="dxa"/>
            <w:vAlign w:val="bottom"/>
          </w:tcPr>
          <w:p>
            <w:pPr>
              <w:spacing w:after="0"/>
              <w:rPr>
                <w:sz w:val="17"/>
                <w:szCs w:val="17"/>
                <w:color w:val="auto"/>
              </w:rPr>
            </w:pPr>
          </w:p>
        </w:tc>
        <w:tc>
          <w:tcPr>
            <w:tcW w:w="6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28,394</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52.4%</w:t>
            </w:r>
          </w:p>
        </w:tc>
        <w:tc>
          <w:tcPr>
            <w:tcW w:w="7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26,689</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52.9%</w:t>
            </w:r>
          </w:p>
        </w:tc>
        <w:tc>
          <w:tcPr>
            <w:tcW w:w="140" w:type="dxa"/>
            <w:vAlign w:val="bottom"/>
          </w:tcPr>
          <w:p>
            <w:pPr>
              <w:spacing w:after="0"/>
              <w:rPr>
                <w:sz w:val="17"/>
                <w:szCs w:val="17"/>
                <w:color w:val="auto"/>
              </w:rPr>
            </w:pPr>
          </w:p>
        </w:tc>
        <w:tc>
          <w:tcPr>
            <w:tcW w:w="5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1,705</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Pr>
          <w:p>
            <w:pPr>
              <w:spacing w:after="0"/>
              <w:rPr>
                <w:sz w:val="17"/>
                <w:szCs w:val="17"/>
                <w:color w:val="auto"/>
              </w:rPr>
            </w:pP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56,751</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52.8%</w:t>
            </w:r>
          </w:p>
        </w:tc>
        <w:tc>
          <w:tcPr>
            <w:tcW w:w="120" w:type="dxa"/>
            <w:vAlign w:val="bottom"/>
          </w:tcPr>
          <w:p>
            <w:pPr>
              <w:spacing w:after="0"/>
              <w:rPr>
                <w:sz w:val="17"/>
                <w:szCs w:val="17"/>
                <w:color w:val="auto"/>
              </w:rPr>
            </w:pPr>
          </w:p>
        </w:tc>
        <w:tc>
          <w:tcPr>
            <w:tcW w:w="7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55,703</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53.4%</w:t>
            </w:r>
          </w:p>
        </w:tc>
        <w:tc>
          <w:tcPr>
            <w:tcW w:w="120" w:type="dxa"/>
            <w:vAlign w:val="bottom"/>
          </w:tcPr>
          <w:p>
            <w:pPr>
              <w:spacing w:after="0"/>
              <w:rPr>
                <w:sz w:val="17"/>
                <w:szCs w:val="17"/>
                <w:color w:val="auto"/>
              </w:rPr>
            </w:pPr>
          </w:p>
        </w:tc>
        <w:tc>
          <w:tcPr>
            <w:tcW w:w="5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1,048</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SG&amp;A expenses</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27,912</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51.5%</w:t>
            </w:r>
          </w:p>
        </w:tc>
        <w:tc>
          <w:tcPr>
            <w:tcW w:w="7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28,911</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57.3%</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(999)</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56,317</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52.4%</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59,537</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57.1%</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8"/>
              </w:rPr>
              <w:t>(3,220)</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700" w:type="dxa"/>
            <w:vAlign w:val="bottom"/>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482</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0.9%</w:t>
            </w:r>
          </w:p>
        </w:tc>
        <w:tc>
          <w:tcPr>
            <w:tcW w:w="7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8"/>
              </w:rPr>
              <w:t>$ (2,222)</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-4.4%</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2,704</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-121.7%</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434</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(3,834)</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4,268</w:t>
            </w: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-111.3%</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980" w:right="20" w:hanging="324"/>
        <w:spacing w:after="0" w:line="281" w:lineRule="auto"/>
        <w:tabs>
          <w:tab w:leader="none" w:pos="9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Gross profit at the segment level is considered a Non-GAAP financial measure due to the included effects of intercompany transactions. Refer to the reconciliation of gross profit by segment to consolidated gross profit presented under the Reconciliation of Segment Results to Consolidated Results of Operations above.</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*26 weeks for fiscal 2025 as compared with 27 weeks for fiscal 2024.</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Retail sales by major product category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60" w:type="dxa"/>
            <w:vAlign w:val="bottom"/>
            <w:gridSpan w:val="3"/>
          </w:tcPr>
          <w:p>
            <w:pPr>
              <w:jc w:val="right"/>
              <w:ind w:right="339"/>
              <w:spacing w:after="0"/>
              <w:rPr>
                <w:sz w:val="20"/>
                <w:szCs w:val="20"/>
                <w:color w:val="auto"/>
              </w:rPr>
            </w:pPr>
            <w:r>
              <w:rPr>
                <w:rFonts w:ascii="Times New Roman" w:cs="Times New Roman" w:eastAsia="Times New Roman" w:hAnsi="Times New Roman"/>
                <w:sz w:val="16"/>
                <w:szCs w:val="16"/>
                <w:color w:val="auto"/>
              </w:rPr>
              <w:t>Quarter Ended</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3"/>
          </w:tcPr>
          <w:p>
            <w:pPr>
              <w:jc w:val="right"/>
              <w:ind w:right="660"/>
              <w:spacing w:after="0"/>
              <w:rPr>
                <w:sz w:val="20"/>
                <w:szCs w:val="20"/>
                <w:color w:val="auto"/>
              </w:rPr>
            </w:pPr>
            <w:r>
              <w:rPr>
                <w:rFonts w:ascii="Times New Roman" w:cs="Times New Roman" w:eastAsia="Times New Roman" w:hAnsi="Times New Roman"/>
                <w:sz w:val="16"/>
                <w:szCs w:val="16"/>
                <w:color w:val="auto"/>
              </w:rPr>
              <w:t>Change</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760" w:type="dxa"/>
            <w:vAlign w:val="bottom"/>
            <w:gridSpan w:val="4"/>
          </w:tcPr>
          <w:p>
            <w:pPr>
              <w:jc w:val="right"/>
              <w:ind w:right="259"/>
              <w:spacing w:after="0"/>
              <w:rPr>
                <w:sz w:val="20"/>
                <w:szCs w:val="20"/>
                <w:color w:val="auto"/>
              </w:rPr>
            </w:pPr>
            <w:r>
              <w:rPr>
                <w:rFonts w:ascii="Times New Roman" w:cs="Times New Roman" w:eastAsia="Times New Roman" w:hAnsi="Times New Roman"/>
                <w:sz w:val="16"/>
                <w:szCs w:val="16"/>
                <w:color w:val="auto"/>
              </w:rPr>
              <w:t>Six Months Ended*</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540"/>
              <w:spacing w:after="0"/>
              <w:rPr>
                <w:sz w:val="20"/>
                <w:szCs w:val="20"/>
                <w:color w:val="auto"/>
              </w:rPr>
            </w:pPr>
            <w:r>
              <w:rPr>
                <w:rFonts w:ascii="Times New Roman" w:cs="Times New Roman" w:eastAsia="Times New Roman" w:hAnsi="Times New Roman"/>
                <w:sz w:val="16"/>
                <w:szCs w:val="16"/>
                <w:color w:val="auto"/>
              </w:rPr>
              <w:t>Change</w:t>
            </w: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1600" w:type="dxa"/>
            <w:vAlign w:val="bottom"/>
            <w:tcBorders>
              <w:top w:val="single" w:sz="8" w:color="auto"/>
            </w:tcBorders>
            <w:gridSpan w:val="3"/>
          </w:tcPr>
          <w:p>
            <w:pPr>
              <w:jc w:val="right"/>
              <w:ind w:right="460"/>
              <w:spacing w:after="0"/>
              <w:rPr>
                <w:sz w:val="20"/>
                <w:szCs w:val="20"/>
                <w:color w:val="auto"/>
              </w:rPr>
            </w:pPr>
            <w:r>
              <w:rPr>
                <w:rFonts w:ascii="Times New Roman" w:cs="Times New Roman" w:eastAsia="Times New Roman" w:hAnsi="Times New Roman"/>
                <w:sz w:val="16"/>
                <w:szCs w:val="16"/>
                <w:color w:val="auto"/>
              </w:rPr>
              <w:t>May 31, 2025</w:t>
            </w:r>
          </w:p>
        </w:tc>
        <w:tc>
          <w:tcPr>
            <w:tcW w:w="1320" w:type="dxa"/>
            <w:vAlign w:val="bottom"/>
            <w:tcBorders>
              <w:top w:val="single" w:sz="8" w:color="auto"/>
            </w:tcBorders>
            <w:gridSpan w:val="2"/>
          </w:tcPr>
          <w:p>
            <w:pPr>
              <w:ind w:left="260"/>
              <w:spacing w:after="0"/>
              <w:rPr>
                <w:sz w:val="20"/>
                <w:szCs w:val="20"/>
                <w:color w:val="auto"/>
              </w:rPr>
            </w:pPr>
            <w:r>
              <w:rPr>
                <w:rFonts w:ascii="Times New Roman" w:cs="Times New Roman" w:eastAsia="Times New Roman" w:hAnsi="Times New Roman"/>
                <w:sz w:val="16"/>
                <w:szCs w:val="16"/>
                <w:color w:val="auto"/>
              </w:rPr>
              <w:t>June 1, 2024</w:t>
            </w:r>
          </w:p>
        </w:tc>
        <w:tc>
          <w:tcPr>
            <w:tcW w:w="240" w:type="dxa"/>
            <w:vAlign w:val="bottom"/>
          </w:tcPr>
          <w:p>
            <w:pPr>
              <w:spacing w:after="0"/>
              <w:rPr>
                <w:sz w:val="18"/>
                <w:szCs w:val="18"/>
                <w:color w:val="auto"/>
              </w:rPr>
            </w:pPr>
          </w:p>
        </w:tc>
        <w:tc>
          <w:tcPr>
            <w:tcW w:w="720" w:type="dxa"/>
            <w:vAlign w:val="bottom"/>
            <w:tcBorders>
              <w:top w:val="single" w:sz="8" w:color="auto"/>
            </w:tcBorders>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Dollars</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Percent</w:t>
            </w: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gridSpan w:val="3"/>
          </w:tcPr>
          <w:p>
            <w:pPr>
              <w:jc w:val="right"/>
              <w:ind w:right="500"/>
              <w:spacing w:after="0"/>
              <w:rPr>
                <w:sz w:val="20"/>
                <w:szCs w:val="20"/>
                <w:color w:val="auto"/>
              </w:rPr>
            </w:pPr>
            <w:r>
              <w:rPr>
                <w:rFonts w:ascii="Times New Roman" w:cs="Times New Roman" w:eastAsia="Times New Roman" w:hAnsi="Times New Roman"/>
                <w:sz w:val="16"/>
                <w:szCs w:val="16"/>
                <w:color w:val="auto"/>
              </w:rPr>
              <w:t>May 31, 2025</w:t>
            </w: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6"/>
                <w:szCs w:val="16"/>
                <w:color w:val="auto"/>
              </w:rPr>
              <w:t>June 1, 2024</w:t>
            </w:r>
          </w:p>
        </w:tc>
        <w:tc>
          <w:tcPr>
            <w:tcW w:w="240" w:type="dxa"/>
            <w:vAlign w:val="bottom"/>
          </w:tcPr>
          <w:p>
            <w:pPr>
              <w:spacing w:after="0"/>
              <w:rPr>
                <w:sz w:val="18"/>
                <w:szCs w:val="18"/>
                <w:color w:val="auto"/>
              </w:rPr>
            </w:pPr>
          </w:p>
        </w:tc>
        <w:tc>
          <w:tcPr>
            <w:tcW w:w="700" w:type="dxa"/>
            <w:vAlign w:val="bottom"/>
            <w:tcBorders>
              <w:top w:val="single" w:sz="8" w:color="auto"/>
            </w:tcBorders>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Dollars</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Percent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70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Bassett Custom</w:t>
            </w:r>
          </w:p>
        </w:tc>
        <w:tc>
          <w:tcPr>
            <w:tcW w:w="8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Upholstery</w:t>
            </w:r>
          </w:p>
        </w:tc>
        <w:tc>
          <w:tcPr>
            <w:tcW w:w="8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$ 29,540</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54.5%</w:t>
            </w:r>
          </w:p>
        </w:tc>
        <w:tc>
          <w:tcPr>
            <w:tcW w:w="7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6"/>
              </w:rPr>
              <w:t>$ 27,256</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54.0%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2,284</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59,035</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54.9%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57,059</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54.7%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1,976</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03"/>
        </w:trPr>
        <w:tc>
          <w:tcPr>
            <w:tcW w:w="1700" w:type="dxa"/>
            <w:vAlign w:val="bottom"/>
          </w:tcPr>
          <w:p>
            <w:pPr>
              <w:spacing w:after="0"/>
              <w:rPr>
                <w:sz w:val="20"/>
                <w:szCs w:val="20"/>
                <w:color w:val="auto"/>
              </w:rPr>
            </w:pPr>
            <w:r>
              <w:rPr>
                <w:rFonts w:ascii="Times New Roman" w:cs="Times New Roman" w:eastAsia="Times New Roman" w:hAnsi="Times New Roman"/>
                <w:sz w:val="16"/>
                <w:szCs w:val="16"/>
                <w:color w:val="auto"/>
              </w:rPr>
              <w:t>Bassett Leather</w:t>
            </w:r>
          </w:p>
        </w:tc>
        <w:tc>
          <w:tcPr>
            <w:tcW w:w="8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1,791</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3.3%</w:t>
            </w:r>
          </w:p>
        </w:tc>
        <w:tc>
          <w:tcPr>
            <w:tcW w:w="7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1,117</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2.2%</w:t>
            </w:r>
          </w:p>
        </w:tc>
        <w:tc>
          <w:tcPr>
            <w:tcW w:w="140" w:type="dxa"/>
            <w:vAlign w:val="bottom"/>
          </w:tcPr>
          <w:p>
            <w:pPr>
              <w:spacing w:after="0"/>
              <w:rPr>
                <w:sz w:val="17"/>
                <w:szCs w:val="17"/>
                <w:color w:val="auto"/>
              </w:rPr>
            </w:pPr>
          </w:p>
        </w:tc>
        <w:tc>
          <w:tcPr>
            <w:tcW w:w="5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674</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60.3%</w:t>
            </w:r>
          </w:p>
        </w:tc>
        <w:tc>
          <w:tcPr>
            <w:tcW w:w="100" w:type="dxa"/>
            <w:vAlign w:val="bottom"/>
          </w:tcPr>
          <w:p>
            <w:pPr>
              <w:spacing w:after="0"/>
              <w:rPr>
                <w:sz w:val="17"/>
                <w:szCs w:val="17"/>
                <w:color w:val="auto"/>
              </w:rPr>
            </w:pP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3,718</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Pr>
          <w:p>
            <w:pPr>
              <w:spacing w:after="0"/>
              <w:rPr>
                <w:sz w:val="17"/>
                <w:szCs w:val="17"/>
                <w:color w:val="auto"/>
              </w:rPr>
            </w:pPr>
          </w:p>
        </w:tc>
        <w:tc>
          <w:tcPr>
            <w:tcW w:w="7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1,944</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1.9%</w:t>
            </w:r>
          </w:p>
        </w:tc>
        <w:tc>
          <w:tcPr>
            <w:tcW w:w="140" w:type="dxa"/>
            <w:vAlign w:val="bottom"/>
          </w:tcPr>
          <w:p>
            <w:pPr>
              <w:spacing w:after="0"/>
              <w:rPr>
                <w:sz w:val="17"/>
                <w:szCs w:val="17"/>
                <w:color w:val="auto"/>
              </w:rPr>
            </w:pPr>
          </w:p>
        </w:tc>
        <w:tc>
          <w:tcPr>
            <w:tcW w:w="5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1,774</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91.3%</w:t>
            </w: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Bassett Custom Wood</w:t>
            </w:r>
          </w:p>
        </w:tc>
        <w:tc>
          <w:tcPr>
            <w:tcW w:w="8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8,468</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15.6%</w:t>
            </w:r>
          </w:p>
        </w:tc>
        <w:tc>
          <w:tcPr>
            <w:tcW w:w="7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8,522</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16.9%</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(54)</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16,174</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15.0%</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16,720</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16.0%</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(546)</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03"/>
        </w:trPr>
        <w:tc>
          <w:tcPr>
            <w:tcW w:w="1700" w:type="dxa"/>
            <w:vAlign w:val="bottom"/>
          </w:tcPr>
          <w:p>
            <w:pPr>
              <w:spacing w:after="0"/>
              <w:rPr>
                <w:sz w:val="20"/>
                <w:szCs w:val="20"/>
                <w:color w:val="auto"/>
              </w:rPr>
            </w:pPr>
            <w:r>
              <w:rPr>
                <w:rFonts w:ascii="Times New Roman" w:cs="Times New Roman" w:eastAsia="Times New Roman" w:hAnsi="Times New Roman"/>
                <w:sz w:val="16"/>
                <w:szCs w:val="16"/>
                <w:color w:val="auto"/>
              </w:rPr>
              <w:t>Bassett Casegoods</w:t>
            </w:r>
          </w:p>
        </w:tc>
        <w:tc>
          <w:tcPr>
            <w:tcW w:w="8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7,072</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13.0%</w:t>
            </w:r>
          </w:p>
        </w:tc>
        <w:tc>
          <w:tcPr>
            <w:tcW w:w="7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6,390</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12.7%</w:t>
            </w:r>
          </w:p>
        </w:tc>
        <w:tc>
          <w:tcPr>
            <w:tcW w:w="140" w:type="dxa"/>
            <w:vAlign w:val="bottom"/>
          </w:tcPr>
          <w:p>
            <w:pPr>
              <w:spacing w:after="0"/>
              <w:rPr>
                <w:sz w:val="17"/>
                <w:szCs w:val="17"/>
                <w:color w:val="auto"/>
              </w:rPr>
            </w:pPr>
          </w:p>
        </w:tc>
        <w:tc>
          <w:tcPr>
            <w:tcW w:w="5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682</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tcPr>
          <w:p>
            <w:pPr>
              <w:spacing w:after="0"/>
              <w:rPr>
                <w:sz w:val="17"/>
                <w:szCs w:val="17"/>
                <w:color w:val="auto"/>
              </w:rPr>
            </w:pP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13,724</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12.8%</w:t>
            </w:r>
          </w:p>
        </w:tc>
        <w:tc>
          <w:tcPr>
            <w:tcW w:w="120" w:type="dxa"/>
            <w:vAlign w:val="bottom"/>
          </w:tcPr>
          <w:p>
            <w:pPr>
              <w:spacing w:after="0"/>
              <w:rPr>
                <w:sz w:val="17"/>
                <w:szCs w:val="17"/>
                <w:color w:val="auto"/>
              </w:rPr>
            </w:pPr>
          </w:p>
        </w:tc>
        <w:tc>
          <w:tcPr>
            <w:tcW w:w="7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13,775</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13.2%</w:t>
            </w:r>
          </w:p>
        </w:tc>
        <w:tc>
          <w:tcPr>
            <w:tcW w:w="140" w:type="dxa"/>
            <w:vAlign w:val="bottom"/>
          </w:tcPr>
          <w:p>
            <w:pPr>
              <w:spacing w:after="0"/>
              <w:rPr>
                <w:sz w:val="17"/>
                <w:szCs w:val="17"/>
                <w:color w:val="auto"/>
              </w:rPr>
            </w:pPr>
          </w:p>
        </w:tc>
        <w:tc>
          <w:tcPr>
            <w:tcW w:w="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(51)</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189"/>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Accessories, mattresses</w:t>
            </w:r>
          </w:p>
        </w:tc>
        <w:tc>
          <w:tcPr>
            <w:tcW w:w="800" w:type="dxa"/>
            <w:vAlign w:val="bottom"/>
            <w:vMerge w:val="restart"/>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7,361</w:t>
            </w: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13.6%</w:t>
            </w:r>
          </w:p>
        </w:tc>
        <w:tc>
          <w:tcPr>
            <w:tcW w:w="76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7,183</w:t>
            </w: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14.2%</w:t>
            </w:r>
          </w:p>
        </w:tc>
        <w:tc>
          <w:tcPr>
            <w:tcW w:w="140" w:type="dxa"/>
            <w:vAlign w:val="bottom"/>
            <w:shd w:val="clear" w:color="auto" w:fill="CCEEFF"/>
          </w:tcPr>
          <w:p>
            <w:pPr>
              <w:spacing w:after="0"/>
              <w:rPr>
                <w:sz w:val="16"/>
                <w:szCs w:val="16"/>
                <w:color w:val="auto"/>
              </w:rPr>
            </w:pPr>
          </w:p>
        </w:tc>
        <w:tc>
          <w:tcPr>
            <w:tcW w:w="58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178</w:t>
            </w:r>
          </w:p>
        </w:tc>
        <w:tc>
          <w:tcPr>
            <w:tcW w:w="8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14,875</w:t>
            </w:r>
          </w:p>
        </w:tc>
        <w:tc>
          <w:tcPr>
            <w:tcW w:w="8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13.8%</w:t>
            </w:r>
          </w:p>
        </w:tc>
        <w:tc>
          <w:tcPr>
            <w:tcW w:w="12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14,724</w:t>
            </w: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14.1%</w:t>
            </w:r>
          </w:p>
        </w:tc>
        <w:tc>
          <w:tcPr>
            <w:tcW w:w="140" w:type="dxa"/>
            <w:vAlign w:val="bottom"/>
            <w:shd w:val="clear" w:color="auto" w:fill="CCEEFF"/>
          </w:tcPr>
          <w:p>
            <w:pPr>
              <w:spacing w:after="0"/>
              <w:rPr>
                <w:sz w:val="16"/>
                <w:szCs w:val="16"/>
                <w:color w:val="auto"/>
              </w:rPr>
            </w:pPr>
          </w:p>
        </w:tc>
        <w:tc>
          <w:tcPr>
            <w:tcW w:w="56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151</w:t>
            </w:r>
          </w:p>
        </w:tc>
        <w:tc>
          <w:tcPr>
            <w:tcW w:w="7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and other (1)</w:t>
            </w:r>
          </w:p>
        </w:tc>
        <w:tc>
          <w:tcPr>
            <w:tcW w:w="800" w:type="dxa"/>
            <w:vAlign w:val="bottom"/>
            <w:vMerge w:val="continue"/>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0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70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8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$ 54,232</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100.0%</w:t>
            </w:r>
          </w:p>
        </w:tc>
        <w:tc>
          <w:tcPr>
            <w:tcW w:w="7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6"/>
              </w:rPr>
              <w:t>$ 50,468</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100.0%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3,764</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107,526</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104,222</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100.0%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3,304</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980" w:right="20" w:hanging="324"/>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sale of goods other than Bassett-branded products, such as accessories and bedding, and also includes the sale of furniture protection plans.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*26 weeks for fiscal 2025 as compared with 27 weeks for fiscal 2024.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MAY 31,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Analysis of Quarterly Results - Retail</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Net sales for the three months ended May 31, 2025 increased $3,764 or 7.5% over the prior year period. Written sales (the value of sales orders taken but not delivered) declined 0.8% from the second quarter of 2024. Gross margin for the three months ended May 31, 2025 declined 50 basis points over the prior period. Excluding the $471 of additional inventory valuation charges in the prior year period, gross margins would have decreased by 140 basis points due to lower margins for both in-line and clearance goods as we have become more aggressive in cycling through unproductive inventory. SG&amp;A expenses as a percentage of sales for the three months ended May 31, 2025 decreased 580 basis points primarily due to the benefit of cost reductions implemented during the second half of fiscal 2024 coupled with lower advertising and marketing costs and efficiency gains in our warehouse and delivery operation. In addition, SG&amp;A expense for the three months ended May 31, 2025 was reduced by a $569 gain from the receipt of insurance proceeds for a business interruption claim arising from the previously disclosed cyber incident which occurred during the third quarter of fiscal 2024.</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Analysis of Year-to-Date Results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Retail</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Net sales for the six months ended May 31, 2025 increased $3,304 or 3.2% over the prior year period. Normalizing for the additional week in the first half of 2024, net sales increased by 7.1%. Written sales (the value of sales orders taken but not delivered) declined 1.5% from the second quarter of 2024. Normalizing for the additional week in the first half of 2024, written sales increased 2.3%. Gross margin for the six months ended May 31, 2025 declined 60 basis points over the prior period. Excluding the $471 of additional inventory valuation charges in the prior year period, gross margins would have decreased by 110 basis points due to lower margins for both in-line and clearance goods as we have become more aggressive in cycling through unproductive inventory. SG&amp;A expenses as a percentage of sales for the six months ended May 31, 2025 decreased 470 basis points primarily due to the benefit of cost reductions implemented during the second half of fiscal 2024 coupled with lower advertising and marketing costs and efficiency gains in our warehouse and delivery operation. In addition, SG&amp;A expense for the six months ended May 31, 2025 was reduced by a $569 gain from the receipt of insurance proceeds for a business interruption claim arising from the previously disclosed cyber incident which occurred during the third quarter of fiscal 2024.</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Retail Backlog</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Retail backlog at May 31, 2025 was $34,091 compared to $37,053 at November 30, 2024 and $31,545 at June 1, 2024.</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Corporate and Other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the two reportable segments discussed above, we include our remaining business activities and assets in a reconciling category known as Corporate and other, which includes the shared costs of various corporate functions along with any operating segments that do not meet the requirements to be reportable segments. Therefore, prior to fiscal 2025, Noa Home was included within the Corporate and other reconciling category and accounted for all of the sales and gross profit within this reconciling category. Revenues, costs and expenses of Corporate and other for the periods ended May 31, 2025 and June 1, 2024 are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20" w:type="dxa"/>
            <w:vAlign w:val="bottom"/>
            <w:gridSpan w:val="5"/>
          </w:tcPr>
          <w:p>
            <w:pPr>
              <w:jc w:val="right"/>
              <w:ind w:right="740"/>
              <w:spacing w:after="0"/>
              <w:rPr>
                <w:sz w:val="20"/>
                <w:szCs w:val="20"/>
                <w:color w:val="auto"/>
              </w:rPr>
            </w:pPr>
            <w:r>
              <w:rPr>
                <w:rFonts w:ascii="Times New Roman" w:cs="Times New Roman" w:eastAsia="Times New Roman" w:hAnsi="Times New Roman"/>
                <w:sz w:val="18"/>
                <w:szCs w:val="18"/>
                <w:color w:val="auto"/>
              </w:rPr>
              <w:t>Quarter Ended</w:t>
            </w: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Change</w:t>
            </w: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80" w:type="dxa"/>
            <w:vAlign w:val="bottom"/>
            <w:gridSpan w:val="5"/>
          </w:tcPr>
          <w:p>
            <w:pPr>
              <w:jc w:val="right"/>
              <w:ind w:right="560"/>
              <w:spacing w:after="0"/>
              <w:rPr>
                <w:sz w:val="20"/>
                <w:szCs w:val="20"/>
                <w:color w:val="auto"/>
              </w:rPr>
            </w:pPr>
            <w:r>
              <w:rPr>
                <w:rFonts w:ascii="Times New Roman" w:cs="Times New Roman" w:eastAsia="Times New Roman" w:hAnsi="Times New Roman"/>
                <w:sz w:val="18"/>
                <w:szCs w:val="18"/>
                <w:color w:val="auto"/>
              </w:rPr>
              <w:t>Six Months Ended*</w:t>
            </w:r>
          </w:p>
        </w:tc>
        <w:tc>
          <w:tcPr>
            <w:tcW w:w="14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Change</w:t>
            </w: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16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rPr>
              <w:t>June 1,</w:t>
            </w:r>
          </w:p>
        </w:tc>
        <w:tc>
          <w:tcPr>
            <w:tcW w:w="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right"/>
              <w:ind w:right="420"/>
              <w:spacing w:after="0" w:line="191" w:lineRule="exact"/>
              <w:rPr>
                <w:sz w:val="20"/>
                <w:szCs w:val="20"/>
                <w:color w:val="auto"/>
              </w:rPr>
            </w:pPr>
            <w:r>
              <w:rPr>
                <w:rFonts w:ascii="Times New Roman" w:cs="Times New Roman" w:eastAsia="Times New Roman" w:hAnsi="Times New Roman"/>
                <w:sz w:val="18"/>
                <w:szCs w:val="18"/>
                <w:color w:val="auto"/>
              </w:rPr>
              <w:t>May 31,</w:t>
            </w:r>
          </w:p>
        </w:tc>
        <w:tc>
          <w:tcPr>
            <w:tcW w:w="1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90"/>
              <w:spacing w:after="0" w:line="191" w:lineRule="exact"/>
              <w:rPr>
                <w:sz w:val="20"/>
                <w:szCs w:val="20"/>
                <w:color w:val="auto"/>
              </w:rPr>
            </w:pPr>
            <w:r>
              <w:rPr>
                <w:rFonts w:ascii="Times New Roman" w:cs="Times New Roman" w:eastAsia="Times New Roman" w:hAnsi="Times New Roman"/>
                <w:sz w:val="18"/>
                <w:szCs w:val="18"/>
                <w:color w:val="auto"/>
              </w:rPr>
              <w:t>June 1,</w:t>
            </w: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160" w:type="dxa"/>
            <w:vAlign w:val="bottom"/>
          </w:tcPr>
          <w:p>
            <w:pPr>
              <w:spacing w:after="0"/>
              <w:rPr>
                <w:sz w:val="20"/>
                <w:szCs w:val="20"/>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May 31, 2025</w:t>
            </w:r>
          </w:p>
        </w:tc>
        <w:tc>
          <w:tcPr>
            <w:tcW w:w="140" w:type="dxa"/>
            <w:vAlign w:val="bottom"/>
          </w:tcPr>
          <w:p>
            <w:pPr>
              <w:spacing w:after="0"/>
              <w:rPr>
                <w:sz w:val="20"/>
                <w:szCs w:val="20"/>
                <w:color w:val="auto"/>
              </w:rPr>
            </w:pPr>
          </w:p>
        </w:tc>
        <w:tc>
          <w:tcPr>
            <w:tcW w:w="7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ind w:right="478"/>
              <w:spacing w:after="0"/>
              <w:rPr>
                <w:sz w:val="20"/>
                <w:szCs w:val="20"/>
                <w:color w:val="auto"/>
              </w:rPr>
            </w:pPr>
            <w:r>
              <w:rPr>
                <w:rFonts w:ascii="Times New Roman" w:cs="Times New Roman" w:eastAsia="Times New Roman" w:hAnsi="Times New Roman"/>
                <w:sz w:val="18"/>
                <w:szCs w:val="18"/>
                <w:color w:val="auto"/>
              </w:rPr>
              <w:t>Dollars</w:t>
            </w: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w w:val="99"/>
              </w:rPr>
              <w:t>Percent</w:t>
            </w:r>
          </w:p>
        </w:tc>
        <w:tc>
          <w:tcPr>
            <w:tcW w:w="140" w:type="dxa"/>
            <w:vAlign w:val="bottom"/>
          </w:tcPr>
          <w:p>
            <w:pPr>
              <w:spacing w:after="0"/>
              <w:rPr>
                <w:sz w:val="20"/>
                <w:szCs w:val="20"/>
                <w:color w:val="auto"/>
              </w:rPr>
            </w:pPr>
          </w:p>
        </w:tc>
        <w:tc>
          <w:tcPr>
            <w:tcW w:w="8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Dollars</w:t>
            </w:r>
          </w:p>
        </w:tc>
        <w:tc>
          <w:tcPr>
            <w:tcW w:w="380" w:type="dxa"/>
            <w:vAlign w:val="bottom"/>
          </w:tcPr>
          <w:p>
            <w:pPr>
              <w:spacing w:after="0"/>
              <w:rPr>
                <w:sz w:val="20"/>
                <w:szCs w:val="20"/>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6"/>
              </w:rPr>
              <w:t>Percent</w:t>
            </w:r>
          </w:p>
        </w:tc>
        <w:tc>
          <w:tcPr>
            <w:tcW w:w="0" w:type="dxa"/>
            <w:vAlign w:val="bottom"/>
          </w:tcPr>
          <w:p>
            <w:pPr>
              <w:spacing w:after="0"/>
              <w:rPr>
                <w:sz w:val="1"/>
                <w:szCs w:val="1"/>
                <w:color w:val="auto"/>
              </w:rPr>
            </w:pPr>
          </w:p>
        </w:tc>
      </w:tr>
      <w:tr>
        <w:trPr>
          <w:trHeight w:val="209"/>
        </w:trPr>
        <w:tc>
          <w:tcPr>
            <w:tcW w:w="21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1,084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(1,084)</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2,946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(2,946)</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216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138</w:t>
            </w:r>
          </w:p>
        </w:tc>
        <w:tc>
          <w:tcPr>
            <w:tcW w:w="140" w:type="dxa"/>
            <w:vAlign w:val="bottom"/>
          </w:tcPr>
          <w:p>
            <w:pPr>
              <w:spacing w:after="0"/>
              <w:rPr>
                <w:sz w:val="18"/>
                <w:szCs w:val="18"/>
                <w:color w:val="auto"/>
              </w:rPr>
            </w:pPr>
          </w:p>
        </w:tc>
        <w:tc>
          <w:tcPr>
            <w:tcW w:w="1140" w:type="dxa"/>
            <w:vAlign w:val="bottom"/>
          </w:tcPr>
          <w:p>
            <w:pPr>
              <w:jc w:val="right"/>
              <w:ind w:right="238"/>
              <w:spacing w:after="0"/>
              <w:rPr>
                <w:sz w:val="20"/>
                <w:szCs w:val="20"/>
                <w:color w:val="auto"/>
              </w:rPr>
            </w:pPr>
            <w:r>
              <w:rPr>
                <w:rFonts w:ascii="Times New Roman" w:cs="Times New Roman" w:eastAsia="Times New Roman" w:hAnsi="Times New Roman"/>
                <w:sz w:val="18"/>
                <w:szCs w:val="18"/>
                <w:color w:val="auto"/>
              </w:rPr>
              <w:t>(138)</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1,191</w:t>
            </w:r>
          </w:p>
        </w:tc>
        <w:tc>
          <w:tcPr>
            <w:tcW w:w="140" w:type="dxa"/>
            <w:vAlign w:val="bottom"/>
          </w:tcPr>
          <w:p>
            <w:pPr>
              <w:spacing w:after="0"/>
              <w:rPr>
                <w:sz w:val="18"/>
                <w:szCs w:val="18"/>
                <w:color w:val="auto"/>
              </w:rPr>
            </w:pPr>
          </w:p>
        </w:tc>
        <w:tc>
          <w:tcPr>
            <w:tcW w:w="11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(1,191)</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162"/>
        </w:trPr>
        <w:tc>
          <w:tcPr>
            <w:tcW w:w="2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SG&amp;A expenses</w:t>
            </w:r>
          </w:p>
        </w:tc>
        <w:tc>
          <w:tcPr>
            <w:tcW w:w="30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6,521</w:t>
            </w:r>
          </w:p>
        </w:tc>
        <w:tc>
          <w:tcPr>
            <w:tcW w:w="14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7,080</w:t>
            </w: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238"/>
              <w:spacing w:after="0" w:line="162"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w:t>
            </w:r>
          </w:p>
        </w:tc>
        <w:tc>
          <w:tcPr>
            <w:tcW w:w="14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12,747</w:t>
            </w:r>
          </w:p>
        </w:tc>
        <w:tc>
          <w:tcPr>
            <w:tcW w:w="14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15,728</w:t>
            </w:r>
          </w:p>
        </w:tc>
        <w:tc>
          <w:tcPr>
            <w:tcW w:w="1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w:t>
            </w:r>
          </w:p>
        </w:tc>
        <w:tc>
          <w:tcPr>
            <w:tcW w:w="380" w:type="dxa"/>
            <w:vAlign w:val="bottom"/>
            <w:shd w:val="clear" w:color="auto" w:fill="CCEEFF"/>
          </w:tcPr>
          <w:p>
            <w:pPr>
              <w:jc w:val="right"/>
              <w:ind w:right="241"/>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68"/>
        </w:trPr>
        <w:tc>
          <w:tcPr>
            <w:tcW w:w="2160" w:type="dxa"/>
            <w:vAlign w:val="bottom"/>
            <w:vMerge w:val="continue"/>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92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6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140" w:type="dxa"/>
            <w:vAlign w:val="bottom"/>
            <w:shd w:val="clear" w:color="auto" w:fill="CCEEFF"/>
          </w:tcPr>
          <w:p>
            <w:pPr>
              <w:jc w:val="right"/>
              <w:ind w:right="298"/>
              <w:spacing w:after="0" w:line="68" w:lineRule="exact"/>
              <w:rPr>
                <w:sz w:val="20"/>
                <w:szCs w:val="20"/>
                <w:color w:val="auto"/>
              </w:rPr>
            </w:pPr>
            <w:r>
              <w:rPr>
                <w:rFonts w:ascii="Times New Roman" w:cs="Times New Roman" w:eastAsia="Times New Roman" w:hAnsi="Times New Roman"/>
                <w:sz w:val="7"/>
                <w:szCs w:val="7"/>
                <w:color w:val="auto"/>
              </w:rPr>
              <w:t>(559</w:t>
            </w:r>
          </w:p>
        </w:tc>
        <w:tc>
          <w:tcPr>
            <w:tcW w:w="100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8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6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60" w:type="dxa"/>
            <w:vAlign w:val="bottom"/>
            <w:vMerge w:val="continue"/>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880" w:type="dxa"/>
            <w:vAlign w:val="bottom"/>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16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Net expenses</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(6,521)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(6,942)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298"/>
              <w:spacing w:after="0"/>
              <w:rPr>
                <w:sz w:val="20"/>
                <w:szCs w:val="20"/>
                <w:color w:val="auto"/>
              </w:rPr>
            </w:pPr>
            <w:r>
              <w:rPr>
                <w:rFonts w:ascii="Times New Roman" w:cs="Times New Roman" w:eastAsia="Times New Roman" w:hAnsi="Times New Roman"/>
                <w:sz w:val="18"/>
                <w:szCs w:val="18"/>
                <w:color w:val="auto"/>
              </w:rPr>
              <w:t>421</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(12,747)</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(14,537)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380" w:type="dxa"/>
            <w:vAlign w:val="bottom"/>
          </w:tcPr>
          <w:p>
            <w:pPr>
              <w:spacing w:after="0"/>
              <w:rPr>
                <w:sz w:val="21"/>
                <w:szCs w:val="21"/>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*26 weeks for fiscal 2025 as compared with 27 weeks for fiscal 2024.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Analysis of Results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Corporate and Other</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Sales and gross profit declined from the prior year period due to the closure and liquidation of Noa Home during fiscal 2024. The $559 and $2,981 decrease in SG&amp;A expenses for the three and six months ended May 31, 2025, respectively, was primarily due to closure of Noa Home and decreased corporate overhead spending from better expense management, including the benefit of cost reductions implemented during the second half of fiscal 2024, partially offset by increased incentive compensation.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9" w:name="page30"/>
    <w:bookmarkEnd w:id="29"/>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MAY 31, 2025</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Items Affecting Net Income (Loss)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Interest income for the three and six months ended May 31, 2025 was $521 and $1,080, respectively, compared to $627 and $1,383, respectively, for the three and six months ended June 1, 2024. The decline from the prior year period is primarily due to lower balances of interest-bearing cash and cash equivalents, as well as lower average rates earned on our cash and cash equivalents and investments in CDs compared to the preceding year.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Loss, Net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loss, net, for the three and six months ended May 31, 2025 was $422 and $881, respectively, compared to $276 and $380, respectively, for the three and six months ended June 1, 2024. The net change from the prior year period was primarily due to higher costs associated with Company-owned life insurance.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calculate an anticipated effective tax rate for the year based on our annual estimates of pretax income or loss and use that effective tax rate to record our year-to-date income tax provision. Any change in annual projections of pretax income or loss could have a significant impact on our effective tax rate for the respective quarter.</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effective tax rate was 26.1% and 26.8% for the three and six months ended May 31, 2025, respectively. The effective rates for the three and six months ended May 31, 2025 differ from the federal statutory rate of 21% primarily due to the effects of state income taxes and various permanent differences.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effective tax rate was 11.2% and 14.5% for the three and six months ended June 1, 2024, respectively. The effective rates for the three and six months ended June 1, 2024 differ from the federal statutory rate of 21% primarily due to increases in the valuation allowance placed on deferred tax assets associated with Noa Home, the effects of state income taxes and various permanent differences.</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Cash Flows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provided by operating activities for the first half of fiscal 2025 was $6,903 compared to cash used in operations of $1,919 for the first half of fiscal 2024, representing an improvement of $8,822 in cash flows from operations. This increase was primarily the result of improved operating income and changes in working capital due to the timing impact of expenditures as a result of an additional week in the first half of 2024.</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overall cash position declined $118 during the first half of 2025. During the first half of fiscal 2025, we spent $2,275 on purchases of property and equipment. We also paid $3,476 in dividends during the first half of 2025. We repurchased $1,158 of shares under our stock repurchase program during the first half of 2025 compared to repurchases of only $489 in the prior year period. We expect capital expenditures for the full year to range from $7 million to $9 million. As of May 31, 2025, $19,245 remains available for future purchases under our stock repurchase plan. With cash and cash equivalents and short-term investments totaling $59,818 on hand at May 31, 2025, expected future operating cash flows and the availability under our credit line noted below, we believe we have sufficient liquidity to fund operations for the foreseeable future.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Debt and Other Obligations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15, 2024, we entered into the Credit Facility with our bank. This Credit Facility provides for a line of credit of up to $25,000. At May 31, 2025, we had $8,182 outstanding under standby letters of credit against our line. The line bears interest at the One-Month Term Secured Overnight Financing Rate (“One-Month Term SOFR”) plus 1.75% and is secured by our accounts receivable and inventory. Our bank charges a fee of 0.25% on the daily unused balance of the line, payable quarterly. Under the terms of the Credit Facility, Consolidated Minimum Tangible Net Worth shall at no time be less than $120,000. In addition, we must maintain the following financial covenants, measured quarterly on a rolling twelve-month basis and commencing as of the end of the first fiscal quarter after the first date that the used commitment (the sum of any outstanding advances plus standby letters of credit) equals or exceeds $8,250:</w:t>
      </w:r>
    </w:p>
    <w:p>
      <w:pPr>
        <w:spacing w:after="0" w:line="189" w:lineRule="exact"/>
        <w:rPr>
          <w:sz w:val="20"/>
          <w:szCs w:val="20"/>
          <w:color w:val="auto"/>
        </w:rPr>
      </w:pPr>
    </w:p>
    <w:p>
      <w:pPr>
        <w:jc w:val="right"/>
        <w:ind w:left="5320" w:right="5300" w:hanging="4988"/>
        <w:spacing w:after="0" w:line="611" w:lineRule="auto"/>
        <w:tabs>
          <w:tab w:leader="none" w:pos="652"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Consolidated Fixed Charge Coverage Ratio of not less than 1.2 times and 30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0" w:name="page31"/>
    <w:bookmarkEnd w:id="30"/>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MAY 31, 2025</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7"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Lease Adjusted Leverage to EBITDAR Ratio not to exceed 3.35 times.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our used commitment was less than $8,250 at May 31, 2025, we were not required to test the Consolidated Fixed Charge Coverage Ratio or the Consolidated Lease Adjusted Leverage to EBITDAR Ratio. However, had we been required to test those ratios, we would have been in full compliance. Our availability under the Credit Facility is currently $16,818.</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lease land and buildings that are used in the operation of our Company-owned retail stores as well as in the operation of one of our licensee-owned stores, and we lease land and buildings used in our wholesale manufacturing operations. We also lease certain personal property such as lift trucks, office equipment and local delivery trucks. The present value of our obligations for leases with terms in excess of one year at May 31, 2025 is $98,405 and is included in our accompanying condensed consolidated balance sheet at May 31, 2025. We were contingently liable under licensee lease obligation guarantees in the amount of $4,639 at May 31, 2025. The remaining terms under these lease guarantees extend for six years. See Note 10 to our condensed consolidated financial statements for additional details regarding our lease guarantees.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Investment in Retail Real Estate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 substantial investment in real estate acquired for use as retail locations and occupied by Company-owned retail stores. Such real estate is included in property and equipment, net, in the accompanying condensed consolidated balance sheets and consists of eight properties with an aggregate square footage of 203,465 and a net book value of $23,848 at May 31, 2025.</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from the information provided in Item 7, “Management’s Discussion and Analysis of Financial Condition and Results of Operations”, included in our Annual Report on Form 10-K for the fiscal year ended November 30,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utilize stand-by letters of credit in the procurement of certain goods in the normal course of business. In addition, we have guaranteed certain lease obligations of licensee operators for some of their store locations. See Note 10 to our condensed consolidated financial statements for further discussion of lease guarantees, including descriptions of the terms of such commitments and methods used to mitigate risks associated with these arrangements.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involved in various legal and environmental matters which arise in the normal course of business. Although the final outcome of these matters cannot be determined, based on the facts presently known, it is our opinion that the final resolution of these matters will not have a material adverse effect on our financial position or future results of operations. See Note 10 to our condensed consolidated financial statements for further information regarding certain contingencies as of May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 about Market Risk: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exposed to market risk from changes in the value of foreign currencies. Substantially all of our imports purchased outside of North America are denominated in U.S. dollars. Therefore, we believe that gains or losses resulting from changes in the value of foreign currencies relating to foreign purchases not denominated in U.S. dollars would not be material to our results from operations in fiscal 2025.</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exposed to market risk from changes in the cost and availability of raw materials used in our manufacturing processes, principally wood, woven fabric, and foam products. The cost of foam products, which are petroleum-based, is sensitive to changes in the price of oil.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1" w:name="page32"/>
    <w:bookmarkEnd w:id="31"/>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MAY 31, 2025</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also exposed to commodity price risk related to diesel fuel prices for fuel used in our retail segment for home delivery as well as through amounts we are charged for logistical services by our service providers. We manage our exposure to that risk primarily through the application of fuel surcharges to our customers.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potential exposure to market risk related to conditions in the commercial real estate market. Our retail real estate holdings of $23,848 at May 31, 2025 for Company-owned stores could suffer significant impairment in value if we are forced to close additional stores and sell or lease the related properties during periods of weakness in certain markets. Additionally, if we are required to assume responsibility for payment under the lease obligations of $4,639 which we have guaranteed on behalf of certain licensees as of May 31, 2025 we may not be able to secure sufficient sub-lease income in the current market to offset the payments required under the guarantees. We are also exposed to risk related to conditions in the commercial real estate rental market with respect to the right-of-use assets we carry on our balance sheet for leased retail store locations, manufacturing and warehouse facilities. At May 31, 2025, the unamortized balance of such right-of-use assets used in continuing operations totaled $84,809. Should we have to close or otherwise abandon one of these leased locations, we could incur additional impairment charges if rental market conditions do not support a fair value for the right of use asset in excess of its carrying value.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principal executive officer and principal financial officer have evaluated the Company’s disclosure controls and procedures (as defined in Exchange Act Rule 13a-15(e)) as of the end of the period covered by this Quarterly Report on Form 10-Q. Based upon their evaluation, the principal executive officer and principal financial officer concluded that the Company’s disclosure controls and procedures are effective. There has been no change in the Company’s internal control over financial reporting during the Company’s most recent fiscal quarter that has materially affected, or is reasonably likely to materially affect, the Company’s internal control over financial reporting.</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u w:val="single" w:color="auto"/>
          <w:color w:val="auto"/>
        </w:rPr>
        <w:t>PART II - OTHER INFORMATION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MAY 31,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Use of Proceeds and Issuer Purchases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stock repurchase activity by or on behalf of the Company or any “affiliated purchaser,” as defined by Rule 10b-18(a)</w:t>
      </w:r>
    </w:p>
    <w:p>
      <w:pPr>
        <w:spacing w:after="0" w:line="27" w:lineRule="exact"/>
        <w:rPr>
          <w:sz w:val="20"/>
          <w:szCs w:val="20"/>
          <w:color w:val="auto"/>
        </w:rPr>
      </w:pPr>
    </w:p>
    <w:p>
      <w:pPr>
        <w:ind w:firstLine="8"/>
        <w:spacing w:after="0" w:line="260" w:lineRule="auto"/>
        <w:tabs>
          <w:tab w:leader="none" w:pos="26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Exchange Act, for the three months ended May 31, 2025 and the approximate dollar value of shares that may yet be purchased pursuant to our stock repurchase program:</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Number of Shares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Purchased as Part of</w:t>
            </w:r>
          </w:p>
        </w:tc>
        <w:tc>
          <w:tcPr>
            <w:tcW w:w="220" w:type="dxa"/>
            <w:vAlign w:val="bottom"/>
          </w:tcPr>
          <w:p>
            <w:pPr>
              <w:spacing w:after="0"/>
              <w:rPr>
                <w:sz w:val="18"/>
                <w:szCs w:val="18"/>
                <w:color w:val="auto"/>
              </w:rPr>
            </w:pPr>
          </w:p>
        </w:tc>
        <w:tc>
          <w:tcPr>
            <w:tcW w:w="2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Approximate Dollar Value</w:t>
            </w:r>
          </w:p>
        </w:tc>
      </w:tr>
      <w:tr>
        <w:trPr>
          <w:trHeight w:val="216"/>
        </w:trPr>
        <w:tc>
          <w:tcPr>
            <w:tcW w:w="408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Publicly Announced</w:t>
            </w:r>
          </w:p>
        </w:tc>
        <w:tc>
          <w:tcPr>
            <w:tcW w:w="220" w:type="dxa"/>
            <w:vAlign w:val="bottom"/>
          </w:tcPr>
          <w:p>
            <w:pPr>
              <w:spacing w:after="0"/>
              <w:rPr>
                <w:sz w:val="18"/>
                <w:szCs w:val="18"/>
                <w:color w:val="auto"/>
              </w:rPr>
            </w:pPr>
          </w:p>
        </w:tc>
        <w:tc>
          <w:tcPr>
            <w:tcW w:w="2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of Shares that May Yet Be</w:t>
            </w:r>
          </w:p>
        </w:tc>
      </w:tr>
      <w:tr>
        <w:trPr>
          <w:trHeight w:val="216"/>
        </w:trPr>
        <w:tc>
          <w:tcPr>
            <w:tcW w:w="408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Plans</w:t>
            </w:r>
          </w:p>
        </w:tc>
        <w:tc>
          <w:tcPr>
            <w:tcW w:w="220" w:type="dxa"/>
            <w:vAlign w:val="bottom"/>
          </w:tcPr>
          <w:p>
            <w:pPr>
              <w:spacing w:after="0"/>
              <w:rPr>
                <w:sz w:val="18"/>
                <w:szCs w:val="18"/>
                <w:color w:val="auto"/>
              </w:rPr>
            </w:pPr>
          </w:p>
        </w:tc>
        <w:tc>
          <w:tcPr>
            <w:tcW w:w="2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Purchased Under the Plans</w:t>
            </w:r>
          </w:p>
        </w:tc>
      </w:tr>
      <w:tr>
        <w:trPr>
          <w:trHeight w:val="238"/>
        </w:trPr>
        <w:tc>
          <w:tcPr>
            <w:tcW w:w="4080" w:type="dxa"/>
            <w:vAlign w:val="bottom"/>
          </w:tcPr>
          <w:p>
            <w:pPr>
              <w:spacing w:after="0"/>
              <w:rPr>
                <w:sz w:val="20"/>
                <w:szCs w:val="20"/>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Price Paid</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or Programs (1)</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or Programs (1)</w:t>
            </w:r>
          </w:p>
        </w:tc>
      </w:tr>
      <w:tr>
        <w:trPr>
          <w:trHeight w:val="210"/>
        </w:trPr>
        <w:tc>
          <w:tcPr>
            <w:tcW w:w="40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2, 2025 - April 5, 2025</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23,155</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15.79</w:t>
            </w:r>
          </w:p>
        </w:tc>
        <w:tc>
          <w:tcPr>
            <w:tcW w:w="20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23,155</w:t>
            </w:r>
          </w:p>
        </w:tc>
        <w:tc>
          <w:tcPr>
            <w:tcW w:w="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19,316</w:t>
            </w: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April 6, 2025 - May 3, 2025</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4,000</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15.44</w:t>
            </w:r>
          </w:p>
        </w:tc>
        <w:tc>
          <w:tcPr>
            <w:tcW w:w="20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4,000</w:t>
            </w:r>
          </w:p>
        </w:tc>
        <w:tc>
          <w:tcPr>
            <w:tcW w:w="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19,255</w:t>
            </w: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4, 2025 - May 31, 2025</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582</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16.28</w:t>
            </w:r>
          </w:p>
        </w:tc>
        <w:tc>
          <w:tcPr>
            <w:tcW w:w="20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582</w:t>
            </w:r>
          </w:p>
        </w:tc>
        <w:tc>
          <w:tcPr>
            <w:tcW w:w="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19,245</w:t>
            </w:r>
          </w:p>
        </w:tc>
      </w:tr>
    </w:tbl>
    <w:p>
      <w:pPr>
        <w:spacing w:after="0" w:line="198" w:lineRule="exact"/>
        <w:rPr>
          <w:sz w:val="20"/>
          <w:szCs w:val="20"/>
          <w:color w:val="auto"/>
        </w:rPr>
      </w:pPr>
    </w:p>
    <w:p>
      <w:pPr>
        <w:jc w:val="both"/>
        <w:ind w:left="340" w:hanging="332"/>
        <w:spacing w:after="0" w:line="266"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authorized to repurchase Company stock under a plan which was originally announced in 1998. On March 9, 2022, the Board of Directors increased the remaining limit of the repurchase plan to $40,000. At May 31, 2025, $19,245 remained available for share repurchases under the plan.</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ind w:left="340" w:hanging="332"/>
        <w:spacing w:after="0" w:line="266"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fiscal quarter ended May 31, 2025, none of our directors or officers (as defined in Rule 16a-1(f) of the Securities Exchange Act of 1934, as amended) adopted or terminated a Rule 10b5-1 trading arrangement or a non-Rule 10b5-1 trading arrangement (in each case, as defined in Item 408(a) of Regulation S-K) for the purchase or sale of the Company’s securities.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5" w:lineRule="exact"/>
        <w:rPr>
          <w:rFonts w:ascii="Times New Roman" w:cs="Times New Roman" w:eastAsia="Times New Roman" w:hAnsi="Times New Roman"/>
          <w:sz w:val="18"/>
          <w:szCs w:val="18"/>
          <w:color w:val="auto"/>
        </w:rPr>
      </w:pPr>
    </w:p>
    <w:p>
      <w:pPr>
        <w:ind w:left="3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3a – Articles of Incorporation as amended to date are incorporated herein by reference to the Exhibit to Form 10-Q for the fiscal quarter ended February 28, 1994.</w:t>
      </w:r>
    </w:p>
    <w:p>
      <w:pPr>
        <w:spacing w:after="0" w:line="161"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Exhibit 3b – </w:t>
      </w:r>
      <w:hyperlink r:id="rId43">
        <w:r>
          <w:rPr>
            <w:rFonts w:ascii="Times New Roman" w:cs="Times New Roman" w:eastAsia="Times New Roman" w:hAnsi="Times New Roman"/>
            <w:sz w:val="18"/>
            <w:szCs w:val="18"/>
            <w:u w:val="single" w:color="auto"/>
            <w:color w:val="0000EE"/>
          </w:rPr>
          <w:t>By-laws as amended to date are incorporated herein by reference to Exhibit 3.1 to Form 8-K filed with the SEC on January 16, 2024.</w:t>
        </w:r>
      </w:hyperlink>
    </w:p>
    <w:p>
      <w:pPr>
        <w:spacing w:after="0" w:line="225" w:lineRule="exact"/>
        <w:rPr>
          <w:sz w:val="20"/>
          <w:szCs w:val="20"/>
          <w:color w:val="auto"/>
        </w:rPr>
      </w:pPr>
    </w:p>
    <w:p>
      <w:pPr>
        <w:jc w:val="both"/>
        <w:ind w:left="340"/>
        <w:spacing w:after="0" w:line="266" w:lineRule="auto"/>
        <w:rPr>
          <w:rFonts w:ascii="Times New Roman" w:cs="Times New Roman" w:eastAsia="Times New Roman" w:hAnsi="Times New Roman"/>
          <w:sz w:val="18"/>
          <w:szCs w:val="18"/>
          <w:u w:val="single" w:color="auto"/>
          <w:color w:val="0000EE"/>
        </w:rPr>
      </w:pPr>
      <w:hyperlink r:id="rId44">
        <w:r>
          <w:rPr>
            <w:rFonts w:ascii="Times New Roman" w:cs="Times New Roman" w:eastAsia="Times New Roman" w:hAnsi="Times New Roman"/>
            <w:sz w:val="18"/>
            <w:szCs w:val="18"/>
            <w:color w:val="auto"/>
          </w:rPr>
          <w:t xml:space="preserve">Exhibit 10 – </w:t>
        </w:r>
        <w:r>
          <w:rPr>
            <w:rFonts w:ascii="Times New Roman" w:cs="Times New Roman" w:eastAsia="Times New Roman" w:hAnsi="Times New Roman"/>
            <w:sz w:val="18"/>
            <w:szCs w:val="18"/>
            <w:u w:val="single" w:color="auto"/>
            <w:color w:val="0000EE"/>
          </w:rPr>
          <w:t>Eighth Amended and Restated Credit Agreement with Truist Bank dated May 15, 2024 is incorporated herein by reference to Exhibit 10</w:t>
        </w:r>
      </w:hyperlink>
      <w:r>
        <w:rPr>
          <w:rFonts w:ascii="Times New Roman" w:cs="Times New Roman" w:eastAsia="Times New Roman" w:hAnsi="Times New Roman"/>
          <w:sz w:val="18"/>
          <w:szCs w:val="18"/>
          <w:color w:val="auto"/>
        </w:rPr>
        <w:t xml:space="preserve"> </w:t>
      </w:r>
      <w:hyperlink r:id="rId44">
        <w:r>
          <w:rPr>
            <w:rFonts w:ascii="Times New Roman" w:cs="Times New Roman" w:eastAsia="Times New Roman" w:hAnsi="Times New Roman"/>
            <w:sz w:val="18"/>
            <w:szCs w:val="18"/>
            <w:u w:val="single" w:color="auto"/>
            <w:color w:val="0000EE"/>
          </w:rPr>
          <w:t>to Form 10-Q filed with the SEC on July 11, 2024. Registrant hereby agrees to furnish the SEC, upon request, other instruments defining the rights of</w:t>
        </w:r>
      </w:hyperlink>
      <w:r>
        <w:rPr>
          <w:rFonts w:ascii="Times New Roman" w:cs="Times New Roman" w:eastAsia="Times New Roman" w:hAnsi="Times New Roman"/>
          <w:sz w:val="18"/>
          <w:szCs w:val="18"/>
          <w:u w:val="single" w:color="auto"/>
          <w:color w:val="0000EE"/>
        </w:rPr>
        <w:t xml:space="preserve"> </w:t>
      </w:r>
      <w:hyperlink r:id="rId44">
        <w:r>
          <w:rPr>
            <w:rFonts w:ascii="Times New Roman" w:cs="Times New Roman" w:eastAsia="Times New Roman" w:hAnsi="Times New Roman"/>
            <w:sz w:val="18"/>
            <w:szCs w:val="18"/>
            <w:u w:val="single" w:color="auto"/>
            <w:color w:val="0000EE"/>
          </w:rPr>
          <w:t>holders of long-term debt of the Registrant.</w:t>
        </w:r>
      </w:hyperlink>
    </w:p>
    <w:p>
      <w:pPr>
        <w:spacing w:after="0" w:line="176" w:lineRule="exact"/>
        <w:rPr>
          <w:rFonts w:ascii="Times New Roman" w:cs="Times New Roman" w:eastAsia="Times New Roman" w:hAnsi="Times New Roman"/>
          <w:sz w:val="18"/>
          <w:szCs w:val="18"/>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Exhibit 31a – </w:t>
      </w:r>
      <w:r>
        <w:rPr>
          <w:rFonts w:ascii="Times New Roman" w:cs="Times New Roman" w:eastAsia="Times New Roman" w:hAnsi="Times New Roman"/>
          <w:sz w:val="18"/>
          <w:szCs w:val="18"/>
          <w:u w:val="single" w:color="auto"/>
          <w:color w:val="0000EE"/>
        </w:rPr>
        <w:t>Chief Executive Officer’s certification pursuant to Section 302 of the Sarbanes-Oxley Act of 2002</w:t>
      </w:r>
    </w:p>
    <w:p>
      <w:pPr>
        <w:spacing w:after="0" w:line="225"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33 of 35</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3" w:name="page34"/>
    <w:bookmarkEnd w:id="33"/>
    <w:p>
      <w:pPr>
        <w:jc w:val="center"/>
        <w:ind w:right="320"/>
        <w:spacing w:after="0"/>
        <w:rPr>
          <w:sz w:val="20"/>
          <w:szCs w:val="20"/>
          <w:color w:val="auto"/>
        </w:rPr>
      </w:pPr>
      <w:r>
        <w:rPr>
          <w:rFonts w:ascii="Times New Roman" w:cs="Times New Roman" w:eastAsia="Times New Roman" w:hAnsi="Times New Roman"/>
          <w:sz w:val="18"/>
          <w:szCs w:val="18"/>
          <w:u w:val="single" w:color="auto"/>
          <w:color w:val="auto"/>
        </w:rPr>
        <w:t>PART II - OTHER INFORMATION</w:t>
      </w:r>
    </w:p>
    <w:p>
      <w:pPr>
        <w:spacing w:after="0" w:line="2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u w:val="single" w:color="auto"/>
          <w:color w:val="auto"/>
        </w:rPr>
        <w:t>MAY 31, 2025</w:t>
      </w:r>
    </w:p>
    <w:p>
      <w:pPr>
        <w:spacing w:after="0" w:line="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(Dollars in thousands except share and per share data)</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Exhibit 31b – </w:t>
      </w:r>
      <w:r>
        <w:rPr>
          <w:rFonts w:ascii="Times New Roman" w:cs="Times New Roman" w:eastAsia="Times New Roman" w:hAnsi="Times New Roman"/>
          <w:sz w:val="18"/>
          <w:szCs w:val="18"/>
          <w:u w:val="single" w:color="auto"/>
          <w:color w:val="0000EE"/>
        </w:rPr>
        <w:t>Chief Financial Officer’s certification pursuant to Section 302 of the Sarbanes-Oxley Act of 2002</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 xml:space="preserve">Exhibit 32a – </w:t>
      </w:r>
      <w:r>
        <w:rPr>
          <w:rFonts w:ascii="Times New Roman" w:cs="Times New Roman" w:eastAsia="Times New Roman" w:hAnsi="Times New Roman"/>
          <w:sz w:val="18"/>
          <w:szCs w:val="18"/>
          <w:u w:val="single" w:color="auto"/>
          <w:color w:val="0000EE"/>
        </w:rPr>
        <w:t>Chief Executive Officer’s certification pursuant to 18 U.S.C. 1350, as adopted pursuant to Section 906 of the Sarbanes-Oxley Act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2002</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Exhibit 32b – </w:t>
      </w:r>
      <w:r>
        <w:rPr>
          <w:rFonts w:ascii="Times New Roman" w:cs="Times New Roman" w:eastAsia="Times New Roman" w:hAnsi="Times New Roman"/>
          <w:sz w:val="18"/>
          <w:szCs w:val="18"/>
          <w:u w:val="single" w:color="auto"/>
          <w:color w:val="0000EE"/>
        </w:rPr>
        <w:t>Chief Financial Officer’s certification pursuant to 18 U.S.C. 1350, as adopted pursuant to Section 906 of the Sarbanes-Oxley Act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2002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101.INS Inline XBRL Instance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101.SCH Inline XBRL Taxonomy Extension Schema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101.CAL Inline XBRL Taxonomy Extension Calculation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101.DEF Inline XBRL Taxonomy Extension Definition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101.LAB Inline XBRL Taxonomy Extension Labels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101.PRE Inline XBRL Taxonomy Extension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104. Cover Page Interactive Data File (formatted as Inline XBRL and contained in Exhibit 101).</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34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240030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364" w:right="339" w:bottom="1440" w:gutter="0" w:footer="0" w:header="0"/>
        </w:sectPr>
      </w:pPr>
    </w:p>
    <w:bookmarkStart w:id="34" w:name="page35"/>
    <w:bookmarkEnd w:id="34"/>
    <w:p>
      <w:pPr>
        <w:ind w:left="5080"/>
        <w:spacing w:after="0"/>
        <w:rPr>
          <w:sz w:val="20"/>
          <w:szCs w:val="20"/>
          <w:color w:val="auto"/>
        </w:rPr>
      </w:pPr>
      <w:r>
        <w:rPr>
          <w:rFonts w:ascii="Times New Roman" w:cs="Times New Roman" w:eastAsia="Times New Roman" w:hAnsi="Times New Roman"/>
          <w:sz w:val="18"/>
          <w:szCs w:val="18"/>
          <w:u w:val="single" w:color="auto"/>
          <w:color w:val="auto"/>
        </w:rPr>
        <w:t>SIGNATURES</w:t>
      </w:r>
    </w:p>
    <w:p>
      <w:pPr>
        <w:spacing w:after="0" w:line="200" w:lineRule="exact"/>
        <w:rPr>
          <w:sz w:val="20"/>
          <w:szCs w:val="20"/>
          <w:color w:val="auto"/>
        </w:rPr>
      </w:pPr>
    </w:p>
    <w:p>
      <w:pPr>
        <w:spacing w:after="0" w:line="24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BASSETT FURNITURE INDUSTRIES, INCORPORATED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8"/>
          <w:szCs w:val="18"/>
          <w:color w:val="auto"/>
        </w:rPr>
        <w:t>R</w:t>
      </w:r>
      <w:r>
        <w:rPr>
          <w:rFonts w:ascii="Times New Roman" w:cs="Times New Roman" w:eastAsia="Times New Roman" w:hAnsi="Times New Roman"/>
          <w:sz w:val="12"/>
          <w:szCs w:val="12"/>
          <w:color w:val="auto"/>
        </w:rPr>
        <w:t>obert</w:t>
      </w:r>
      <w:r>
        <w:rPr>
          <w:rFonts w:ascii="Times New Roman" w:cs="Times New Roman" w:eastAsia="Times New Roman" w:hAnsi="Times New Roman"/>
          <w:sz w:val="18"/>
          <w:szCs w:val="18"/>
          <w:color w:val="auto"/>
        </w:rPr>
        <w:t xml:space="preserve"> H. S</w:t>
      </w:r>
      <w:r>
        <w:rPr>
          <w:rFonts w:ascii="Times New Roman" w:cs="Times New Roman" w:eastAsia="Times New Roman" w:hAnsi="Times New Roman"/>
          <w:sz w:val="12"/>
          <w:szCs w:val="12"/>
          <w:color w:val="auto"/>
        </w:rPr>
        <w:t>pilman</w:t>
      </w:r>
      <w:r>
        <w:rPr>
          <w:rFonts w:ascii="Times New Roman" w:cs="Times New Roman" w:eastAsia="Times New Roman" w:hAnsi="Times New Roman"/>
          <w:sz w:val="18"/>
          <w:szCs w:val="18"/>
          <w:color w:val="auto"/>
        </w:rPr>
        <w:t>, J</w:t>
      </w:r>
      <w:r>
        <w:rPr>
          <w:rFonts w:ascii="Times New Roman" w:cs="Times New Roman" w:eastAsia="Times New Roman" w:hAnsi="Times New Roman"/>
          <w:sz w:val="12"/>
          <w:szCs w:val="12"/>
          <w:color w:val="auto"/>
        </w:rPr>
        <w:t>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168021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168021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H. Spilman, Jr., Chairman and Chief Executive Officer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8"/>
          <w:szCs w:val="18"/>
          <w:color w:val="auto"/>
        </w:rPr>
        <w:t>J. M</w:t>
      </w:r>
      <w:r>
        <w:rPr>
          <w:rFonts w:ascii="Times New Roman" w:cs="Times New Roman" w:eastAsia="Times New Roman" w:hAnsi="Times New Roman"/>
          <w:sz w:val="12"/>
          <w:szCs w:val="12"/>
          <w:color w:val="auto"/>
        </w:rPr>
        <w:t>ichael</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aniel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17145</wp:posOffset>
            </wp:positionV>
            <wp:extent cx="165417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165417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 Michael Daniel, Senior Vice President and Chief Financial Officer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10, 2025</w:t>
      </w:r>
    </w:p>
    <w:p>
      <w:pPr>
        <w:spacing w:after="0" w:line="20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35 of 35</w:t>
      </w:r>
    </w:p>
    <w:p>
      <w:pPr>
        <w:sectPr>
          <w:pgSz w:w="11900" w:h="16838" w:orient="portrait"/>
          <w:cols w:equalWidth="0" w:num="1">
            <w:col w:w="10400"/>
          </w:cols>
          <w:pgMar w:left="320" w:top="580" w:right="117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color w:val="auto"/>
        </w:rPr>
        <w:t>Exhibit 31a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H. Spilman, Jr., certify that:</w:t>
      </w:r>
    </w:p>
    <w:p>
      <w:pPr>
        <w:spacing w:after="0" w:line="225" w:lineRule="exact"/>
        <w:rPr>
          <w:sz w:val="20"/>
          <w:szCs w:val="20"/>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Bassett Furniture Industries, Incorporated;</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10, 2025</w:t>
      </w:r>
    </w:p>
    <w:p>
      <w:pPr>
        <w:spacing w:after="0" w:line="200" w:lineRule="exact"/>
        <w:rPr>
          <w:sz w:val="20"/>
          <w:szCs w:val="20"/>
          <w:color w:val="auto"/>
        </w:rPr>
      </w:pPr>
    </w:p>
    <w:p>
      <w:pPr>
        <w:spacing w:after="0" w:line="24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8"/>
          <w:szCs w:val="18"/>
          <w:color w:val="auto"/>
        </w:rPr>
        <w:t>R</w:t>
      </w:r>
      <w:r>
        <w:rPr>
          <w:rFonts w:ascii="Times New Roman" w:cs="Times New Roman" w:eastAsia="Times New Roman" w:hAnsi="Times New Roman"/>
          <w:sz w:val="12"/>
          <w:szCs w:val="12"/>
          <w:color w:val="auto"/>
        </w:rPr>
        <w:t>obert</w:t>
      </w:r>
      <w:r>
        <w:rPr>
          <w:rFonts w:ascii="Times New Roman" w:cs="Times New Roman" w:eastAsia="Times New Roman" w:hAnsi="Times New Roman"/>
          <w:sz w:val="18"/>
          <w:szCs w:val="18"/>
          <w:color w:val="auto"/>
        </w:rPr>
        <w:t xml:space="preserve"> H. S</w:t>
      </w:r>
      <w:r>
        <w:rPr>
          <w:rFonts w:ascii="Times New Roman" w:cs="Times New Roman" w:eastAsia="Times New Roman" w:hAnsi="Times New Roman"/>
          <w:sz w:val="12"/>
          <w:szCs w:val="12"/>
          <w:color w:val="auto"/>
        </w:rPr>
        <w:t>pilman</w:t>
      </w:r>
      <w:r>
        <w:rPr>
          <w:rFonts w:ascii="Times New Roman" w:cs="Times New Roman" w:eastAsia="Times New Roman" w:hAnsi="Times New Roman"/>
          <w:sz w:val="18"/>
          <w:szCs w:val="18"/>
          <w:color w:val="auto"/>
        </w:rPr>
        <w:t>, J</w:t>
      </w:r>
      <w:r>
        <w:rPr>
          <w:rFonts w:ascii="Times New Roman" w:cs="Times New Roman" w:eastAsia="Times New Roman" w:hAnsi="Times New Roman"/>
          <w:sz w:val="12"/>
          <w:szCs w:val="12"/>
          <w:color w:val="auto"/>
        </w:rPr>
        <w:t>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168021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168021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H. Spilman, Jr., Chairman and Chief Executive Officer</w:t>
      </w:r>
    </w:p>
    <w:p>
      <w:pPr>
        <w:sectPr>
          <w:pgSz w:w="11900" w:h="16838" w:orient="portrait"/>
          <w:cols w:equalWidth="0" w:num="1">
            <w:col w:w="11240"/>
          </w:cols>
          <w:pgMar w:left="320" w:top="121"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color w:val="auto"/>
        </w:rPr>
        <w:t>Exhibit 31b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 Michael Daniel, certify that:</w:t>
      </w:r>
    </w:p>
    <w:p>
      <w:pPr>
        <w:spacing w:after="0" w:line="225" w:lineRule="exact"/>
        <w:rPr>
          <w:sz w:val="20"/>
          <w:szCs w:val="20"/>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Bassett Furniture Industries, Incorporated;</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10, 2025</w:t>
      </w:r>
    </w:p>
    <w:p>
      <w:pPr>
        <w:spacing w:after="0" w:line="200" w:lineRule="exact"/>
        <w:rPr>
          <w:sz w:val="20"/>
          <w:szCs w:val="20"/>
          <w:color w:val="auto"/>
        </w:rPr>
      </w:pPr>
    </w:p>
    <w:p>
      <w:pPr>
        <w:spacing w:after="0" w:line="241"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8"/>
          <w:szCs w:val="18"/>
          <w:color w:val="auto"/>
        </w:rPr>
        <w:t>J. M</w:t>
      </w:r>
      <w:r>
        <w:rPr>
          <w:rFonts w:ascii="Times New Roman" w:cs="Times New Roman" w:eastAsia="Times New Roman" w:hAnsi="Times New Roman"/>
          <w:sz w:val="12"/>
          <w:szCs w:val="12"/>
          <w:color w:val="auto"/>
        </w:rPr>
        <w:t>ichael</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aniel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17145</wp:posOffset>
            </wp:positionV>
            <wp:extent cx="1671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167132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 Michael Daniel, Senior Vice President and Chief Financial Officer</w:t>
      </w:r>
    </w:p>
    <w:p>
      <w:pPr>
        <w:sectPr>
          <w:pgSz w:w="11900" w:h="16838" w:orient="portrait"/>
          <w:cols w:equalWidth="0" w:num="1">
            <w:col w:w="11240"/>
          </w:cols>
          <w:pgMar w:left="320" w:top="121"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color w:val="auto"/>
        </w:rPr>
        <w:t>Exhibit 32a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SARBANES-OXLEY ACT OF 2002</w:t>
      </w:r>
    </w:p>
    <w:p>
      <w:pPr>
        <w:spacing w:after="0" w:line="200" w:lineRule="exact"/>
        <w:rPr>
          <w:sz w:val="20"/>
          <w:szCs w:val="20"/>
          <w:color w:val="auto"/>
        </w:rPr>
      </w:pPr>
    </w:p>
    <w:p>
      <w:pPr>
        <w:spacing w:after="0" w:line="22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Bassett Furniture Industries, Incorporated (the “Company”) on Form 10-Q for the period ending May 31, 2025, as filed with the Securities and Exchange Commission on the date hereof (the “Report”), I, Robert H. Spilman, Jr., Chief Executive Officer of the Company, certify, pursuant to 18 U.S.C. ss.1350, as adopted pursuant to ss.906 of the Sarbanes-Oxley Act of 2002, that:</w:t>
      </w:r>
    </w:p>
    <w:p>
      <w:pPr>
        <w:spacing w:after="0" w:line="176" w:lineRule="exact"/>
        <w:rPr>
          <w:sz w:val="20"/>
          <w:szCs w:val="20"/>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980" w:right="600" w:hanging="324"/>
        <w:spacing w:after="0" w:line="282"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10, 2025</w:t>
      </w:r>
    </w:p>
    <w:p>
      <w:pPr>
        <w:spacing w:after="0" w:line="200" w:lineRule="exact"/>
        <w:rPr>
          <w:sz w:val="20"/>
          <w:szCs w:val="20"/>
          <w:color w:val="auto"/>
        </w:rPr>
      </w:pPr>
    </w:p>
    <w:p>
      <w:pPr>
        <w:spacing w:after="0" w:line="24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8"/>
          <w:szCs w:val="18"/>
          <w:color w:val="auto"/>
        </w:rPr>
        <w:t>R</w:t>
      </w:r>
      <w:r>
        <w:rPr>
          <w:rFonts w:ascii="Times New Roman" w:cs="Times New Roman" w:eastAsia="Times New Roman" w:hAnsi="Times New Roman"/>
          <w:sz w:val="12"/>
          <w:szCs w:val="12"/>
          <w:color w:val="auto"/>
        </w:rPr>
        <w:t>obert</w:t>
      </w:r>
      <w:r>
        <w:rPr>
          <w:rFonts w:ascii="Times New Roman" w:cs="Times New Roman" w:eastAsia="Times New Roman" w:hAnsi="Times New Roman"/>
          <w:sz w:val="18"/>
          <w:szCs w:val="18"/>
          <w:color w:val="auto"/>
        </w:rPr>
        <w:t xml:space="preserve"> H. S</w:t>
      </w:r>
      <w:r>
        <w:rPr>
          <w:rFonts w:ascii="Times New Roman" w:cs="Times New Roman" w:eastAsia="Times New Roman" w:hAnsi="Times New Roman"/>
          <w:sz w:val="12"/>
          <w:szCs w:val="12"/>
          <w:color w:val="auto"/>
        </w:rPr>
        <w:t>pilman</w:t>
      </w:r>
      <w:r>
        <w:rPr>
          <w:rFonts w:ascii="Times New Roman" w:cs="Times New Roman" w:eastAsia="Times New Roman" w:hAnsi="Times New Roman"/>
          <w:sz w:val="18"/>
          <w:szCs w:val="18"/>
          <w:color w:val="auto"/>
        </w:rPr>
        <w:t>, J</w:t>
      </w:r>
      <w:r>
        <w:rPr>
          <w:rFonts w:ascii="Times New Roman" w:cs="Times New Roman" w:eastAsia="Times New Roman" w:hAnsi="Times New Roman"/>
          <w:sz w:val="12"/>
          <w:szCs w:val="12"/>
          <w:color w:val="auto"/>
        </w:rPr>
        <w:t>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168021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H. Spilman, Jr.,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i w:val="1"/>
          <w:iCs w:val="1"/>
          <w:color w:val="auto"/>
        </w:rPr>
        <w:t>A signed original of this written statement required by Section 906 has been provided to Bassett Furniture Industries, Incorporated and will be retained by Bassett Furniture Industries, Incorporated and furnished to the Securities and Exchange Commission or its staff upon request.</w:t>
      </w:r>
    </w:p>
    <w:p>
      <w:pPr>
        <w:sectPr>
          <w:pgSz w:w="11900" w:h="16838" w:orient="portrait"/>
          <w:cols w:equalWidth="0" w:num="1">
            <w:col w:w="11240"/>
          </w:cols>
          <w:pgMar w:left="320" w:top="121"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color w:val="auto"/>
        </w:rPr>
        <w:t>Exhibit 32b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SARBANES-OXLEY ACT OF 2002</w:t>
      </w:r>
    </w:p>
    <w:p>
      <w:pPr>
        <w:spacing w:after="0" w:line="200" w:lineRule="exact"/>
        <w:rPr>
          <w:sz w:val="20"/>
          <w:szCs w:val="20"/>
          <w:color w:val="auto"/>
        </w:rPr>
      </w:pPr>
    </w:p>
    <w:p>
      <w:pPr>
        <w:spacing w:after="0" w:line="22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Bassett Furniture Industries, Incorporated (the “Company”) on Form 10-Q for the period ending May 31, 2025, as filed with the Securities and Exchange Commission on the date hereof (the “Report”), I, J. Michael Daniel, Chief Financial Officer of the Company, certify, pursuant to 18 U.S.C. ss.1350, as adopted pursuant to ss.906 of the Sarbanes-Oxley Act of 2002, that:</w:t>
      </w:r>
    </w:p>
    <w:p>
      <w:pPr>
        <w:spacing w:after="0" w:line="176"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right="140" w:firstLine="332"/>
        <w:spacing w:after="0" w:line="563" w:lineRule="auto"/>
        <w:tabs>
          <w:tab w:leader="none" w:pos="64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July 10, 2025</w:t>
      </w:r>
    </w:p>
    <w:p>
      <w:pPr>
        <w:spacing w:after="0" w:line="136"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8"/>
          <w:szCs w:val="18"/>
          <w:color w:val="auto"/>
        </w:rPr>
        <w:t>J. M</w:t>
      </w:r>
      <w:r>
        <w:rPr>
          <w:rFonts w:ascii="Times New Roman" w:cs="Times New Roman" w:eastAsia="Times New Roman" w:hAnsi="Times New Roman"/>
          <w:sz w:val="12"/>
          <w:szCs w:val="12"/>
          <w:color w:val="auto"/>
        </w:rPr>
        <w:t>ichael</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aniel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17145</wp:posOffset>
            </wp:positionV>
            <wp:extent cx="1671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167132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 Michael Daniel,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i w:val="1"/>
          <w:iCs w:val="1"/>
          <w:color w:val="auto"/>
        </w:rPr>
        <w:t>A signed original of this written statement required by Section 906 has been provided to Bassett Furniture Industries, Incorporated and will be retained by Bassett Furniture Industries, Incorporated and furnished to the Securities and Exchange Commission or its staff upon request.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1)"/>
      <w:numFmt w:val="decimal"/>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1)"/>
      <w:numFmt w:val="decimal"/>
      <w:start w:val="1"/>
    </w:lvl>
  </w:abstractNum>
  <w:abstractNum w:abstractNumId="12">
    <w:nsid w:val="7C83E458"/>
    <w:multiLevelType w:val="hybridMultilevel"/>
    <w:lvl w:ilvl="0">
      <w:lvlJc w:val="left"/>
      <w:lvlText w:val="(%1)"/>
      <w:numFmt w:val="decimal"/>
      <w:start w:val="1"/>
    </w:lvl>
  </w:abstractNum>
  <w:abstractNum w:abstractNumId="13">
    <w:nsid w:val="257130A3"/>
    <w:multiLevelType w:val="hybridMultilevel"/>
    <w:lvl w:ilvl="0">
      <w:lvlJc w:val="left"/>
      <w:lvlText w:val="(%1)"/>
      <w:numFmt w:val="decimal"/>
      <w:start w:val="1"/>
    </w:lvl>
  </w:abstractNum>
  <w:abstractNum w:abstractNumId="14">
    <w:nsid w:val="62BBD95A"/>
    <w:multiLevelType w:val="hybridMultilevel"/>
    <w:lvl w:ilvl="0">
      <w:lvlJc w:val="left"/>
      <w:lvlText w:val="(%1)"/>
      <w:numFmt w:val="decimal"/>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1)"/>
      <w:numFmt w:val="decimal"/>
      <w:start w:val="3"/>
    </w:lvl>
  </w:abstractNum>
  <w:abstractNum w:abstractNumId="18">
    <w:nsid w:val="721DA317"/>
    <w:multiLevelType w:val="hybridMultilevel"/>
    <w:lvl w:ilvl="0">
      <w:lvlJc w:val="left"/>
      <w:lvlText w:val="(%1)"/>
      <w:numFmt w:val="decimal"/>
      <w:start w:val="1"/>
    </w:lvl>
  </w:abstractNum>
  <w:abstractNum w:abstractNumId="19">
    <w:nsid w:val="2443A858"/>
    <w:multiLevelType w:val="hybridMultilevel"/>
    <w:lvl w:ilvl="0">
      <w:lvlJc w:val="left"/>
      <w:lvlText w:val="(%1)"/>
      <w:numFmt w:val="lowerLetter"/>
      <w:start w:val="3"/>
    </w:lvl>
  </w:abstractNum>
  <w:abstractNum w:abstractNumId="20">
    <w:nsid w:val="2D1D5AE9"/>
    <w:multiLevelType w:val="hybridMultilevel"/>
    <w:lvl w:ilvl="0">
      <w:lvlJc w:val="left"/>
      <w:lvlText w:val="%1."/>
      <w:numFmt w:val="lowerLetter"/>
      <w:start w:val="1"/>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43" Type="http://schemas.openxmlformats.org/officeDocument/2006/relationships/hyperlink" Target="http://www.sec.gov/Archives/edgar/data/10329/000143774924001417/ex_615556.htm" TargetMode="External"/><Relationship Id="rId44" Type="http://schemas.openxmlformats.org/officeDocument/2006/relationships/hyperlink" Target="http://www.sec.gov/Archives/edgar/data/10329/000143774924022523/ex_69561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2025-07-10T07:43:00Z</dcterms:created>
  <dcterms:modified xsi:type="dcterms:W3CDTF">2025-07-10T07:43:00Z</dcterms:modified>
</cp:coreProperties>
</file>