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201930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BASSETT FURNITURE INDUSTRIES, INCORPORATED</w:t>
      </w:r>
    </w:p>
    <w:p>
      <w:pPr>
        <w:spacing w:after="0" w:line="3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216"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180" w:space="720"/>
            <w:col w:w="2400"/>
          </w:cols>
          <w:pgMar w:left="320" w:top="216" w:right="499" w:bottom="1440" w:gutter="0" w:footer="0" w:header="0"/>
          <w:type w:val="continuous"/>
        </w:sectPr>
      </w:pP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760" w:space="720"/>
            <w:col w:w="3600"/>
          </w:cols>
          <w:pgMar w:left="320" w:top="216" w:right="499" w:bottom="1440" w:gutter="0" w:footer="0" w:header="0"/>
          <w:type w:val="continuous"/>
        </w:sectPr>
      </w:pPr>
    </w:p>
    <w:p>
      <w:pPr>
        <w:spacing w:after="0" w:line="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 w:type="dxa"/>
            <w:vAlign w:val="bottom"/>
          </w:tcPr>
          <w:p>
            <w:pPr>
              <w:spacing w:after="0"/>
              <w:rPr>
                <w:sz w:val="20"/>
                <w:szCs w:val="20"/>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30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8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0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16"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9, 2024, Bassett Furniture Industries issued a news release relating to the third quarter financial results for the fiscal year ending November 30, 2024. A copy of the news release announcing this information is attached to this report as Exhibit 99.1.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News release issued by Bassett Furniture Industries, Inc. on October 9, 2024.</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 w:name="page3"/>
    <w:bookmarkEnd w:id="2"/>
    <w:p>
      <w:pPr>
        <w:ind w:left="52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October 9, 2024</w:t>
            </w:r>
          </w:p>
        </w:tc>
        <w:tc>
          <w:tcPr>
            <w:tcW w:w="650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34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9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16"/>
        </w:trPr>
        <w:tc>
          <w:tcPr>
            <w:tcW w:w="3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Vice President – Chief Financial &amp;</w:t>
            </w:r>
          </w:p>
        </w:tc>
      </w:tr>
      <w:tr>
        <w:trPr>
          <w:trHeight w:val="234"/>
        </w:trPr>
        <w:tc>
          <w:tcPr>
            <w:tcW w:w="34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Officer</w:t>
            </w:r>
          </w:p>
        </w:tc>
      </w:tr>
    </w:tbl>
    <w:p>
      <w:pPr>
        <w:sectPr>
          <w:pgSz w:w="11900" w:h="16838" w:orient="portrait"/>
          <w:cols w:equalWidth="0" w:num="1">
            <w:col w:w="10440"/>
          </w:cols>
          <w:pgMar w:left="320" w:top="580" w:right="11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9728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3771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Michael Daniel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mdaniel@bassettfurniture.com</w:t>
      </w:r>
    </w:p>
    <w:p>
      <w:pPr>
        <w:spacing w:after="0" w:line="200" w:lineRule="exact"/>
        <w:rPr>
          <w:sz w:val="20"/>
          <w:szCs w:val="20"/>
          <w:color w:val="auto"/>
        </w:rPr>
      </w:pPr>
    </w:p>
    <w:p>
      <w:pPr>
        <w:sectPr>
          <w:pgSz w:w="11900" w:h="16838" w:orient="portrait"/>
          <w:cols w:equalWidth="0" w:num="2">
            <w:col w:w="6600" w:space="720"/>
            <w:col w:w="3920"/>
          </w:cols>
          <w:pgMar w:left="320" w:top="360" w:right="339" w:bottom="1440" w:gutter="0" w:footer="0" w:header="0"/>
          <w:type w:val="continuous"/>
        </w:sectPr>
      </w:pPr>
    </w:p>
    <w:p>
      <w:pPr>
        <w:spacing w:after="0" w:line="1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Peter D. Morrison</w:t>
      </w:r>
    </w:p>
    <w:p>
      <w:pPr>
        <w:spacing w:after="0" w:line="3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Vice President of Communications</w:t>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(276) 629-6450 – Media</w:t>
      </w:r>
    </w:p>
    <w:p>
      <w:pPr>
        <w:sectPr>
          <w:pgSz w:w="11900" w:h="16838" w:orient="portrait"/>
          <w:cols w:equalWidth="0" w:num="1">
            <w:col w:w="11240"/>
          </w:cols>
          <w:pgMar w:left="320" w:top="360"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12" w:lineRule="exact"/>
        <w:rPr>
          <w:sz w:val="20"/>
          <w:szCs w:val="20"/>
          <w:color w:val="auto"/>
        </w:rPr>
      </w:pPr>
    </w:p>
    <w:p>
      <w:pPr>
        <w:ind w:right="960"/>
        <w:spacing w:after="0" w:line="262" w:lineRule="auto"/>
        <w:rPr>
          <w:sz w:val="20"/>
          <w:szCs w:val="20"/>
          <w:color w:val="auto"/>
        </w:rPr>
      </w:pPr>
      <w:r>
        <w:rPr>
          <w:rFonts w:ascii="Times New Roman" w:cs="Times New Roman" w:eastAsia="Times New Roman" w:hAnsi="Times New Roman"/>
          <w:sz w:val="22"/>
          <w:szCs w:val="22"/>
          <w:b w:val="1"/>
          <w:bCs w:val="1"/>
          <w:color w:val="auto"/>
        </w:rPr>
        <w:t>Bassett Reports Fiscal Third Quarter Results, Updates Progress on Restructuring Plan and Announces Regular Quarterly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(Bassett, Va.) – October 9, 2024 – Bassett Furniture Industries, Inc. (Nasdaq: BSET) reported today its results of operations for its third quarter ended August 31, 2024. In addition, the Company’s Board of Directors declared a regular quarterly dividend of $0.20 per share of common stock, payable on Nov. 29, 2024, to shareholders of record at the close of business on Nov. 15, 2024. This dividend represents an 11% increase over the prior year’s quarterly dividend.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Q3 Consolidated Business Highlights</w:t>
      </w:r>
      <w:r>
        <w:rPr>
          <w:rFonts w:ascii="Times New Roman" w:cs="Times New Roman" w:eastAsia="Times New Roman" w:hAnsi="Times New Roman"/>
          <w:sz w:val="18"/>
          <w:szCs w:val="18"/>
          <w:i w:val="1"/>
          <w:iCs w:val="1"/>
          <w:color w:val="auto"/>
        </w:rPr>
        <w:t>: [FY 24 vs. FY 23, unless otherwise specified]</w:t>
      </w:r>
    </w:p>
    <w:p>
      <w:pPr>
        <w:spacing w:after="0" w:line="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decreased 13%, impacted by a cyber incident that suspended all financial systems and manufacturing for 7 days.</w:t>
      </w:r>
    </w:p>
    <w:p>
      <w:pPr>
        <w:spacing w:after="0" w:line="1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$6.4 million, which included a $1.2 million loss on a logistical services contract the Company abandoned and various costs associated with the cyber incident.</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53.0%, which included $0.6 million of manufacturing wages paid during the cyber shutdown. Excluding the wage charge, gross profit margin would have been 53.8% as compared to adjusted gross margin of 52.7% in 2023 (see Table 5).</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loss per share of $0.52 vs. a loss of $0.30 in 2023.</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cash flow deficit for the quarter to $0.4 million despite challenging results and cyber disruption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Third Quarter Overview</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Sales</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3rd Qtr</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3rd Qtr</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3rd Qtr</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r>
      <w:tr>
        <w:trPr>
          <w:trHeight w:val="210"/>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18"/>
                <w:szCs w:val="18"/>
                <w:color w:val="auto"/>
              </w:rPr>
            </w:pPr>
          </w:p>
        </w:tc>
      </w:tr>
      <w:tr>
        <w:trPr>
          <w:trHeight w:val="209"/>
        </w:trPr>
        <w:tc>
          <w:tcPr>
            <w:tcW w:w="2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Consolidated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Corporate &amp; Other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ind w:left="340" w:right="2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results for the quarter include certain intercompany eliminations as well as a $1.2 million contract abandonment charge which are not allocated to our segment operating results. See Table 4, "Segment Information" below for an illustration of the effects of these items on our consolidated sales and operating income.</w:t>
      </w:r>
    </w:p>
    <w:p>
      <w:pPr>
        <w:spacing w:after="0" w:line="175"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includes the operations of Noa Home Inc. along with the shared Corporate costs that are benefiting both the Wholesale and Retail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third quarter is historically our slowest as we customarily shut down manufacturing for the week of July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said Robert H. Spilman, Jr., Bassett Chairman and Chief Executive Officer. “Although we had additional challenges this year, we delivered strong gross margins. In mid-July, we reported that we detected unauthorized activities in our IT systems, which resulted in us shutting down our IT systems and ceasing manufacturing for 7 days. The industry remained challenged by economic factors in the quarter, including a slow housing market that is forecasted to improve heading into 2025. With our strong balance sheet and our focus on right-sizing our expense structure, our goal is to drive better profitability.”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Update on Restructuring Plan</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made progress on the restructuring plan announced in July to lower its cost structure and to strengthen operations for topline growth. The comprehensive strategy builds on the strength of Bassett’s brand quality, design expertise and service, and focuses on driving revenue growth and profitability long-term. The five-point plan will be completed by the end of the fourth quarter. “We are running a leaner operation, reducing expenses and investing in new products and services,” Spilman added. “Through our restructuring plan, we are on target to improve our bottom-line between $5.5 million and $6.5 million on an annual basis. We are committed to returning to profitability.”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Conference Call and Webcast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will hold a conference call to discuss its quarterly results on October 10, 2024, at 9:00 am ET. The public is invited to listen to the conference call by webcast, accessible through the Company’s investor relations website, https://investors.bassettfurniture.com/. Participants can also listen to the conference call via </w:t>
      </w:r>
      <w:r>
        <w:rPr>
          <w:rFonts w:ascii="Times New Roman" w:cs="Times New Roman" w:eastAsia="Times New Roman" w:hAnsi="Times New Roman"/>
          <w:sz w:val="18"/>
          <w:szCs w:val="18"/>
          <w:u w:val="single" w:color="auto"/>
          <w:color w:val="auto"/>
        </w:rPr>
        <w:t>https://edge.media-server.com/mmc/p/4t38wrd6</w:t>
      </w:r>
      <w:r>
        <w:rPr>
          <w:rFonts w:ascii="Times New Roman" w:cs="Times New Roman" w:eastAsia="Times New Roman" w:hAnsi="Times New Roman"/>
          <w:sz w:val="18"/>
          <w:szCs w:val="18"/>
          <w:color w:val="auto"/>
        </w:rPr>
        <w:t>. A replay and transcript of the conference call will be available on demand on the investor relations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 BSET) is a leading manufacturer and marketer of high-quality home furnishings. With 87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and internationally. For more information, visit the Company’s website at bassettfurniture.com.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end of the third fiscal quarter of 2024, constitute “forward looking statements” within the meaning of Section 27A of the Securities Act of 1933, as amended. For those statements, Bassett claims the protection of the safe harbor for forward-looking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Quarter Ended</w:t>
            </w: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Nine Months</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August 31, 2024</w:t>
            </w:r>
          </w:p>
        </w:tc>
        <w:tc>
          <w:tcPr>
            <w:tcW w:w="120" w:type="dxa"/>
            <w:vAlign w:val="bottom"/>
          </w:tcPr>
          <w:p>
            <w:pPr>
              <w:spacing w:after="0"/>
              <w:rPr>
                <w:sz w:val="18"/>
                <w:szCs w:val="18"/>
                <w:color w:val="auto"/>
              </w:rPr>
            </w:pPr>
          </w:p>
        </w:tc>
        <w:tc>
          <w:tcPr>
            <w:tcW w:w="18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August 26, 2023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August 31, 2024</w:t>
            </w:r>
          </w:p>
        </w:tc>
        <w:tc>
          <w:tcPr>
            <w:tcW w:w="120" w:type="dxa"/>
            <w:vAlign w:val="bottom"/>
          </w:tcPr>
          <w:p>
            <w:pPr>
              <w:spacing w:after="0"/>
              <w:rPr>
                <w:sz w:val="18"/>
                <w:szCs w:val="18"/>
                <w:color w:val="auto"/>
              </w:rPr>
            </w:pPr>
          </w:p>
        </w:tc>
        <w:tc>
          <w:tcPr>
            <w:tcW w:w="18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August 26, 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Amount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Amount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Amount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sales of furniture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75,619</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87,217</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245,583</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295,434</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furniture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35,526</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7"/>
                <w:szCs w:val="17"/>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42,173</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7"/>
                <w:szCs w:val="17"/>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113,863</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7"/>
                <w:szCs w:val="17"/>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140,360</w:t>
            </w: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1"/>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accessories sold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40,093</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45,044</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131,720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155,074</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45,210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48,848</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142,141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154,709</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contract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abandonment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5,515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revaluation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7"/>
                <w:szCs w:val="17"/>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7"/>
                <w:szCs w:val="17"/>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7"/>
                <w:szCs w:val="17"/>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1,013</w:t>
            </w: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1"/>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Income (loss) from</w:t>
            </w: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(6,357)</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(3,804)</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(17,176)</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692</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923</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1,644</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 (loss) before income</w:t>
            </w: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(5,774)</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(15,590)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1,641</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(1,269)</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(599)</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(12,899)</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930</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earnings</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(0.52)</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shd w:val="clear" w:color="auto" w:fill="CCEEFF"/>
          </w:tcPr>
          <w:p>
            <w:pPr>
              <w:jc w:val="right"/>
              <w:ind w:right="120"/>
              <w:spacing w:after="0" w:line="391" w:lineRule="exact"/>
              <w:rPr>
                <w:sz w:val="20"/>
                <w:szCs w:val="20"/>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35"/>
                <w:szCs w:val="35"/>
                <w:color w:val="auto"/>
                <w:vertAlign w:val="subscript"/>
              </w:rPr>
              <w:t>)</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(loss) per share</w:t>
            </w:r>
          </w:p>
        </w:tc>
        <w:tc>
          <w:tcPr>
            <w:tcW w:w="20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55"/>
        </w:trPr>
        <w:tc>
          <w:tcPr>
            <w:tcW w:w="22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Table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August 31, 2024</w:t>
            </w:r>
          </w:p>
        </w:tc>
        <w:tc>
          <w:tcPr>
            <w:tcW w:w="8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25, 2023</w:t>
            </w: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52,407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17,775</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13,736</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62,982</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157,954</w:t>
            </w: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83,981</w:t>
            </w: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4,645</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100,888</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335,862</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8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16,338</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8,934</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22,788</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accrued expenses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tcPr>
          <w:p>
            <w:pPr>
              <w:spacing w:after="0"/>
              <w:rPr>
                <w:sz w:val="18"/>
                <w:szCs w:val="18"/>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77,890</w:t>
            </w: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97,357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8"/>
                <w:szCs w:val="18"/>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109,093</w:t>
            </w: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43,842</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139,354</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0"/>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335,862</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4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6"/>
          </w:tcPr>
          <w:p>
            <w:pPr>
              <w:jc w:val="right"/>
              <w:ind w:right="1200"/>
              <w:spacing w:after="0"/>
              <w:rPr>
                <w:sz w:val="20"/>
                <w:szCs w:val="20"/>
                <w:color w:val="auto"/>
              </w:rPr>
            </w:pPr>
            <w:r>
              <w:rPr>
                <w:rFonts w:ascii="Times New Roman" w:cs="Times New Roman" w:eastAsia="Times New Roman" w:hAnsi="Times New Roman"/>
                <w:sz w:val="18"/>
                <w:szCs w:val="18"/>
                <w:color w:val="auto"/>
              </w:rPr>
              <w:t>Nine Months</w:t>
            </w:r>
          </w:p>
        </w:tc>
      </w:tr>
      <w:tr>
        <w:trPr>
          <w:trHeight w:val="210"/>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August 31, 2024</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August 26, 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(12,899)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valuation charges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13,668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(12,337)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(6,586)</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(14,990)</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10,249</w:t>
            </w:r>
          </w:p>
        </w:tc>
      </w:tr>
      <w:tr>
        <w:trPr>
          <w:trHeight w:val="210"/>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(14,657)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discontinued operations,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(1,664)</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(15,321)</w:t>
            </w:r>
          </w:p>
        </w:tc>
      </w:tr>
      <w:tr>
        <w:trPr>
          <w:trHeight w:val="210"/>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(13,613)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48,012</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8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Segment Information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Nine Months</w:t>
            </w:r>
          </w:p>
        </w:tc>
      </w:tr>
      <w:tr>
        <w:trPr>
          <w:trHeight w:val="191"/>
        </w:trPr>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rPr>
              <w:t>August 31,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August 26,</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rPr>
              <w:t>August 31,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August 26,</w:t>
            </w: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47,828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155,138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188,318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(20,453)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(77,932)</w:t>
            </w: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27,375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33,157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90,171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110,386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47,256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151,478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178,004</w:t>
            </w: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Corporate &amp; Other - Noa Home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7,044</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75,619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245,583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295,434</w:t>
            </w:r>
          </w:p>
        </w:tc>
      </w:tr>
      <w:tr>
        <w:trPr>
          <w:trHeight w:val="197"/>
        </w:trPr>
        <w:tc>
          <w:tcPr>
            <w:tcW w:w="59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22,339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59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Net expenses - Corporate and other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(6,963)</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(21,500)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(22,140)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elimination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abandoned warehouse contract</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income (loss) from operations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(6,357)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loss, net</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(1,381)</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income (loss)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60" w:firstLine="8"/>
        <w:spacing w:after="0"/>
        <w:tabs>
          <w:tab w:leader="none" w:pos="22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Corporate and Other includes the operations of Noa Home Inc. along with the shared Corporate costs that are benefiting both the Wholesale and Retail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Table 5</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Adjusted Gross Profit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Quarter Ended</w:t>
            </w:r>
          </w:p>
        </w:tc>
        <w:tc>
          <w:tcPr>
            <w:tcW w:w="9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Nine Months</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August 31, 2024</w:t>
            </w:r>
          </w:p>
        </w:tc>
        <w:tc>
          <w:tcPr>
            <w:tcW w:w="120" w:type="dxa"/>
            <w:vAlign w:val="bottom"/>
          </w:tcPr>
          <w:p>
            <w:pPr>
              <w:spacing w:after="0"/>
              <w:rPr>
                <w:sz w:val="18"/>
                <w:szCs w:val="18"/>
                <w:color w:val="auto"/>
              </w:rPr>
            </w:pPr>
          </w:p>
        </w:tc>
        <w:tc>
          <w:tcPr>
            <w:tcW w:w="18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August 26, 2023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August 31, 2024</w:t>
            </w:r>
          </w:p>
        </w:tc>
        <w:tc>
          <w:tcPr>
            <w:tcW w:w="120" w:type="dxa"/>
            <w:vAlign w:val="bottom"/>
          </w:tcPr>
          <w:p>
            <w:pPr>
              <w:spacing w:after="0"/>
              <w:rPr>
                <w:sz w:val="18"/>
                <w:szCs w:val="18"/>
                <w:color w:val="auto"/>
              </w:rPr>
            </w:pPr>
          </w:p>
        </w:tc>
        <w:tc>
          <w:tcPr>
            <w:tcW w:w="18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August 26, 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Percent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40,093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45,044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131,720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155,074</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Wages paid during cyber</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shutown</w:t>
            </w:r>
          </w:p>
        </w:tc>
        <w:tc>
          <w:tcPr>
            <w:tcW w:w="1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 inventory</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893</w:t>
            </w: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2,701</w:t>
            </w:r>
          </w:p>
        </w:tc>
        <w:tc>
          <w:tcPr>
            <w:tcW w:w="1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1,896</w:t>
            </w:r>
          </w:p>
        </w:tc>
        <w:tc>
          <w:tcPr>
            <w:tcW w:w="1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charges</w:t>
            </w: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adjusted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40,702</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45,937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135,030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156,970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99"/>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2024-10-10T05:09:15Z</dcterms:created>
  <dcterms:modified xsi:type="dcterms:W3CDTF">2024-10-10T05:09:15Z</dcterms:modified>
</cp:coreProperties>
</file>