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0" w:lineRule="exact"/>
        <w:rPr>
          <w:sz w:val="24"/>
          <w:szCs w:val="24"/>
          <w:color w:val="auto"/>
        </w:rPr>
      </w:pPr>
    </w:p>
    <w:p>
      <w:pPr>
        <w:ind w:left="480"/>
        <w:spacing w:after="0" w:line="207" w:lineRule="exact"/>
        <w:tabs>
          <w:tab w:leader="none" w:pos="24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9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 w:lineRule="exact"/>
        <w:rPr>
          <w:sz w:val="24"/>
          <w:szCs w:val="24"/>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 w:lineRule="exact"/>
        <w:rPr>
          <w:sz w:val="24"/>
          <w:szCs w:val="24"/>
          <w:color w:val="auto"/>
        </w:rPr>
      </w:pPr>
    </w:p>
    <w:p>
      <w:pPr>
        <w:ind w:left="480" w:hanging="473"/>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 w:lineRule="exact"/>
        <w:rPr>
          <w:sz w:val="24"/>
          <w:szCs w:val="24"/>
          <w:color w:val="auto"/>
        </w:rPr>
      </w:pPr>
    </w:p>
    <w:p>
      <w:pPr>
        <w:ind w:left="480" w:hanging="473"/>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480" w:hanging="473"/>
        <w:spacing w:after="0" w:line="182" w:lineRule="auto"/>
        <w:tabs>
          <w:tab w:leader="none" w:pos="480" w:val="left"/>
        </w:tabs>
        <w:numPr>
          <w:ilvl w:val="0"/>
          <w:numId w:val="3"/>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3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MARCH 12, 2025</w:t>
      </w:r>
    </w:p>
    <w:p>
      <w:pPr>
        <w:spacing w:after="0" w:line="224"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Bassett Furniture Industries, Incorporated (the “Company”), will be held on Wednesday, March 12, 2025, at 10:00 a.m., local time (the “Annual Meeting”), virtually, via live audio webcast. You can access the Annual Meeting by visiting https://web.lumiconnect.com/201995786 (password: bassett2025). To participate in the Annual Meeting, you will need the 11-digit control number included on your proxy card if you are a registered shareholder or the 16-digit control number obtained in the manner prescribed by your nominee. We encourage you to access the meeting prior to the start time to allow time for check in. Please note that there is no in-person Annual Meeting for you to attend. If you experience technical difficulties during the check-in process or during the meeting, please contact https://go.lumiglobal.com/faq for assistance. If your shares are not registered in your own name and you plan to vote online and ask questions during the annual meeting, you must contact your broker or nominee in whose name your shares are registered to obtain a legal proxy.</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Annual Meeting will be held for the purpose of considering and acting upon the following:</w:t>
      </w:r>
    </w:p>
    <w:p>
      <w:pPr>
        <w:spacing w:after="0" w:line="220" w:lineRule="exact"/>
        <w:rPr>
          <w:sz w:val="20"/>
          <w:szCs w:val="20"/>
          <w:color w:val="auto"/>
        </w:rPr>
      </w:pPr>
    </w:p>
    <w:p>
      <w:pPr>
        <w:ind w:left="960" w:right="180" w:hanging="47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eight director nominees named in this proxy statement for a one-year term or until his or her successor is duly elected and qualified.</w:t>
      </w:r>
    </w:p>
    <w:p>
      <w:pPr>
        <w:spacing w:after="0" w:line="162" w:lineRule="exact"/>
        <w:rPr>
          <w:rFonts w:ascii="Times New Roman" w:cs="Times New Roman" w:eastAsia="Times New Roman" w:hAnsi="Times New Roman"/>
          <w:sz w:val="18"/>
          <w:szCs w:val="18"/>
          <w:color w:val="auto"/>
        </w:rPr>
      </w:pPr>
    </w:p>
    <w:p>
      <w:pPr>
        <w:ind w:left="960" w:right="720" w:hanging="47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selection of Ernst &amp; Young LLP as its independent registered public accounting firm for the fiscal year ending November 29, 2025.</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on an advisory vote regarding the approval of compensation paid to certain executive officers (“say-on-pay”).</w:t>
      </w:r>
    </w:p>
    <w:p>
      <w:pPr>
        <w:spacing w:after="0" w:line="246" w:lineRule="exact"/>
        <w:rPr>
          <w:rFonts w:ascii="Times New Roman" w:cs="Times New Roman" w:eastAsia="Times New Roman" w:hAnsi="Times New Roman"/>
          <w:sz w:val="18"/>
          <w:szCs w:val="18"/>
          <w:color w:val="auto"/>
        </w:rPr>
      </w:pPr>
    </w:p>
    <w:p>
      <w:pPr>
        <w:ind w:left="960" w:right="120" w:hanging="47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on an advisory vote regarding the frequency of stockholder approval of the compensation paid to certain executive officers (“say-on-frequency”).</w:t>
      </w:r>
    </w:p>
    <w:p>
      <w:pPr>
        <w:spacing w:after="0" w:line="162"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matters that may properly come before the meeting or any adjournment thereof.</w:t>
      </w:r>
    </w:p>
    <w:p>
      <w:pPr>
        <w:spacing w:after="0" w:line="247" w:lineRule="exact"/>
        <w:rPr>
          <w:sz w:val="20"/>
          <w:szCs w:val="20"/>
          <w:color w:val="auto"/>
        </w:rPr>
      </w:pPr>
    </w:p>
    <w:p>
      <w:pPr>
        <w:jc w:val="both"/>
        <w:ind w:right="20" w:firstLine="480"/>
        <w:spacing w:after="0" w:line="26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January 23, 2025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72"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8"/>
          <w:szCs w:val="18"/>
          <w:b w:val="1"/>
          <w:bCs w:val="1"/>
          <w:color w:val="auto"/>
        </w:rPr>
        <w:t>YOUR VOTE IS VERY IMPORTANT TO US. REGARDLESS OF WHETHER YOU PLAN TO ATTEND THE MEETING, PLEASE ACT PROMPTLY TO VOTE YOUR SHARES BY RETURNING THE ENCLOSED PROXY, DATED AND SIGNED. THE PROXY MAY BE REVOKED BY YOU AT ANY TIME BEFORE IT IS EXERCISED AND WILL NOT BE EXERCISED IF YOU ATTEND THE VIRTUAL MEETING AND VOTE VIRTUALLY AT THE MEETING.</w:t>
      </w:r>
    </w:p>
    <w:p>
      <w:pPr>
        <w:spacing w:after="0" w:line="18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3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Virginia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2025 ANNUAL MEETING OF STOCKHOLDERS TO BE HELD MARCH 12, 2025</w:t>
      </w:r>
    </w:p>
    <w:p>
      <w:pPr>
        <w:spacing w:after="0" w:line="197" w:lineRule="exact"/>
        <w:rPr>
          <w:sz w:val="20"/>
          <w:szCs w:val="20"/>
          <w:color w:val="auto"/>
        </w:rPr>
      </w:pPr>
    </w:p>
    <w:p>
      <w:pPr>
        <w:ind w:firstLine="480"/>
        <w:spacing w:after="0" w:line="281"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Proxy Statement for the 2025 Annual Meeting of Stockholders and the Annual Report for the fiscal year ended November 30, 2024 are available at http://investors.bassettfurniture.com.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333375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3525 Fairystone Park Highway, Bassett, Virginia 24055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proxies to be used at the Annual Meeting of Stockholders of Bassett Furniture Industries, Incorporated (the “Company” or “Bassett”) to be held at 10:00 a.m., local time, on Wednesday, March 12, 2025, virtually, via live audio webcast at https://web.lumiconnect.com/201995786. During the virtual meeting, stockholders of record or street holders who have obtained a legal proxy from their broker or nominee will be able to vote shares electronically and submit appropriate questions online during the annual meeting and the Company will answer appropriate questions, subject to time constraints. Questions relevant to meeting matters that the Company does not have time to answer during the meeting will be responded to in writing. This Proxy Statement and accompanying proxy are being sent to the stockholders of the Company on or about February 12, 2025.</w:t>
      </w:r>
    </w:p>
    <w:p>
      <w:pPr>
        <w:spacing w:after="0" w:line="187"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The Company’s directors, officers and employees may solicit proxies in person or by telephone, e-mail, or other means for no additional compensation. Brokers, dealers, banks or voting trustees, or their nominees, who hold stock in their names for others or hold stock for others who have the right to give voting instructions, will be asked to forward proxy materials to their principals and request authority for the execution of the proxy. The Company will reimburse such institutions for their reasonable expenses in so doing. The total cost of soliciting proxies will be borne by the Company.</w:t>
      </w:r>
    </w:p>
    <w:p>
      <w:pPr>
        <w:spacing w:after="0" w:line="18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Any stockholder of record may revoke his or her proxy before it is exercised by (1) sending written notice to Jay R. Hervey, Vice President, Secretary and General Counsel, Bassett Furniture Industries, Incorporated, Post Office Box 626, Bassett, Virginia 24055, (2) timely delivering a valid, later-dated proxy or (3) by voting electronically during the meeting. Any beneficial owner of common stock may revoke his or her proxy before it is exercised by contacting his or her bank, broker or other stockholder of record and submitting revised voting instructions. Proxies received by the Company that are in proper form will be voted as set forth on the proxy at the meeting or any adjournment of the meeting. If your shares are held in street name with your broker or by a nominee, you may not vote your shares electronically or ask questions at the virtual meeting unless you obtain a legal proxy from your broker or nominee who is the stockholder of record with respect to your shares.</w:t>
      </w:r>
    </w:p>
    <w:p>
      <w:pPr>
        <w:spacing w:after="0" w:line="187"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8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Stockholders present or represented, via webcast or by proxy, and entitled to vote on a matter at the meeting, or any adjournment thereof will be entitled to one vote on such matter for each share of Common Stock, par value $5.00 per share, of the Company (the “common stock”) held by them of record at the close of business on January 23, 2025, which is the record date for determining the stockholders entitled to notice of and to vote at such meeting or any adjournment thereof. The number of shares of common stock of the Company outstanding on January 23, 2025, was 8,788,356. When voting is properly authorized over the Internet, electronically at the meeting or proxy cards are properly dated, executed and returned, the Common Stock will be voted in accordance with the instructions of the stockholder.</w:t>
      </w:r>
    </w:p>
    <w:p>
      <w:pPr>
        <w:spacing w:after="0" w:line="185"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account, your broker may or may not vote your shares in its discretion depending on the proposals before the meeting in the absence of your voting instructions. Pursuant to the New York Stock Exchange, which govern voting matters at the Annual Meeting, your broker may vote your shares in its discretion on “routine matters.” We believe that the ratification of the appointment of our independent registered public accounting firm is a routine matter on which brokers will be permitted to vote on behalf of their clients if no voting instructions are furnished. We believe that the election of directors, the say-on-pay advisory vote and say-on-frequency advisory vote are not routine matters. When a matter is not routine and brokers have not received voting instructions from their clients, brokers cannot vote the shares on that matter. This is commonly referred to as a broker non-vote.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3" w:name="page4"/>
    <w:bookmarkEnd w:id="3"/>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Presence via webcast or by proxy of the holders of a majority of the outstanding shares of common stock entitled to vote at the meeting will constitute a quorum. If a quorum is present, Directors will be elected by a plurality of the votes cast. Action on Proposals 2, 3 and 4 will be approved if the votes cast in favor of the action exceed the votes cast opposing the action. Shares for which the holder has elected to abstain or to withhold the proxies’ authority to vote (including broker non-votes) on a matter will count toward a quorum but will have no effect on the action taken with respect to such matter. Accordingly, abstentions, votes withheld, broker or nominee non-votes (if any), and shares represented by proxies reflecting broker or nominee non-votes will have no effect on Proposals 1, 2, 3 and 4.</w:t>
      </w:r>
    </w:p>
    <w:p>
      <w:pPr>
        <w:spacing w:after="0" w:line="18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Some brokers and other nominee record holders may be “householding” our proxy materials. This means a single proxy statement and annual report with separate proxy cards, will be delivered to multiple stockholders who share an address, unless we receive other instructions. If you are a beneficial owner and receive multiple copies of our proxy materials and you would like to receive only one copy, or if you and another shareholder receive only one copy and would like to receive multiple copies, contact your bank, broker, or other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Stockholders and Holdings of Management</w:t>
      </w:r>
    </w:p>
    <w:p>
      <w:pPr>
        <w:spacing w:after="0" w:line="224"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The table below presents certain information as to the only persons known to the Company to be the beneficial owners of more than 5% of the common stock of the Company as of January 23, 2025. Except as otherwise noted, each of the beneficial owners listed below has sole voting and investment power with respect to the shares listed.</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w:t>
            </w:r>
          </w:p>
        </w:tc>
        <w:tc>
          <w:tcPr>
            <w:tcW w:w="2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w:t>
            </w:r>
          </w:p>
        </w:tc>
        <w:tc>
          <w:tcPr>
            <w:tcW w:w="200" w:type="dxa"/>
            <w:vAlign w:val="bottom"/>
          </w:tcPr>
          <w:p>
            <w:pPr>
              <w:spacing w:after="0"/>
              <w:rPr>
                <w:sz w:val="18"/>
                <w:szCs w:val="18"/>
                <w:color w:val="auto"/>
              </w:rPr>
            </w:pPr>
          </w:p>
        </w:tc>
        <w:tc>
          <w:tcPr>
            <w:tcW w:w="22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Percent of common</w:t>
            </w: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 ownership</w:t>
            </w:r>
          </w:p>
        </w:tc>
        <w:tc>
          <w:tcPr>
            <w:tcW w:w="200" w:type="dxa"/>
            <w:vAlign w:val="bottom"/>
          </w:tcPr>
          <w:p>
            <w:pPr>
              <w:spacing w:after="0"/>
              <w:rPr>
                <w:sz w:val="20"/>
                <w:szCs w:val="20"/>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 outstanding</w:t>
            </w:r>
          </w:p>
        </w:tc>
        <w:tc>
          <w:tcPr>
            <w:tcW w:w="0" w:type="dxa"/>
            <w:vAlign w:val="bottom"/>
          </w:tcPr>
          <w:p>
            <w:pPr>
              <w:spacing w:after="0"/>
              <w:rPr>
                <w:sz w:val="1"/>
                <w:szCs w:val="1"/>
                <w:color w:val="auto"/>
              </w:rPr>
            </w:pPr>
          </w:p>
        </w:tc>
      </w:tr>
      <w:tr>
        <w:trPr>
          <w:trHeight w:val="207"/>
        </w:trPr>
        <w:tc>
          <w:tcPr>
            <w:tcW w:w="5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GAMCO Investors, Inc., et al.</w:t>
            </w:r>
          </w:p>
        </w:tc>
        <w:tc>
          <w:tcPr>
            <w:tcW w:w="2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934,150</w:t>
            </w:r>
            <w:r>
              <w:rPr>
                <w:rFonts w:ascii="Times New Roman" w:cs="Times New Roman" w:eastAsia="Times New Roman" w:hAnsi="Times New Roman"/>
                <w:sz w:val="22"/>
                <w:szCs w:val="22"/>
                <w:color w:val="auto"/>
                <w:vertAlign w:val="superscript"/>
              </w:rPr>
              <w:t>(1)</w:t>
            </w:r>
          </w:p>
        </w:tc>
        <w:tc>
          <w:tcPr>
            <w:tcW w:w="240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Corporate Center</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Rye, NY 10580</w:t>
            </w:r>
          </w:p>
        </w:tc>
        <w:tc>
          <w:tcPr>
            <w:tcW w:w="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Dimensional Fund Advisors LP</w:t>
            </w:r>
          </w:p>
        </w:tc>
        <w:tc>
          <w:tcPr>
            <w:tcW w:w="2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738,964</w:t>
            </w:r>
            <w:r>
              <w:rPr>
                <w:rFonts w:ascii="Times New Roman" w:cs="Times New Roman" w:eastAsia="Times New Roman" w:hAnsi="Times New Roman"/>
                <w:sz w:val="22"/>
                <w:szCs w:val="22"/>
                <w:color w:val="auto"/>
                <w:vertAlign w:val="superscript"/>
              </w:rPr>
              <w:t>(2)</w:t>
            </w:r>
          </w:p>
        </w:tc>
        <w:tc>
          <w:tcPr>
            <w:tcW w:w="240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Palisades West, Building One</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6300 Bee Cave Road</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 TX 78746</w:t>
            </w:r>
          </w:p>
        </w:tc>
        <w:tc>
          <w:tcPr>
            <w:tcW w:w="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The Vanguard Group</w:t>
            </w:r>
          </w:p>
        </w:tc>
        <w:tc>
          <w:tcPr>
            <w:tcW w:w="2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458,719</w:t>
            </w:r>
            <w:r>
              <w:rPr>
                <w:rFonts w:ascii="Times New Roman" w:cs="Times New Roman" w:eastAsia="Times New Roman" w:hAnsi="Times New Roman"/>
                <w:sz w:val="22"/>
                <w:szCs w:val="22"/>
                <w:color w:val="auto"/>
                <w:vertAlign w:val="superscript"/>
              </w:rPr>
              <w:t>(3)</w:t>
            </w:r>
          </w:p>
        </w:tc>
        <w:tc>
          <w:tcPr>
            <w:tcW w:w="240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Vanguard Blvd.</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Aegis Financial Corporation</w:t>
            </w:r>
          </w:p>
        </w:tc>
        <w:tc>
          <w:tcPr>
            <w:tcW w:w="2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476,643</w:t>
            </w:r>
            <w:r>
              <w:rPr>
                <w:rFonts w:ascii="Times New Roman" w:cs="Times New Roman" w:eastAsia="Times New Roman" w:hAnsi="Times New Roman"/>
                <w:sz w:val="22"/>
                <w:szCs w:val="22"/>
                <w:color w:val="auto"/>
                <w:vertAlign w:val="superscript"/>
              </w:rPr>
              <w:t>(4)</w:t>
            </w:r>
          </w:p>
        </w:tc>
        <w:tc>
          <w:tcPr>
            <w:tcW w:w="240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6862 Elm Street, Suite 830</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McLean, Virginia 22101</w:t>
            </w:r>
          </w:p>
        </w:tc>
        <w:tc>
          <w:tcPr>
            <w:tcW w:w="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Auto Services Company, Inc.</w:t>
            </w:r>
          </w:p>
        </w:tc>
        <w:tc>
          <w:tcPr>
            <w:tcW w:w="2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756,317</w:t>
            </w:r>
            <w:r>
              <w:rPr>
                <w:rFonts w:ascii="Times New Roman" w:cs="Times New Roman" w:eastAsia="Times New Roman" w:hAnsi="Times New Roman"/>
                <w:sz w:val="22"/>
                <w:szCs w:val="22"/>
                <w:color w:val="auto"/>
                <w:vertAlign w:val="superscript"/>
              </w:rPr>
              <w:t>(5)</w:t>
            </w:r>
          </w:p>
        </w:tc>
        <w:tc>
          <w:tcPr>
            <w:tcW w:w="240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1793 HWY 201 N</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Home, AR 72653</w:t>
            </w:r>
          </w:p>
        </w:tc>
        <w:tc>
          <w:tcPr>
            <w:tcW w:w="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80" w:hanging="473"/>
        <w:spacing w:after="0" w:line="225" w:lineRule="auto"/>
        <w:tabs>
          <w:tab w:leader="none" w:pos="48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13D/A filed on March 18, 2021, Gabelli Funds, LLC has sole voting and dispositive power with respect to 199,300 of these shares; GAMCO Asset Management Inc. has sole voting power with respect to 624,950 of these shares and sole dispositive power with respect to 673,850 of these shares; Teton Advisors, Inc. has sole voting and dispositive power with respect to 61,000 of these shares; and Mario Gabelli is deemed to have beneficial ownership of the shares held by each of the foregoing persons. See the Schedule 13D/A for certain disclaimers of beneficial ownership and interests of related entities in these shares.</w:t>
      </w:r>
    </w:p>
    <w:p>
      <w:pPr>
        <w:ind w:left="480" w:right="200" w:hanging="473"/>
        <w:spacing w:after="0" w:line="222" w:lineRule="auto"/>
        <w:tabs>
          <w:tab w:leader="none" w:pos="48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Dimensional Fund Advisors LP (“Dimensional”), a registered investment adviser, may be deemed to have beneficial ownership of these shares which are held by certain investment companies, trusts and accounts for which Dimensional serves as investment manager, adviser or sub-adviser. Dimensional has sole dispositive power with respect to 738,964 of these shares and sole voting power with respect to 728,006 of these shares. Dimensional disclaims beneficial ownership of all such shares. The information provided is based upon a Schedule 13G/A filed on February 9, 2024 by Dimensional.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4" w:name="page5"/>
    <w:bookmarkEnd w:id="4"/>
    <w:p>
      <w:pPr>
        <w:ind w:left="473" w:hanging="473"/>
        <w:spacing w:after="0" w:line="225" w:lineRule="auto"/>
        <w:tabs>
          <w:tab w:leader="none" w:pos="473"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13G filed on February 13, 2024, The Vanguard Group, a registered investment advisor, has sole dispositive power with respect to 454,937 of these shares and shared dispositive power with respect to 3,782 of these shares.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ind w:left="473" w:right="40" w:hanging="473"/>
        <w:spacing w:after="0" w:line="229" w:lineRule="auto"/>
        <w:tabs>
          <w:tab w:leader="none" w:pos="473"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13G filed on February 8, 2024, Aegis Financial Corporation, a registered investment advisor, has shared voting and dispositive power with respect to these shares. These shares may be deemed beneficially owned by (1) Aegis Financial Corporation by virtue of its investment discretion and/or voting authority granted by certain clients; and (2) Scott L. Barbee by virtue of his control of Aegis Financial Corporation. Mr. Barbee disclaims beneficial ownership of all such shares. The clients of Aegis Financial Corporation, a registered investment adviser, including one investment company registered under the Investment Company Act of 1940 and other managed accounts, have the right to receive or the power to direct the receipt of dividends and proceeds from the sale of shares.</w:t>
      </w:r>
    </w:p>
    <w:p>
      <w:pPr>
        <w:spacing w:after="0" w:line="2" w:lineRule="exact"/>
        <w:rPr>
          <w:rFonts w:ascii="Times New Roman" w:cs="Times New Roman" w:eastAsia="Times New Roman" w:hAnsi="Times New Roman"/>
          <w:sz w:val="27"/>
          <w:szCs w:val="27"/>
          <w:color w:val="auto"/>
          <w:vertAlign w:val="superscript"/>
        </w:rPr>
      </w:pPr>
    </w:p>
    <w:p>
      <w:pPr>
        <w:ind w:left="473" w:hanging="473"/>
        <w:spacing w:after="0" w:line="229" w:lineRule="auto"/>
        <w:tabs>
          <w:tab w:leader="none" w:pos="473"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reported in a Schedule 13D/A filed on June 28, 2024, Auto Services Company, Inc. (“ASC”), has shared dispositive and voting power with respect to these shares. Because it is the parent holding company of ASC, ASC Holding Company, Inc. may be deemed to have the shared power to vote or direct the vote, and the shared power to dispose or direct the disposition, of all shares beneficially owned by ASC. Because he is the controlling stockholder of ASC Holding Company, Inc., Bradley L. Hasselwander may be deemed to have the shared power to vote or direct the vote, and the shared power to dispose or direct the disposition, of all shares beneficially owned by ASC</w:t>
      </w:r>
    </w:p>
    <w:p>
      <w:pPr>
        <w:spacing w:after="0" w:line="203" w:lineRule="exact"/>
        <w:rPr>
          <w:sz w:val="20"/>
          <w:szCs w:val="20"/>
          <w:color w:val="auto"/>
        </w:rPr>
      </w:pPr>
    </w:p>
    <w:p>
      <w:pPr>
        <w:ind w:left="93" w:right="100" w:firstLine="409"/>
        <w:spacing w:after="0" w:line="262" w:lineRule="auto"/>
        <w:rPr>
          <w:sz w:val="20"/>
          <w:szCs w:val="20"/>
          <w:color w:val="auto"/>
        </w:rPr>
      </w:pPr>
      <w:r>
        <w:rPr>
          <w:rFonts w:ascii="Times New Roman" w:cs="Times New Roman" w:eastAsia="Times New Roman" w:hAnsi="Times New Roman"/>
          <w:sz w:val="18"/>
          <w:szCs w:val="18"/>
          <w:color w:val="auto"/>
        </w:rPr>
        <w:t>The following information with respect to beneficial ownership, as of January 23, 2025, of shares of common stock is furnished with respect to (i) each current Director and Director nominee of the Company, (ii) each executive officer named in the Summary Compensation Table appearing later in this Proxy Statement and (iii) all current Directors and executive officers as a group:</w:t>
      </w:r>
    </w:p>
    <w:p>
      <w:pPr>
        <w:spacing w:after="0" w:line="172" w:lineRule="exact"/>
        <w:rPr>
          <w:sz w:val="20"/>
          <w:szCs w:val="20"/>
          <w:color w:val="auto"/>
        </w:rPr>
      </w:pPr>
    </w:p>
    <w:tbl>
      <w:tblPr>
        <w:tblLayout w:type="fixed"/>
        <w:tblInd w:w="793"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w:t>
            </w:r>
          </w:p>
        </w:tc>
        <w:tc>
          <w:tcPr>
            <w:tcW w:w="200" w:type="dxa"/>
            <w:vAlign w:val="bottom"/>
          </w:tcPr>
          <w:p>
            <w:pPr>
              <w:spacing w:after="0"/>
              <w:rPr>
                <w:sz w:val="18"/>
                <w:szCs w:val="18"/>
                <w:color w:val="auto"/>
              </w:rPr>
            </w:pPr>
          </w:p>
        </w:tc>
        <w:tc>
          <w:tcPr>
            <w:tcW w:w="24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Percent of common</w:t>
            </w:r>
          </w:p>
        </w:tc>
      </w:tr>
      <w:tr>
        <w:trPr>
          <w:trHeight w:val="23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 ownership</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stock outstanding</w:t>
            </w:r>
          </w:p>
        </w:tc>
      </w:t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2640" w:type="dxa"/>
            <w:vAlign w:val="bottom"/>
            <w:gridSpan w:val="2"/>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rPr>
              <w:t>8,307</w:t>
            </w:r>
          </w:p>
        </w:tc>
        <w:tc>
          <w:tcPr>
            <w:tcW w:w="2600" w:type="dxa"/>
            <w:vAlign w:val="bottom"/>
            <w:gridSpan w:val="2"/>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John R. Belk</w:t>
            </w:r>
          </w:p>
        </w:tc>
        <w:tc>
          <w:tcPr>
            <w:tcW w:w="264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6"/>
              </w:rPr>
              <w:t>41,047</w:t>
            </w:r>
          </w:p>
        </w:tc>
        <w:tc>
          <w:tcPr>
            <w:tcW w:w="2600" w:type="dxa"/>
            <w:vAlign w:val="bottom"/>
            <w:gridSpan w:val="2"/>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Kristina Cashman</w:t>
            </w:r>
          </w:p>
        </w:tc>
        <w:tc>
          <w:tcPr>
            <w:tcW w:w="264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18,767</w:t>
            </w:r>
          </w:p>
        </w:tc>
        <w:tc>
          <w:tcPr>
            <w:tcW w:w="2600" w:type="dxa"/>
            <w:vAlign w:val="bottom"/>
            <w:gridSpan w:val="2"/>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Virginia W. Hamlet</w:t>
            </w:r>
          </w:p>
        </w:tc>
        <w:tc>
          <w:tcPr>
            <w:tcW w:w="264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6"/>
              </w:rPr>
              <w:t>15,120</w:t>
            </w:r>
          </w:p>
        </w:tc>
        <w:tc>
          <w:tcPr>
            <w:tcW w:w="2600" w:type="dxa"/>
            <w:vAlign w:val="bottom"/>
            <w:gridSpan w:val="2"/>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Walter McDowell</w:t>
            </w:r>
          </w:p>
        </w:tc>
        <w:tc>
          <w:tcPr>
            <w:tcW w:w="264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18,463</w:t>
            </w:r>
          </w:p>
        </w:tc>
        <w:tc>
          <w:tcPr>
            <w:tcW w:w="2600" w:type="dxa"/>
            <w:vAlign w:val="bottom"/>
            <w:gridSpan w:val="2"/>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2640" w:type="dxa"/>
            <w:vAlign w:val="bottom"/>
            <w:gridSpan w:val="2"/>
          </w:tcPr>
          <w:p>
            <w:pPr>
              <w:jc w:val="center"/>
              <w:ind w:left="174"/>
              <w:spacing w:after="0" w:line="213" w:lineRule="exact"/>
              <w:rPr>
                <w:sz w:val="20"/>
                <w:szCs w:val="20"/>
                <w:color w:val="auto"/>
              </w:rPr>
            </w:pPr>
            <w:r>
              <w:rPr>
                <w:rFonts w:ascii="Times New Roman" w:cs="Times New Roman" w:eastAsia="Times New Roman" w:hAnsi="Times New Roman"/>
                <w:sz w:val="15"/>
                <w:szCs w:val="15"/>
                <w:color w:val="auto"/>
              </w:rPr>
              <w:t>292,386</w:t>
            </w:r>
            <w:r>
              <w:rPr>
                <w:rFonts w:ascii="Times New Roman" w:cs="Times New Roman" w:eastAsia="Times New Roman" w:hAnsi="Times New Roman"/>
                <w:sz w:val="24"/>
                <w:szCs w:val="24"/>
                <w:color w:val="auto"/>
                <w:vertAlign w:val="superscript"/>
              </w:rPr>
              <w:t>(1)</w:t>
            </w:r>
          </w:p>
        </w:tc>
        <w:tc>
          <w:tcPr>
            <w:tcW w:w="2600" w:type="dxa"/>
            <w:vAlign w:val="bottom"/>
            <w:gridSpan w:val="2"/>
          </w:tcPr>
          <w:p>
            <w:pPr>
              <w:jc w:val="right"/>
              <w:ind w:right="1051"/>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Wampler, Jr.</w:t>
            </w:r>
          </w:p>
        </w:tc>
        <w:tc>
          <w:tcPr>
            <w:tcW w:w="264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25,507</w:t>
            </w:r>
          </w:p>
        </w:tc>
        <w:tc>
          <w:tcPr>
            <w:tcW w:w="2600" w:type="dxa"/>
            <w:vAlign w:val="bottom"/>
            <w:gridSpan w:val="2"/>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William C. Warden, Jr.</w:t>
            </w:r>
          </w:p>
        </w:tc>
        <w:tc>
          <w:tcPr>
            <w:tcW w:w="2640" w:type="dxa"/>
            <w:vAlign w:val="bottom"/>
            <w:gridSpan w:val="2"/>
          </w:tcPr>
          <w:p>
            <w:pPr>
              <w:jc w:val="center"/>
              <w:ind w:left="134"/>
              <w:spacing w:after="0" w:line="213" w:lineRule="exact"/>
              <w:rPr>
                <w:sz w:val="20"/>
                <w:szCs w:val="20"/>
                <w:color w:val="auto"/>
              </w:rPr>
            </w:pPr>
            <w:r>
              <w:rPr>
                <w:rFonts w:ascii="Times New Roman" w:cs="Times New Roman" w:eastAsia="Times New Roman" w:hAnsi="Times New Roman"/>
                <w:sz w:val="15"/>
                <w:szCs w:val="15"/>
                <w:color w:val="auto"/>
              </w:rPr>
              <w:t>78,139</w:t>
            </w:r>
            <w:r>
              <w:rPr>
                <w:rFonts w:ascii="Times New Roman" w:cs="Times New Roman" w:eastAsia="Times New Roman" w:hAnsi="Times New Roman"/>
                <w:sz w:val="24"/>
                <w:szCs w:val="24"/>
                <w:color w:val="auto"/>
                <w:vertAlign w:val="superscript"/>
              </w:rPr>
              <w:t>(2)</w:t>
            </w:r>
          </w:p>
        </w:tc>
        <w:tc>
          <w:tcPr>
            <w:tcW w:w="2600" w:type="dxa"/>
            <w:vAlign w:val="bottom"/>
            <w:gridSpan w:val="2"/>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2640" w:type="dxa"/>
            <w:vAlign w:val="bottom"/>
            <w:gridSpan w:val="2"/>
            <w:shd w:val="clear" w:color="auto" w:fill="CCEEFF"/>
          </w:tcPr>
          <w:p>
            <w:pPr>
              <w:jc w:val="center"/>
              <w:ind w:left="134"/>
              <w:spacing w:after="0" w:line="213" w:lineRule="exact"/>
              <w:rPr>
                <w:sz w:val="20"/>
                <w:szCs w:val="20"/>
                <w:color w:val="auto"/>
              </w:rPr>
            </w:pPr>
            <w:r>
              <w:rPr>
                <w:rFonts w:ascii="Times New Roman" w:cs="Times New Roman" w:eastAsia="Times New Roman" w:hAnsi="Times New Roman"/>
                <w:sz w:val="15"/>
                <w:szCs w:val="15"/>
                <w:color w:val="auto"/>
              </w:rPr>
              <w:t>35,924</w:t>
            </w:r>
            <w:r>
              <w:rPr>
                <w:rFonts w:ascii="Times New Roman" w:cs="Times New Roman" w:eastAsia="Times New Roman" w:hAnsi="Times New Roman"/>
                <w:sz w:val="24"/>
                <w:szCs w:val="24"/>
                <w:color w:val="auto"/>
                <w:vertAlign w:val="superscript"/>
              </w:rPr>
              <w:t>(3)</w:t>
            </w:r>
          </w:p>
        </w:tc>
        <w:tc>
          <w:tcPr>
            <w:tcW w:w="2600" w:type="dxa"/>
            <w:vAlign w:val="bottom"/>
            <w:gridSpan w:val="2"/>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264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6"/>
              </w:rPr>
              <w:t>52,663</w:t>
            </w:r>
          </w:p>
        </w:tc>
        <w:tc>
          <w:tcPr>
            <w:tcW w:w="2600" w:type="dxa"/>
            <w:vAlign w:val="bottom"/>
            <w:gridSpan w:val="2"/>
          </w:tcPr>
          <w:p>
            <w:pPr>
              <w:jc w:val="right"/>
              <w:ind w:right="105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264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53,481</w:t>
            </w:r>
          </w:p>
        </w:tc>
        <w:tc>
          <w:tcPr>
            <w:tcW w:w="2600" w:type="dxa"/>
            <w:vAlign w:val="bottom"/>
            <w:gridSpan w:val="2"/>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r>
      <w:tr>
        <w:trPr>
          <w:trHeight w:val="39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 a group (11 persons)</w:t>
            </w:r>
          </w:p>
        </w:tc>
        <w:tc>
          <w:tcPr>
            <w:tcW w:w="264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88"/>
              </w:rPr>
              <w:t xml:space="preserve">639,804 </w:t>
            </w:r>
            <w:r>
              <w:rPr>
                <w:rFonts w:ascii="Times New Roman" w:cs="Times New Roman" w:eastAsia="Times New Roman" w:hAnsi="Times New Roman"/>
                <w:sz w:val="29"/>
                <w:szCs w:val="29"/>
                <w:color w:val="auto"/>
                <w:w w:val="88"/>
                <w:vertAlign w:val="superscript"/>
              </w:rPr>
              <w:t>(2) (3)</w:t>
            </w:r>
          </w:p>
        </w:tc>
        <w:tc>
          <w:tcPr>
            <w:tcW w:w="2600" w:type="dxa"/>
            <w:vAlign w:val="bottom"/>
            <w:gridSpan w:val="2"/>
          </w:tcPr>
          <w:p>
            <w:pPr>
              <w:jc w:val="right"/>
              <w:ind w:right="1051"/>
              <w:spacing w:after="0"/>
              <w:rPr>
                <w:sz w:val="20"/>
                <w:szCs w:val="20"/>
                <w:color w:val="auto"/>
              </w:rPr>
            </w:pPr>
            <w:r>
              <w:rPr>
                <w:rFonts w:ascii="Times New Roman" w:cs="Times New Roman" w:eastAsia="Times New Roman" w:hAnsi="Times New Roman"/>
                <w:sz w:val="18"/>
                <w:szCs w:val="18"/>
                <w:color w:val="auto"/>
              </w:rPr>
              <w:t>7.3%</w:t>
            </w:r>
          </w:p>
        </w:tc>
      </w:tr>
    </w:tbl>
    <w:p>
      <w:pPr>
        <w:spacing w:after="0" w:line="23" w:lineRule="exact"/>
        <w:rPr>
          <w:sz w:val="20"/>
          <w:szCs w:val="20"/>
          <w:color w:val="auto"/>
        </w:rPr>
      </w:pPr>
    </w:p>
    <w:p>
      <w:pPr>
        <w:ind w:left="473" w:hanging="473"/>
        <w:spacing w:after="0"/>
        <w:tabs>
          <w:tab w:leader="none" w:pos="47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the outstanding common stock.</w:t>
      </w:r>
    </w:p>
    <w:p>
      <w:pPr>
        <w:ind w:left="473" w:hanging="473"/>
        <w:spacing w:after="0" w:line="180" w:lineRule="auto"/>
        <w:tabs>
          <w:tab w:leader="none" w:pos="473"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16,139 shares held by Mr. Spilman’s wife and 13,947 shares held in trust of which Mr. Spilman is beneficiary.</w:t>
      </w:r>
    </w:p>
    <w:p>
      <w:pPr>
        <w:spacing w:after="0" w:line="10" w:lineRule="exact"/>
        <w:rPr>
          <w:rFonts w:ascii="Times New Roman" w:cs="Times New Roman" w:eastAsia="Times New Roman" w:hAnsi="Times New Roman"/>
          <w:sz w:val="26"/>
          <w:szCs w:val="26"/>
          <w:color w:val="auto"/>
          <w:vertAlign w:val="superscript"/>
        </w:rPr>
      </w:pPr>
    </w:p>
    <w:p>
      <w:pPr>
        <w:ind w:left="473" w:hanging="473"/>
        <w:spacing w:after="0" w:line="180" w:lineRule="auto"/>
        <w:tabs>
          <w:tab w:leader="none" w:pos="473"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20,000 shares held in trust created by Mr. Warden’s spouse, in which Mr. Warden disclaims all beneficial interest.</w:t>
      </w:r>
    </w:p>
    <w:p>
      <w:pPr>
        <w:spacing w:after="0" w:line="10" w:lineRule="exact"/>
        <w:rPr>
          <w:rFonts w:ascii="Times New Roman" w:cs="Times New Roman" w:eastAsia="Times New Roman" w:hAnsi="Times New Roman"/>
          <w:sz w:val="22"/>
          <w:szCs w:val="22"/>
          <w:color w:val="auto"/>
          <w:vertAlign w:val="superscript"/>
        </w:rPr>
      </w:pPr>
    </w:p>
    <w:p>
      <w:pPr>
        <w:ind w:left="473" w:hanging="473"/>
        <w:spacing w:after="0" w:line="180" w:lineRule="auto"/>
        <w:tabs>
          <w:tab w:leader="none" w:pos="473"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8,509 shares held by Mr. Cohenour’s wife.</w:t>
      </w:r>
    </w:p>
    <w:p>
      <w:pPr>
        <w:spacing w:after="0" w:line="201"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93"/>
          </w:cols>
          <w:pgMar w:left="327" w:top="579"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1"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At the meeting, eight Directors will be elected to serve, subject to the provisions of the Bylaws, until the 2026 Annual Meeting of Stockholders and until their successors are duly elected and qualified. It is the intention of the persons named in the accompanying proxy to vote all proxies solicited by the Board of Directors FOR the eight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eight nominees including such substitutes as shall be designated by the Board of Directors.</w:t>
      </w:r>
    </w:p>
    <w:p>
      <w:pPr>
        <w:spacing w:after="0" w:line="186" w:lineRule="exact"/>
        <w:rPr>
          <w:sz w:val="20"/>
          <w:szCs w:val="20"/>
          <w:color w:val="auto"/>
        </w:rPr>
      </w:pPr>
    </w:p>
    <w:p>
      <w:pPr>
        <w:ind w:right="20" w:firstLine="480"/>
        <w:spacing w:after="0" w:line="277" w:lineRule="auto"/>
        <w:rPr>
          <w:sz w:val="20"/>
          <w:szCs w:val="20"/>
          <w:color w:val="auto"/>
        </w:rPr>
      </w:pPr>
      <w:r>
        <w:rPr>
          <w:rFonts w:ascii="Times New Roman" w:cs="Times New Roman" w:eastAsia="Times New Roman" w:hAnsi="Times New Roman"/>
          <w:sz w:val="18"/>
          <w:szCs w:val="18"/>
          <w:color w:val="auto"/>
        </w:rPr>
        <w:t>The eight nominees for election as Directors are listed below. All of the nominees are currently members of the Board of Directors. All were elected to their current terms, which expire in 2025, at the Annual Meeting of Stockholders held on March 6, 2024.</w:t>
      </w:r>
    </w:p>
    <w:p>
      <w:pPr>
        <w:spacing w:after="0" w:line="163" w:lineRule="exact"/>
        <w:rPr>
          <w:sz w:val="20"/>
          <w:szCs w:val="20"/>
          <w:color w:val="auto"/>
        </w:rPr>
      </w:pPr>
    </w:p>
    <w:p>
      <w:pPr>
        <w:ind w:right="260" w:firstLine="480"/>
        <w:spacing w:after="0" w:line="252" w:lineRule="auto"/>
        <w:rPr>
          <w:sz w:val="20"/>
          <w:szCs w:val="20"/>
          <w:color w:val="auto"/>
        </w:rPr>
      </w:pPr>
      <w:r>
        <w:rPr>
          <w:rFonts w:ascii="Times New Roman" w:cs="Times New Roman" w:eastAsia="Times New Roman" w:hAnsi="Times New Roman"/>
          <w:sz w:val="18"/>
          <w:szCs w:val="18"/>
          <w:color w:val="auto"/>
        </w:rPr>
        <w:t>We are asking our stockholders to re-elect each of our current directors at the Annual Meeting of Stockholders. The information set forth below includes, with respect to each nominee for election as Director, his or her age, principal occupation and employment during the past five years, the year in which he or she first became a Director of the Company, directorships held by each at other public companies during the past five years and the specific experience, qualifications, attributes and skills that led the Board to conclude that he or she should serve as a Director. In addition, our Board believes that each individual below has demonstrated outstanding achievement in his or her professional career; broad experience; wisdom, personal and professional integrity; ability to make independent, analytical inquiries; experience with and understanding of the business environment; and willingness and ability to devote adequate time to Board duties.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Occupation during past five years,</w:t>
            </w:r>
          </w:p>
        </w:tc>
      </w:tr>
      <w:tr>
        <w:trPr>
          <w:trHeight w:val="23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director since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74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directorships and qualifications</w:t>
            </w:r>
          </w:p>
        </w:tc>
      </w:tr>
      <w:tr>
        <w:trPr>
          <w:trHeight w:val="207"/>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0" w:type="dxa"/>
            <w:vAlign w:val="bottom"/>
          </w:tcPr>
          <w:p>
            <w:pPr>
              <w:spacing w:after="0"/>
              <w:rPr>
                <w:sz w:val="17"/>
                <w:szCs w:val="17"/>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Emma S. Battle</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President and CEO of Market Vigor, LLC, a business services company she founded in 2003. Since</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2017, she has served as the President and CEO of Higher Ed Works, a nonpartisan public charity that</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supports higher public education in North Carolina. From 2015 to 2017, Ms. Battle was Vice</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Client Success of Windsor Circle, an e-commerce marketing company. Previously, she</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served in executive and senior marketing roles at Red Hat and Sara Lee Branded Apparel</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(Hanesbrands). She currently serves on the Board of Advisors of Elon University’s Love School of</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and on the Executive Leadership Board of the Frank Porter Graham Child Development</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Institute. Ms. Battle was a member of the Board of the Southeastern Wind Coalition from 2018 to</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 and the Board of Directors of Primo Water Corporation (PRMW) from 2019 to 2020 and has</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been a member of the Boards of Directors of Unifi, Inc. (UFI) and Nu Skin Enterprises, Inc. (NUS)</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since 2021. Ms. Battle’s knowledge and expertise in e-commerce, digital technology, sales and</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marketing bring much needed skills to the Board as do her commitments to sustainability and social</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responsibility.</w:t>
            </w:r>
          </w:p>
        </w:tc>
      </w:tr>
      <w:tr>
        <w:trPr>
          <w:trHeight w:val="4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John R. Belk</w:t>
            </w:r>
          </w:p>
        </w:tc>
        <w:tc>
          <w:tcPr>
            <w:tcW w:w="90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Investor. President and Chief Operating Officer of Belk, Inc., from 2004 to 2016. As former</w:t>
            </w:r>
          </w:p>
        </w:tc>
      </w:tr>
      <w:tr>
        <w:trPr>
          <w:trHeight w:val="21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of a major department store chain and a director of other public companies (including</w:t>
            </w:r>
          </w:p>
        </w:tc>
      </w:tr>
      <w:tr>
        <w:trPr>
          <w:trHeight w:val="232"/>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Harris Teeter Supermarkets, Inc. from 1997-2014) over the last twenty years, Mr. Belk’s knowledge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7134225" cy="813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13435"/>
                    </a:xfrm>
                    <a:prstGeom prst="rect">
                      <a:avLst/>
                    </a:prstGeom>
                    <a:noFill/>
                  </pic:spPr>
                </pic:pic>
              </a:graphicData>
            </a:graphic>
          </wp:anchor>
        </w:drawing>
      </w:r>
    </w:p>
    <w:p>
      <w:pPr>
        <w:jc w:val="both"/>
        <w:ind w:left="4000"/>
        <w:spacing w:after="0" w:line="251" w:lineRule="auto"/>
        <w:rPr>
          <w:sz w:val="20"/>
          <w:szCs w:val="20"/>
          <w:color w:val="auto"/>
        </w:rPr>
      </w:pPr>
      <w:r>
        <w:rPr>
          <w:rFonts w:ascii="Times New Roman" w:cs="Times New Roman" w:eastAsia="Times New Roman" w:hAnsi="Times New Roman"/>
          <w:sz w:val="18"/>
          <w:szCs w:val="18"/>
          <w:color w:val="auto"/>
        </w:rPr>
        <w:t>of retail, real estate, emerging technologies, information security, merchandising and marketing is of great value to the Company, especially in the areas of retail and enhancing the consumer’s connection with our brand.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Occupation during past five years,</w:t>
            </w:r>
          </w:p>
        </w:tc>
      </w:tr>
      <w:tr>
        <w:trPr>
          <w:trHeight w:val="23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director since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74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directorships and qualifications</w:t>
            </w:r>
          </w:p>
        </w:tc>
      </w:tr>
      <w:tr>
        <w:trPr>
          <w:trHeight w:val="207"/>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0" w:type="dxa"/>
            <w:vAlign w:val="bottom"/>
          </w:tcPr>
          <w:p>
            <w:pPr>
              <w:spacing w:after="0"/>
              <w:rPr>
                <w:sz w:val="17"/>
                <w:szCs w:val="17"/>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Kristina Cashman</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w w:val="98"/>
              </w:rPr>
              <w:t>Chief Executive Officer, Guy and Larry Restaurants, LLC since 2024; President and Chief Executive</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Officer, Cashman Restaurant &amp; Retail Consulting since 2019; Chief Financial Officer, Hopdoddy</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Burger Bar, Inc. from 2014 to 2018; President of Guy and Larry Restaurants, Inc. from 2011 to 2014;</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 of Eddie V’s Restaurants, Inc. from 2006 through 2011; Chief Financial</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Officer and Secretary of P.F. Chang’s China Bistro, Inc. from 2001 to 2006; Director, Vera Bradley</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(VRA) since 2020 and Munchkin Inc. since 2022. As president of one restaurant chain and chief</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financial officer of four restaurant chains over most of the last 20 years, including a public company,</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with her service on boards of other retailers and manufacturers, and as an audit manager with Ernst &amp;</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Young LLP prior to her employment at P.F. Chang’s, Ms. Cashman brings development,</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financial and accounting experience to the Board and its Audit Committee.</w:t>
            </w: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Virginia W. Hamlet</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Founder and owner of Hamlet Vineyards and Hamlet Kitchen; former Director of the Harvest</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Foundation. Ms. Hamlet is well qualified to serve as a member of the Board of Directors due to her</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entrepreneurial and marketing background, her retail and online sales experience, her experience in</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and commercial architectural design, and her experience as a civic leader in the</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community.</w:t>
            </w: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 Walter McDowell</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Private Investor; Business Consultant. Chief Executive Officer, Carolinas/Virginia Banking –</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Wachovia Corporation from 2005 to 2007. Mr. McDowell’s more than 35 years of experience at</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Wachovia, including as the head of a major division of the bank, and later in financial and business</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consulting, provides valuable perspectives into the protection and deployment of the Company’s</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sheet and into its banking relationships, and provides the Audit Committee with valuable</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insights into the analysis of the Company’s financial statements.</w:t>
            </w: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Robert H. Spilman, Jr.</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Chairman since 2016 and President and Chief Executive Officer of the Company since 2000;</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 of the Company from 1997 to 2000. Director, Dominion</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Energy, Inc. (D), from 2009 to present. Mr. Spilman’s 40-year career at the Company, including more</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than 20 years as Chief Executive Officer, gives him an in-depth knowledge of the Company and the</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furniture industry.</w:t>
            </w: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William C. Wampler, Jr.</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Managing Member of Wampler Consulting Group, LLC since 1995 and of WSWRS, LLC since</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 former Executive Director, New College Institute (2012 to 2015); former member of the</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Senate of the Commonwealth of Virginia (1988 to 2012); Retired Colonel, U.S. Army Reserve. As a</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former member of the Senate of Virginia and being the former ranking member of the Finance</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Committee for his party, Mr. Wampler brings to the Board over 25 years of experience in leadership,</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developing consensus and balancing budgets.</w:t>
            </w: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William C. Warden, Jr.</w:t>
            </w:r>
          </w:p>
        </w:tc>
        <w:tc>
          <w:tcPr>
            <w:tcW w:w="900" w:type="dxa"/>
            <w:vAlign w:val="bottom"/>
            <w:gridSpan w:val="2"/>
            <w:shd w:val="clear" w:color="auto" w:fill="CCEEFF"/>
          </w:tcPr>
          <w:p>
            <w:pPr>
              <w:jc w:val="center"/>
              <w:ind w:left="31"/>
              <w:spacing w:after="0" w:line="195" w:lineRule="exact"/>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w w:val="99"/>
              </w:rPr>
              <w:t>Private Investor. Executive Vice President, Administration, Lowe’s Companies, Inc. (1996 to 2003).</w:t>
            </w: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Chair, Atrium Health Wake Forest Baptist. Through his senior management experience at a</w:t>
            </w:r>
          </w:p>
        </w:tc>
      </w:tr>
      <w:tr>
        <w:trPr>
          <w:trHeight w:val="213"/>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national retail chain, Mr. Warden brings to the Board expertise in real estate, legal, loss prevention</w:t>
            </w: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administrative matters that are particularly relevant to the Company’s retail operations.</w:t>
            </w:r>
          </w:p>
        </w:tc>
      </w:tr>
      <w:tr>
        <w:trPr>
          <w:trHeight w:val="428"/>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
          </w:tcPr>
          <w:p>
            <w:pPr>
              <w:jc w:val="right"/>
              <w:ind w:right="5491"/>
              <w:spacing w:after="0"/>
              <w:rPr>
                <w:sz w:val="20"/>
                <w:szCs w:val="20"/>
                <w:color w:val="auto"/>
              </w:rPr>
            </w:pPr>
            <w:r>
              <w:rPr>
                <w:rFonts w:ascii="Times New Roman" w:cs="Times New Roman" w:eastAsia="Times New Roman" w:hAnsi="Times New Roman"/>
                <w:sz w:val="18"/>
                <w:szCs w:val="18"/>
                <w:color w:val="auto"/>
              </w:rPr>
              <w:t>5</w:t>
            </w:r>
          </w:p>
        </w:tc>
      </w:tr>
      <w:tr>
        <w:trPr>
          <w:trHeight w:val="113"/>
        </w:trPr>
        <w:tc>
          <w:tcPr>
            <w:tcW w:w="2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Board Committee</w:t>
      </w:r>
    </w:p>
    <w:p>
      <w:pPr>
        <w:spacing w:after="0" w:line="224"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The Board of Directors has determined that each of Mses. Battle, Cashman and Hamlet, the Hon. Sen. Wampler and Messrs. Belk, McDowell and Warden are independent, as defined by NASDAQ. The Board of Directors met 4 times during the 2024 fiscal year. Each Director attended at least 75% of the meetings of the Board of Directors and committees on which such Director served. It is the policy of the Company that Directors nominated for election should attend annual meetings of stockholders. A regular meeting of the Board of Directors is scheduled in conjunction with the annual meeting, and all of the eight Directors who were then serving on and nominated for election to the Board attended last year’s annual meeting.</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Board of Directors currently has two standing committees: an Audit Committee and an Organization, Compensation and Nominating Committee.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charters for both of these committees are available on the Company’s website at </w:t>
      </w:r>
      <w:r>
        <w:rPr>
          <w:rFonts w:ascii="Times New Roman" w:cs="Times New Roman" w:eastAsia="Times New Roman" w:hAnsi="Times New Roman"/>
          <w:sz w:val="18"/>
          <w:szCs w:val="18"/>
          <w:i w:val="1"/>
          <w:iCs w:val="1"/>
          <w:color w:val="auto"/>
        </w:rPr>
        <w:t>www.bassettfurniture.com.</w:t>
      </w:r>
    </w:p>
    <w:p>
      <w:pPr>
        <w:spacing w:after="0" w:line="201" w:lineRule="exact"/>
        <w:rPr>
          <w:sz w:val="20"/>
          <w:szCs w:val="20"/>
          <w:color w:val="auto"/>
        </w:rPr>
      </w:pPr>
    </w:p>
    <w:p>
      <w:pPr>
        <w:ind w:right="40" w:firstLine="480"/>
        <w:spacing w:after="0" w:line="271" w:lineRule="auto"/>
        <w:rPr>
          <w:sz w:val="20"/>
          <w:szCs w:val="20"/>
          <w:color w:val="auto"/>
        </w:rPr>
      </w:pP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The Audit Committee is composed of Mses. Battle and Cashman (chairman) and Messrs. Belk and McDowell. Among other things, the Audit Committee engages or dismisses independent auditors; approves all audit, audit-related and other auditor fees and services; reviews, evaluates and monitors the performance of audit activities; reviews periodic financial filings; and reviews internal audit activities. The Board of Directors has determined that each member of the Audit Committee meets the current independence and experience requirements contained in the listing standards of NASDAQ. The Board of Directors has also determined that each of Ms. Cashman and Messrs. Belk and McDowell is an “audit committee financial expert” as defined in the regulations promulgated by the Securities and Exchange Commission (the “SEC”). The Audit Committee met 6 times during the 2024 fiscal year.</w:t>
      </w:r>
    </w:p>
    <w:p>
      <w:pPr>
        <w:spacing w:after="0" w:line="170"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u w:val="single" w:color="auto"/>
          <w:color w:val="auto"/>
        </w:rPr>
        <w:t>Organization, Compensation and Nominating Committee</w:t>
      </w:r>
      <w:r>
        <w:rPr>
          <w:rFonts w:ascii="Times New Roman" w:cs="Times New Roman" w:eastAsia="Times New Roman" w:hAnsi="Times New Roman"/>
          <w:sz w:val="18"/>
          <w:szCs w:val="18"/>
          <w:color w:val="auto"/>
        </w:rPr>
        <w:t>: The Organization, Compensation and Nominating Committee is composed of Mr. Warden, Ms. Hamlet and the Hon. Sen. Wampler (chairman). The Committee reviews and makes recommendations to the Board of Directors with respect to executive compensation; establishes, reviews and recommends changes to the organizational structure of the Company so as to best utilize the management resources to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3 times during the 2024 fiscal year.</w:t>
      </w:r>
    </w:p>
    <w:p>
      <w:pPr>
        <w:spacing w:after="0" w:line="185"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u w:val="single" w:color="auto"/>
          <w:color w:val="auto"/>
        </w:rPr>
        <w:t>Board Leadership Structure and Board’s Role in Risk Oversight</w:t>
      </w:r>
      <w:r>
        <w:rPr>
          <w:rFonts w:ascii="Times New Roman" w:cs="Times New Roman" w:eastAsia="Times New Roman" w:hAnsi="Times New Roman"/>
          <w:sz w:val="18"/>
          <w:szCs w:val="18"/>
          <w:color w:val="auto"/>
        </w:rPr>
        <w:t>. Robert H. Spilman, Jr. has served as the Company’s President and Chief Executive Officer since 2000 and also as Chairman of the Board since 2016. William C. Warden, Jr. currently serves as Lead Independent Director.</w:t>
      </w:r>
    </w:p>
    <w:p>
      <w:pPr>
        <w:spacing w:after="0" w:line="163"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The Board has no policy with respect to the separation of the offices of Chairman and the Chief Executive Officer. Mr. Spilman has worked forty years for the Company, including the last twenty-four years as President and CEO, and was named Chairman of the Board in 2016. Mr. Spilman has extensive knowledge of our industry, generally, and the Company’s business in particular. We believe this background enhances the role of Chairman of the Board in the development of long-term strategic plans and serving as counsel to senior management in the implementation of such plans.</w:t>
      </w:r>
    </w:p>
    <w:p>
      <w:pPr>
        <w:spacing w:after="0" w:line="181"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Mr. Warden, who currently serves on the Organization, Compensation and Nominating Committee and having previously served as Audit Committee chairman, was named Lead Independent Director in 2016. As Lead Independent Director, Mr. Warden is involved in the Board meeting agenda, consults with Board committee chairs, serves as liaison between the Chairman and the rest of the Board, presides during meetings of the Board in executive session and in the Chairman’s absence, and consults with the Chairman on stockholder and board matters.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Our Board of Directors believes that this leadership structure helps provide a well-functioning and effective balance between strong company leadership, an independent Lead Director and oversight by active, independent directors. For the above reasons, the Board of Directors believes the current leadership structure is appropriate for the Company.</w:t>
      </w:r>
    </w:p>
    <w:p>
      <w:pPr>
        <w:spacing w:after="0" w:line="176"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Our Board of Directors also believes that full and open communication between management and the Board of Directors is essential for effective risk management and oversight. Our Board meets with senior management at regular Board meetings to discuss strategy and risks facing the Company. Periodically, senior management delivers presentations to our Board or a Board committee regarding strategic matters and matters involving material risk.</w:t>
      </w:r>
    </w:p>
    <w:p>
      <w:pPr>
        <w:spacing w:after="0" w:line="176"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While our Board of Directors is ultimately responsible for risk oversight, our Board committees assist the Board in fulfilling its oversight responsibilities in certain areas of risk. While Board committees are responsible for assisting the Board in evaluating certain risks and overseeing the management of such risks, our entire Board of Directors is regularly informed through management and committee reports about such risks and steps taken to manage and mitigate them.</w:t>
      </w:r>
    </w:p>
    <w:p>
      <w:pPr>
        <w:spacing w:after="0" w:line="18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 Audit Committee assists our Board in fulfilling its oversight responsibilities with respect to risk management in the areas of internal control over financial reporting, disclosure controls and procedures, cyber and information security, and legal and regulatory compliance. The Audit Committee discusses with management and the independent auditor significant business, financial and legal risk exposures and the steps management has taken to monitor and control such exposure. As it continues to monitor and take steps to protect against, prevent and prepare to respond to cyber security threats, management reports on those efforts to the Audit Committee multiple times per year and at least annually to the Board. Several members of the Board, including members of the Audit Committee have significant exposure to information security, digital technology and cyber risk through firsthand experience in retail operations and online sales and marketing.</w:t>
      </w:r>
    </w:p>
    <w:p>
      <w:pPr>
        <w:spacing w:after="0" w:line="187" w:lineRule="exact"/>
        <w:rPr>
          <w:sz w:val="20"/>
          <w:szCs w:val="20"/>
          <w:color w:val="auto"/>
        </w:rPr>
      </w:pPr>
    </w:p>
    <w:p>
      <w:pPr>
        <w:ind w:right="160" w:firstLine="480"/>
        <w:spacing w:after="0" w:line="254" w:lineRule="auto"/>
        <w:rPr>
          <w:sz w:val="20"/>
          <w:szCs w:val="20"/>
          <w:color w:val="auto"/>
        </w:rPr>
      </w:pPr>
      <w:r>
        <w:rPr>
          <w:rFonts w:ascii="Times New Roman" w:cs="Times New Roman" w:eastAsia="Times New Roman" w:hAnsi="Times New Roman"/>
          <w:sz w:val="18"/>
          <w:szCs w:val="18"/>
          <w:color w:val="auto"/>
        </w:rPr>
        <w:t>The Organization, Compensation and Nominating (OCN) Committee assists our Board in fulfilling its oversight responsibilities with respect to the management of risks arising from our compensation policies and programs, board organization, membership and structure, corporate governance and succession planning for our Directors and senior management. The OCN Committee is responsible for overseeing development and maintenance of human capital and reviews management’s analysis of the Company’s diversity and inclusion efforts, the results of which are shared with the Board at each regular meeting.</w:t>
      </w:r>
    </w:p>
    <w:p>
      <w:pPr>
        <w:spacing w:after="0" w:line="395" w:lineRule="exact"/>
        <w:rPr>
          <w:sz w:val="20"/>
          <w:szCs w:val="20"/>
          <w:color w:val="auto"/>
        </w:rPr>
      </w:pPr>
    </w:p>
    <w:tbl>
      <w:tblPr>
        <w:tblLayout w:type="fixed"/>
        <w:tblInd w:w="56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40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4"/>
        </w:trPr>
        <w:tc>
          <w:tcPr>
            <w:tcW w:w="2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2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 paid in</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8"/>
              </w:rPr>
              <w:t xml:space="preserve">cash </w:t>
            </w:r>
            <w:r>
              <w:rPr>
                <w:rFonts w:ascii="Times New Roman" w:cs="Times New Roman" w:eastAsia="Times New Roman" w:hAnsi="Times New Roman"/>
                <w:sz w:val="27"/>
                <w:szCs w:val="27"/>
                <w:b w:val="1"/>
                <w:bCs w:val="1"/>
                <w:color w:val="auto"/>
                <w:w w:val="98"/>
                <w:vertAlign w:val="superscript"/>
              </w:rPr>
              <w:t>(1)</w:t>
            </w:r>
            <w:r>
              <w:rPr>
                <w:rFonts w:ascii="Times New Roman" w:cs="Times New Roman" w:eastAsia="Times New Roman" w:hAnsi="Times New Roman"/>
                <w:sz w:val="17"/>
                <w:szCs w:val="17"/>
                <w:b w:val="1"/>
                <w:bCs w:val="1"/>
                <w:color w:val="auto"/>
                <w:w w:val="98"/>
              </w:rPr>
              <w:t xml:space="preserve"> ($)</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(2)</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4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94,995</w:t>
            </w: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John R. Belk</w:t>
            </w:r>
          </w:p>
        </w:tc>
        <w:tc>
          <w:tcPr>
            <w:tcW w:w="4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94,995</w:t>
            </w:r>
          </w:p>
        </w:tc>
      </w:tr>
      <w:tr>
        <w:trPr>
          <w:trHeight w:val="21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Kristina Cashman</w:t>
            </w:r>
          </w:p>
        </w:tc>
        <w:tc>
          <w:tcPr>
            <w:tcW w:w="4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104,995</w:t>
            </w: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Virginia W. Hamlet</w:t>
            </w:r>
          </w:p>
        </w:tc>
        <w:tc>
          <w:tcPr>
            <w:tcW w:w="4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94,995</w:t>
            </w:r>
          </w:p>
        </w:tc>
      </w:tr>
      <w:tr>
        <w:trPr>
          <w:trHeight w:val="21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Walter McDowell</w:t>
            </w:r>
          </w:p>
        </w:tc>
        <w:tc>
          <w:tcPr>
            <w:tcW w:w="4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94,995</w:t>
            </w: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William C. Wampler, Jr.</w:t>
            </w:r>
          </w:p>
        </w:tc>
        <w:tc>
          <w:tcPr>
            <w:tcW w:w="4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99,995</w:t>
            </w:r>
          </w:p>
        </w:tc>
      </w:tr>
      <w:tr>
        <w:trPr>
          <w:trHeight w:val="21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Warden, Jr.</w:t>
            </w:r>
          </w:p>
        </w:tc>
        <w:tc>
          <w:tcPr>
            <w:tcW w:w="4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39,995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109,995</w:t>
            </w:r>
          </w:p>
        </w:tc>
      </w:tr>
    </w:tbl>
    <w:p>
      <w:pPr>
        <w:spacing w:after="0" w:line="98" w:lineRule="exact"/>
        <w:rPr>
          <w:sz w:val="20"/>
          <w:szCs w:val="20"/>
          <w:color w:val="auto"/>
        </w:rPr>
      </w:pPr>
    </w:p>
    <w:p>
      <w:pPr>
        <w:ind w:left="480" w:hanging="473"/>
        <w:spacing w:after="0"/>
        <w:tabs>
          <w:tab w:leader="none" w:pos="48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annual retainer fee, committee chairperson retainer fee and Lead Independent Director retainer fee.</w:t>
      </w:r>
    </w:p>
    <w:p>
      <w:pPr>
        <w:spacing w:after="0" w:line="9" w:lineRule="exact"/>
        <w:rPr>
          <w:rFonts w:ascii="Times New Roman" w:cs="Times New Roman" w:eastAsia="Times New Roman" w:hAnsi="Times New Roman"/>
          <w:sz w:val="27"/>
          <w:szCs w:val="27"/>
          <w:color w:val="auto"/>
          <w:vertAlign w:val="superscript"/>
        </w:rPr>
      </w:pPr>
    </w:p>
    <w:p>
      <w:pPr>
        <w:ind w:left="480" w:right="160" w:hanging="473"/>
        <w:spacing w:after="0" w:line="189" w:lineRule="auto"/>
        <w:tabs>
          <w:tab w:leader="none" w:pos="48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Under the 2021 Stock Incentive Plan, each of the Company’s non-employee Directors received an award of 2,587 shares of restricted stock on March 6, 2024. These shares had a grant date fair value of $15.46 and will vest on March 6, 2025.</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ind w:right="100" w:firstLine="480"/>
        <w:spacing w:after="0" w:line="262" w:lineRule="auto"/>
        <w:rPr>
          <w:sz w:val="20"/>
          <w:szCs w:val="20"/>
          <w:color w:val="auto"/>
        </w:rPr>
      </w:pPr>
      <w:r>
        <w:rPr>
          <w:rFonts w:ascii="Times New Roman" w:cs="Times New Roman" w:eastAsia="Times New Roman" w:hAnsi="Times New Roman"/>
          <w:sz w:val="18"/>
          <w:szCs w:val="18"/>
          <w:color w:val="auto"/>
        </w:rPr>
        <w:t>The Organization, Compensation and Nominating Committee is responsible for recommending director compensation to the Board of Directors. The following compensation arrangements have been recommended by the Organization, Compensation and Nominating Committee and approved by the Board of Directors.</w:t>
      </w:r>
    </w:p>
    <w:p>
      <w:pPr>
        <w:spacing w:after="0" w:line="176" w:lineRule="exact"/>
        <w:rPr>
          <w:sz w:val="20"/>
          <w:szCs w:val="20"/>
          <w:color w:val="auto"/>
        </w:rPr>
      </w:pPr>
    </w:p>
    <w:p>
      <w:pPr>
        <w:ind w:right="220" w:firstLine="480"/>
        <w:spacing w:after="0" w:line="254" w:lineRule="auto"/>
        <w:rPr>
          <w:sz w:val="20"/>
          <w:szCs w:val="20"/>
          <w:color w:val="auto"/>
        </w:rPr>
      </w:pPr>
      <w:r>
        <w:rPr>
          <w:rFonts w:ascii="Times New Roman" w:cs="Times New Roman" w:eastAsia="Times New Roman" w:hAnsi="Times New Roman"/>
          <w:sz w:val="18"/>
          <w:szCs w:val="18"/>
          <w:color w:val="auto"/>
        </w:rPr>
        <w:t>Directors who are not employees of the Company receive an annual retainer fee of $55,000. The Lead Independent Director receives an additional annual retainer fee of $15,000, the chairperson of the Audit Committee receives an additional annual retainer fee of $10,000 and the chairperson of the Organization, Compensation and Nominating Committee receives an additional annual retainer fee of $5,000. Under the 2021 Stock Incentive Plan, each non-employee director received an annual grant of $40,000 in restricted stock following the 2024 Annual Meeting of Stockholders. Directors who are also employees of the Company receive no additional compensation for serving as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The Board established stock ownership guidelines for non-employee Directors receiving restricted stock. Non-employee Directors should not sell common stock of the Company until each non-employee Director accumulates and holds common stock of the Company with a minimum value equivalent to five times the Director’s annual retainer and other fees for the previous year. All non-employee Directors are in compliance with the stock ownership guidelines as of the end of fiscal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Governing Director Nominations</w:t>
      </w:r>
    </w:p>
    <w:p>
      <w:pPr>
        <w:spacing w:after="0" w:line="224" w:lineRule="exact"/>
        <w:rPr>
          <w:sz w:val="20"/>
          <w:szCs w:val="20"/>
          <w:color w:val="auto"/>
        </w:r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The Organization, Compensation and Nominating Committee evaluates candidates taking into account their individual skills and characteristics relative to the skills and characteristics of the current Board as a whole. Factors considered include diversity, age and such skills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understanding of appropriate technologies, work experience relevant to the Company’s businesses, and decision-making ability) as are suited to the Company’s and the Board’s needs at the time. Although the Company has no diversity policy, the Board believes that diversity with respect to factors such as background, experience, skills, race, gender and national origin is an important consideration in board composition.</w:t>
      </w:r>
    </w:p>
    <w:p>
      <w:pPr>
        <w:spacing w:after="0" w:line="186"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Two members of the Organization, Compensation and Nominating Committee are selected each year to identify, screen, interview and submit Director candidates to the Organization, Compensation and Nominating Committee. Prospective candidates are typically identified by current non-management or former members of the Board. This process begins after an annual assessment and report by the Organization, Compensation and Nominating Committee to the full Board.</w:t>
      </w:r>
    </w:p>
    <w:p>
      <w:pPr>
        <w:spacing w:after="0" w:line="181"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The Organization, Compensation and Nominating Committee will consider Director candidates recommended by stockholders. A stockholder requesting that a recommendation be reviewed by the Organization, Compensation and Nominating Committee should submit such information as the stockholder deems pertinent for service on the Board, such as age, experience and skills, and any other information required to be disclosed in a proxy statement regarding the prospect. This information must be accompanied by the prospective candidate’s written consent to serve on the Board of Directors if nominated and elected. This information should be received by the Secretary of the Company at P.O. Box 626, Bassett, Virginia 24055, by December 12, 2025 for nominations to be made at the 2026 Annual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Party Communications with the Board of Directors</w:t>
      </w:r>
    </w:p>
    <w:p>
      <w:pPr>
        <w:spacing w:after="0" w:line="224" w:lineRule="exact"/>
        <w:rPr>
          <w:sz w:val="20"/>
          <w:szCs w:val="20"/>
          <w:color w:val="auto"/>
        </w:rPr>
      </w:pPr>
    </w:p>
    <w:p>
      <w:pPr>
        <w:ind w:right="300" w:firstLine="480"/>
        <w:spacing w:after="0" w:line="262" w:lineRule="auto"/>
        <w:rPr>
          <w:sz w:val="20"/>
          <w:szCs w:val="20"/>
          <w:color w:val="auto"/>
        </w:rPr>
      </w:pPr>
      <w:r>
        <w:rPr>
          <w:rFonts w:ascii="Times New Roman" w:cs="Times New Roman" w:eastAsia="Times New Roman" w:hAnsi="Times New Roman"/>
          <w:sz w:val="18"/>
          <w:szCs w:val="18"/>
          <w:color w:val="auto"/>
        </w:rPr>
        <w:t>Interested parties, including security holders, may send communications to the Board of Directors by mailing the same addressed to the Board of Directors (or addressed to a specific individual Director), Bassett Furniture Industries, Incorporated, P.O. Box 626, Bassett, Virginia 24055. The Board of Directors, including a majority of the independent directors, has adopted a procedure for receiving and addressing such communications.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4"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The Company maintains a Code of Business Conduct (the “Code”), which is administered by the Audit Committee and is applicable to all of the Company’s employees, officers and Directors. The purpose of the Code is to convey the Company’s policies and practices for conducting business in accordance with its commitment to applying high ethical standards to its business practice. Any waiver of the Code for executive officers or Directors will be made only by the Board of Directors or its Audit Committee and will be promptly disclosed. In support of the Code, the Company has provided employees with a number of avenues for the reporting of ethics violations or similar concerns, including a process for making such reports anonymously.</w:t>
      </w:r>
    </w:p>
    <w:p>
      <w:pPr>
        <w:spacing w:after="0" w:line="186"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 xml:space="preserve">The Code was adopted by the Board of Directors and is reviewed periodically by the Board of Directors. The Code is available for review on the Company’s website, </w:t>
      </w:r>
      <w:r>
        <w:rPr>
          <w:rFonts w:ascii="Times New Roman" w:cs="Times New Roman" w:eastAsia="Times New Roman" w:hAnsi="Times New Roman"/>
          <w:sz w:val="18"/>
          <w:szCs w:val="18"/>
          <w:i w:val="1"/>
          <w:iCs w:val="1"/>
          <w:color w:val="auto"/>
        </w:rPr>
        <w:t>www.bassettfurniture.com</w:t>
      </w:r>
      <w:r>
        <w:rPr>
          <w:rFonts w:ascii="Times New Roman" w:cs="Times New Roman" w:eastAsia="Times New Roman" w:hAnsi="Times New Roman"/>
          <w:sz w:val="18"/>
          <w:szCs w:val="18"/>
          <w:color w:val="auto"/>
        </w:rPr>
        <w:t>, and the Company will post any amendments to, or waivers for executive officers from the Code on that website. A copy of the Code may be obtained, without charge, upon written request to Jay R. Hervey, Secretary, Bassett Furniture Industries, Incorporated, P.O. Box 626, Bassett, Virginia 24055. Information on our website is not, and will not be deemed to be, a part of this Proxy Statement or incorporated into any other filings with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4"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The Company recognizes that transactions between Bassett and related persons present a potential for actual or perceived conflicts of interest. The Company’s general policies with respect to such transactions are included in its Code. As a supplement to the Code, the Audit Committee adopted a written policy setting out the procedures and standards to be followed for the identification and evaluation of “related party transactions.” For purposes of the policy, a related party transaction is any transaction or series of related transactions in excess of $120,000 in which the Company is a party and in which a “related person” has a material interest. Related persons include Directors, Director nominees, executive officers, 5% beneficial owners and members of their immediate families. The Audit Committee determined that certain transactions are deemed to be pre-approved under this policy. These include (i) transactions with another company in which the related person’s only interest is as a director or a beneficial owner of less than 10% of that company’s outstanding stock or limited partnership interests, or both, and (ii) certain compensation arrangements that have either been disclosed in our proxy statement or approved by our Organization, Compensation and Nominating Committee, which administers the policy.</w:t>
      </w:r>
    </w:p>
    <w:p>
      <w:pPr>
        <w:spacing w:after="0" w:line="187"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The Company collects information about potential related party transactions in its annual questionnaires completed by Directors and executive officers. Potential related party transactions are first reviewed and assessed by our General Counsel to consider the materiality of the transactions and then reported to the Organization, Compensation, and Nominating Committee, which administers the policy. The Organization, Compensation, and Nominating Committee reviews and considers all relevant information available to it about each related party transaction. A related party transaction is approved or ratified only if the Organization, Compensation, and Nominating Committee determines that it is in, or is not inconsistent with, the best interests of the Company and its stockholders and in compliance with the Code.</w:t>
      </w:r>
    </w:p>
    <w:p>
      <w:pPr>
        <w:spacing w:after="0" w:line="185"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17"/>
          <w:szCs w:val="17"/>
          <w:color w:val="auto"/>
        </w:rPr>
        <w:t xml:space="preserve">A son (Tyler Bassett) of John E. Bassett, III is an employee of the Company and was paid $168,636 in salary, restricted stock and benefits in 2023, and $161,522 in salary and benefits in 2024. A daughter (Anne Spilman) of Robert H. Spilman, Jr. is an employee of the Company and was paid $171,273 in salary, restricted stock and benefits in 2023, and $147,847 in salary and benefits in 2024. A son (Robert H. Spilman III) of Robert H. Spilman, Jr. is an employee of the Company and was paid $164,920 in salary, restricted stock and benefits in 2023, and $168,025 in salary and benefits in 2024. These employment arrangements were reported to the Organization, Compensation, and Nominating Committee, which approved them in accordance with the above policy. In 2023, the Company, after receiving the Organization, Compensation, and Nominating Committee’s approval, invested $10 million in the Gabelli U.S. Treasury Money Market Fund managed by Gabelli Funds, LLC, which is an affiliate of 5% or more shareholder GAMCO Investors, Inc.,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is composed of four Directors and operates under a written charter adopted by the Board of Directors and annually reassessed and updated by the Audit Committee, as needed, in accordance with applicable rules of the SEC and NASDAQ. Each of the members of the Audit Committee is independent, as defined by NASDAQ.</w:t>
      </w:r>
    </w:p>
    <w:p>
      <w:pPr>
        <w:spacing w:after="0" w:line="17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independent registered public accounting firm is responsible for performing an independent audit of the Company’s financial statements and internal control over financial reporting and issuing their report thereon. The Audit Committee’s primary responsibility is to monitor and oversee these processes. The Audit Committee also selects the Company’s independent registered public accounting firm.</w:t>
      </w:r>
    </w:p>
    <w:p>
      <w:pPr>
        <w:spacing w:after="0" w:line="18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this context, the Audit Committee has reviewed and discussed the Company’s financial statements with both management and the independent registered public accounting firm. The Audit Committee also discussed with the independent registered public accounting firm matters required of auditors to be discussed by auditing standards generally accepted in the United States, including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as adopted by the Public Company Accounting Oversight Board. The Company’s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firm also provided to the Audit Committee the written disclosures and the letter required pursuant to Rule 3526 of the Public Company Accounting Oversight Board,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and the Audit Committee discussed with the independent registered public accounting firm their independence.</w:t>
      </w:r>
    </w:p>
    <w:p>
      <w:pPr>
        <w:spacing w:after="0" w:line="187" w:lineRule="exact"/>
        <w:rPr>
          <w:sz w:val="20"/>
          <w:szCs w:val="20"/>
          <w:color w:val="auto"/>
        </w:rPr>
      </w:pPr>
    </w:p>
    <w:p>
      <w:pPr>
        <w:ind w:right="300" w:firstLine="480"/>
        <w:spacing w:after="0" w:line="257"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of Directors that the audited financial statements be included in the Company’s Annual Report on Form 10-K for the fiscal year ended November 30, 2024 filed with the Securities and Exchange Commission. The Audit Committee also recommends that the stockholders ratify the retention of Ernst &amp; Young LLP as the Company’s independent registered public accounting firm for the fiscal year ending November 29, 2025.</w:t>
      </w:r>
    </w:p>
    <w:p>
      <w:pPr>
        <w:spacing w:after="0" w:line="18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Kristina Cashman, Chairman</w:t>
      </w:r>
    </w:p>
    <w:p>
      <w:pPr>
        <w:spacing w:after="0" w:line="25"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Emma S. Battle</w:t>
      </w:r>
    </w:p>
    <w:p>
      <w:pPr>
        <w:spacing w:after="0" w:line="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John R. Belk</w:t>
      </w:r>
    </w:p>
    <w:p>
      <w:pPr>
        <w:spacing w:after="0" w:line="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J. Walter McDowell</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the material elements of compensation paid to our executive officers as well as the objectives and material factors underlying our compensation policies and decisions. The information in this CD&amp;A provides context for the compensation disclosures in the tables and related discussions that follow in this proxy statement. The Organization, Compensation and Nominating Committee of the Board, which oversees our executive compensation program, is referred to as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in this CD&amp;A. The terms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refer to Bassett Furniture Industries, Incorporated. When we refer to the “</w:t>
      </w:r>
      <w:r>
        <w:rPr>
          <w:rFonts w:ascii="Times New Roman" w:cs="Times New Roman" w:eastAsia="Times New Roman" w:hAnsi="Times New Roman"/>
          <w:sz w:val="18"/>
          <w:szCs w:val="18"/>
          <w:i w:val="1"/>
          <w:iCs w:val="1"/>
          <w:color w:val="auto"/>
        </w:rPr>
        <w:t>named executive officers</w:t>
      </w:r>
      <w:r>
        <w:rPr>
          <w:rFonts w:ascii="Times New Roman" w:cs="Times New Roman" w:eastAsia="Times New Roman" w:hAnsi="Times New Roman"/>
          <w:sz w:val="18"/>
          <w:szCs w:val="18"/>
          <w:color w:val="auto"/>
        </w:rPr>
        <w:t>” we are referring to the four individuals listed in the Summary Compensation Table appearing later in this proxy statement.</w:t>
      </w:r>
    </w:p>
    <w:p>
      <w:pPr>
        <w:spacing w:after="0" w:line="18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Committee has assisted the Company in developing and implementing compensation policies and programs which seek to improve the profitability of the Company and to maximize stockholder value over time. To accomplish this, the Directors who comprise the Committee have developed executive compensation policies that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home furnishings environment.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4"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The primary goal of our executive compensation program is the same as our goal for operating the Company – to maximize corporate performance and thereby create value for our stockholders. To achieve this goal we have designed our executive compensation program to achieve the following objectives:</w:t>
      </w:r>
    </w:p>
    <w:p>
      <w:pPr>
        <w:spacing w:after="0" w:line="176" w:lineRule="exact"/>
        <w:rPr>
          <w:sz w:val="20"/>
          <w:szCs w:val="20"/>
          <w:color w:val="auto"/>
        </w:rPr>
      </w:pPr>
    </w:p>
    <w:p>
      <w:pPr>
        <w:ind w:left="480" w:hanging="313"/>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246"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246" w:lineRule="exact"/>
        <w:rPr>
          <w:rFonts w:ascii="Times New Roman" w:cs="Times New Roman" w:eastAsia="Times New Roman" w:hAnsi="Times New Roman"/>
          <w:sz w:val="18"/>
          <w:szCs w:val="18"/>
          <w:color w:val="auto"/>
        </w:rPr>
      </w:pPr>
    </w:p>
    <w:p>
      <w:pPr>
        <w:ind w:left="480" w:right="460" w:hanging="313"/>
        <w:spacing w:after="0" w:line="277"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and stockholders, by encouraging executives to increase stockholder value and rewarding executives when stockholder value increases; and</w:t>
      </w:r>
    </w:p>
    <w:p>
      <w:pPr>
        <w:spacing w:after="0" w:line="162" w:lineRule="exact"/>
        <w:rPr>
          <w:rFonts w:ascii="Times New Roman" w:cs="Times New Roman" w:eastAsia="Times New Roman" w:hAnsi="Times New Roman"/>
          <w:sz w:val="18"/>
          <w:szCs w:val="18"/>
          <w:color w:val="auto"/>
        </w:rPr>
      </w:pPr>
    </w:p>
    <w:p>
      <w:pPr>
        <w:ind w:left="480" w:hanging="313"/>
        <w:spacing w:after="0" w:line="277"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manage our business to meet our short-term and long-term corporate goals and business objectives, and to reward them for meeting these objectives.</w:t>
      </w:r>
    </w:p>
    <w:p>
      <w:pPr>
        <w:spacing w:after="0" w:line="163"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We use a mix of short-term compensation in the form of base salaries and cash incentive bonuses and long-term compensation in the form of equity incentive awards to provide a total compensation structure that is designed to encourage our executives to achieve these objectives. All of our executive employees are employed at-will.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Executive Compensation</w:t>
      </w:r>
    </w:p>
    <w:p>
      <w:pPr>
        <w:spacing w:after="0" w:line="224"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The Committee is responsible for developing, administering and interpreting the compensation program for executive officers and other key employees. The Committee was appointed by our Board of Directors and consists entirely of Directors who are “non-employee directors” for purposes of Rule 16b-3 under the Securities Exchange Act of 1934 and independent under the NASDAQ listing standards. The Committee may delegate some or all of its responsibilities to one or more subcommittees whenever necessary to comply with any statutory or regulatory requirements or otherwise deemed appropriate by the Committee. The Committee has the authority to retain consultants and other advisors to assist with its duties and has sole authority to approve the fees and other retention terms of such consultants and advisors.</w:t>
      </w:r>
    </w:p>
    <w:p>
      <w:pPr>
        <w:spacing w:after="0" w:line="185"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8"/>
          <w:szCs w:val="18"/>
          <w:color w:val="auto"/>
        </w:rPr>
        <w:t>Our chief executive officer makes recommendations to the Committee regarding the salaries, bonus arrangements and equity grants, if any, for key employees, including all executive officers, except himself.</w:t>
      </w:r>
    </w:p>
    <w:p>
      <w:pPr>
        <w:spacing w:after="0" w:line="163"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Based on the foregoing, the Committee uses its judgment in making compensation decisions that will best carry out our philosophy and objectives for executive compensation. The decisions are reviewed by the full Board, with the exception of decisions on stock or option awards which are made by the Committee to satisfy certain legal requirements.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13" w:name="page14"/>
    <w:bookmarkEnd w:id="13"/>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Within the context of the overall objectives of our compensation programs, we determined the specific amounts of compensation to be paid to each of our executives in fiscal 2023 based on a number of factors including:</w:t>
      </w:r>
    </w:p>
    <w:p>
      <w:pPr>
        <w:spacing w:after="0" w:line="163" w:lineRule="exact"/>
        <w:rPr>
          <w:sz w:val="20"/>
          <w:szCs w:val="20"/>
          <w:color w:val="auto"/>
        </w:rPr>
      </w:pPr>
    </w:p>
    <w:p>
      <w:pPr>
        <w:ind w:left="480" w:hanging="31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roles and responsibilities of our executives;</w:t>
      </w:r>
    </w:p>
    <w:p>
      <w:pPr>
        <w:spacing w:after="0" w:line="246"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experience and skills of our executives;</w:t>
      </w:r>
    </w:p>
    <w:p>
      <w:pPr>
        <w:spacing w:after="0" w:line="246"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compensation being paid to our other executives;</w:t>
      </w:r>
    </w:p>
    <w:p>
      <w:pPr>
        <w:spacing w:after="0" w:line="246"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historical compensation at our Company; and</w:t>
      </w:r>
    </w:p>
    <w:p>
      <w:pPr>
        <w:spacing w:after="0" w:line="246" w:lineRule="exact"/>
        <w:rPr>
          <w:rFonts w:ascii="Times New Roman" w:cs="Times New Roman" w:eastAsia="Times New Roman" w:hAnsi="Times New Roman"/>
          <w:sz w:val="18"/>
          <w:szCs w:val="18"/>
          <w:color w:val="auto"/>
        </w:rPr>
      </w:pPr>
    </w:p>
    <w:p>
      <w:pPr>
        <w:ind w:left="480" w:right="880" w:hanging="313"/>
        <w:spacing w:after="0" w:line="27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the amount of compensation generally paid by similarly situated companies to their executives with similar roles and responsibilities.</w:t>
      </w:r>
    </w:p>
    <w:p>
      <w:pPr>
        <w:spacing w:after="0" w:line="16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In evaluating the compensation generally paid by similarly situated companies, we have historically taken into account available data relating to the compensation practices of other companies within and outside our industry, with advice from our independent compensation consultant, Korn Ferry. Our peer group for 2024 consisted of American Woodmark, Culp, Ethan Allen Interiors, Flexsteel Industries, Haverty Furniture, Hooker Furnishings, Kirkland’s, La-Z-Boy, Lovesac, Sleep Number and Purple Innovation. Korn Ferry does not provide any other services to the Company and the Compensation Committee has determined that Korn Ferry’s work does not present any conflict of interest with the Company. With advice from Korn Ferry, for our 2024 peer group we added Sleep Number, replacing Kimball International, which was acquired in 2023 and is no longer a publicly traded company, and we have removed Bowflex after the filing of its bankruptcy petition.</w:t>
      </w:r>
    </w:p>
    <w:p>
      <w:pPr>
        <w:spacing w:after="0" w:line="187" w:lineRule="exact"/>
        <w:rPr>
          <w:sz w:val="20"/>
          <w:szCs w:val="20"/>
          <w:color w:val="auto"/>
        </w:rPr>
      </w:pPr>
    </w:p>
    <w:p>
      <w:pPr>
        <w:ind w:firstLine="480"/>
        <w:spacing w:after="0" w:line="211" w:lineRule="auto"/>
        <w:rPr>
          <w:sz w:val="20"/>
          <w:szCs w:val="20"/>
          <w:color w:val="auto"/>
        </w:rPr>
      </w:pPr>
      <w:r>
        <w:rPr>
          <w:rFonts w:ascii="Times New Roman" w:cs="Times New Roman" w:eastAsia="Times New Roman" w:hAnsi="Times New Roman"/>
          <w:sz w:val="18"/>
          <w:szCs w:val="18"/>
          <w:color w:val="auto"/>
        </w:rPr>
        <w:t>During 2023, Korn Ferry, prepared for the Compensation Committee a report analyzing our named executive officers’ pay compared to our peers. The analysis relative to our peer group found that total direct compensation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salary, annual bonus and equity incentives combined) was below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our CEO and for our other named executive officers.</w:t>
      </w:r>
    </w:p>
    <w:p>
      <w:pPr>
        <w:spacing w:after="0" w:line="197" w:lineRule="exact"/>
        <w:rPr>
          <w:sz w:val="20"/>
          <w:szCs w:val="20"/>
          <w:color w:val="auto"/>
        </w:rPr>
      </w:pPr>
    </w:p>
    <w:p>
      <w:pPr>
        <w:ind w:right="960" w:firstLine="480"/>
        <w:spacing w:after="0" w:line="277" w:lineRule="auto"/>
        <w:rPr>
          <w:sz w:val="20"/>
          <w:szCs w:val="20"/>
          <w:color w:val="auto"/>
        </w:rPr>
      </w:pPr>
      <w:r>
        <w:rPr>
          <w:rFonts w:ascii="Times New Roman" w:cs="Times New Roman" w:eastAsia="Times New Roman" w:hAnsi="Times New Roman"/>
          <w:sz w:val="18"/>
          <w:szCs w:val="18"/>
          <w:color w:val="auto"/>
        </w:rPr>
        <w:t>At the 2024 Annual Meeting of Stockholders, we received substantial support for the compensation of our named executive officers, with approximately 97% of the votes cast on the “say-on-pay” proposal approving such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Total Compensation</w:t>
      </w:r>
    </w:p>
    <w:p>
      <w:pPr>
        <w:spacing w:after="0" w:line="224"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In fiscal 2024, consistent with the Company’s policy that a substantial portion of each named executive officer’s potential cash compensation be based on performance, the annual performance-based bonus award target for such officers in fiscal 2024 ranged from 16% to 24% of total target cash compensation. Due to the Company’s performance, no annual bonuses were paid to our named executive officers as discussed in more detail below. We granted long-term equity incentive awards to our named executive officers in fiscal 2023 as described below under the section captioned “</w:t>
      </w:r>
      <w:r>
        <w:rPr>
          <w:rFonts w:ascii="Times New Roman" w:cs="Times New Roman" w:eastAsia="Times New Roman" w:hAnsi="Times New Roman"/>
          <w:sz w:val="18"/>
          <w:szCs w:val="18"/>
          <w:i w:val="1"/>
          <w:iCs w:val="1"/>
          <w:color w:val="auto"/>
        </w:rPr>
        <w:t>Long-Term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Awards.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Executive Compensation Program</w:t>
      </w:r>
    </w:p>
    <w:p>
      <w:pPr>
        <w:spacing w:after="0" w:line="224"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Our executive compensation primarily consists of base salary, annual performance-based bonus awards and retirement benefits designed to promote long-term employment. The Committee also periodically grants long-term equity incentive awards when it feels appropriate, based on advice from its compensation consultant regarding market trends, comparable pay levels at our compensation peer group, retention factors and other considerations; the last equity awards to our executive officers were granted in fiscal 2023. We discuss each of the primary elements of our executive compensation in detail below. While we have identified particular compensation objectives that each element of executive compensation serves, our compensation programs are designed to complement each other and collectively serve all of our executive compensation objectives described above.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2" w:lineRule="exact"/>
        <w:rPr>
          <w:sz w:val="20"/>
          <w:szCs w:val="20"/>
          <w:color w:val="auto"/>
        </w:rPr>
      </w:pPr>
    </w:p>
    <w:p>
      <w:pPr>
        <w:ind w:right="100" w:firstLine="480"/>
        <w:spacing w:after="0" w:line="273"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other components of our compensation program. The base salary of each executive officer is reviewed annually to determine if it is equitably aligned with our other executive officers and at a sufficient level to attract and retain top talent. Base salaries for two of the named executive officers were increased by 5.3% during the last month of fiscal 2024. Consistent with our emphasis on paying for performance and aligning our executives’ interests with those of our stockholders, our chief executive officer’s base salary has increased only 4.3% in the aggregate from fiscal 2022 to fiscal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Performance-Based Bonus Awards</w:t>
      </w:r>
    </w:p>
    <w:p>
      <w:pPr>
        <w:spacing w:after="0" w:line="22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primary objectives of our annual performance-based bonus awards are to provide incentive for superior work, to motivate our executives toward higher achievement and business results, to tie our executives’ goals and interests to our stockholders’ and to enable us to attract and retain highly qualified individuals. Annual incentives are established for each executive based on our attainment of performance goals set by the Committee at threshold, target and maximum levels. When applicable, the bonus earned is calculated ratably from the threshold to the target and from the target to the maximum. No bonus is earned unless and until performance exceeds the threshold performance level. Company operating income had been the single performance measure for the eight fiscal years prior to 2022. In 2022, we added consolidated net sales as an additional performance measure and in 2023 we added division measures. For the purposes of these awards, operating income, consolidated net sales and division measures are defined in the same manner as for financial reporting purposes. Having these performance measures for our executive officers is intended to align our executives’ focus on the Company’s overall improved profitability and sales growth. The performance levels required to earn the target level of bonus are based on the internal financial goals set in connection with our Board of Directors’ consideration and approval of our annual operating plan. Consistent with our emphasis on tying compensation to performance, bonus opportunities for executives are set at a significant percentage of base salary.</w:t>
      </w:r>
    </w:p>
    <w:p>
      <w:pPr>
        <w:spacing w:after="0" w:line="190"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For fiscal 2024, at least 75% of the bonus opportunity for each of our named executive officers was based on operating income before bonus expense with the remainder based on consolidated wholesale shipments to licensee and open market accounts for Mr. Cohenour. Threshold, target and maximum performance goals for operating income were set at $2.75 million, $5.5 million and $10.0 million, respectively, of Company operating income. Threshold, target and maximum performance goals for licensee and open market wholesale shipments were set at $79.2 million, $88.0 million and $96.8 million, respectively. The bonus opportunities for the named executive officers expressed as a percentage of salary are shown in the table below. The dollar equivalents of these bonus opportunities are shown in the Grants of Plan-Based Awards table on page 20 of this proxy statement.</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Bonus Opportunity as a Percentage of Base Salary</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(rounded to the nearest percent)</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31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5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580" w:type="dxa"/>
            <w:vAlign w:val="bottom"/>
            <w:gridSpan w:val="2"/>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6"/>
              </w:rPr>
              <w:t>31%</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71%</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1580" w:type="dxa"/>
            <w:vAlign w:val="bottom"/>
            <w:gridSpan w:val="2"/>
          </w:tcPr>
          <w:p>
            <w:pPr>
              <w:jc w:val="center"/>
              <w:ind w:left="751"/>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spacing w:after="0"/>
              <w:rPr>
                <w:sz w:val="18"/>
                <w:szCs w:val="18"/>
                <w:color w:val="auto"/>
              </w:rPr>
            </w:pPr>
          </w:p>
        </w:tc>
        <w:tc>
          <w:tcPr>
            <w:tcW w:w="138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6"/>
              </w:rPr>
              <w:t>19%</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1580" w:type="dxa"/>
            <w:vAlign w:val="bottom"/>
            <w:gridSpan w:val="2"/>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6"/>
              </w:rPr>
              <w:t>26%</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1580" w:type="dxa"/>
            <w:vAlign w:val="bottom"/>
            <w:gridSpan w:val="2"/>
          </w:tcPr>
          <w:p>
            <w:pPr>
              <w:jc w:val="center"/>
              <w:ind w:left="751"/>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spacing w:after="0"/>
              <w:rPr>
                <w:sz w:val="20"/>
                <w:szCs w:val="20"/>
                <w:color w:val="auto"/>
              </w:rPr>
            </w:pPr>
          </w:p>
        </w:tc>
        <w:tc>
          <w:tcPr>
            <w:tcW w:w="138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6"/>
              </w:rPr>
              <w:t>26%</w:t>
            </w:r>
          </w:p>
        </w:tc>
        <w:tc>
          <w:tcPr>
            <w:tcW w:w="17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Our actual company operating income did not reach the threshold performance goal for that measure, which had been set at $2.75 million. The threshold for Mr. Cohenour’s division measure was not met. As a result, none of our named executives earned an annual incentive for fiscal 2024, as shown in the Summary Compensation Table under the Non-Equity Incentive Plan column.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3"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Long-Term Equity Incentive Awards</w:t>
      </w:r>
    </w:p>
    <w:p>
      <w:pPr>
        <w:spacing w:after="0" w:line="222"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periodically grant equity incentive awards in the form of performance-based and/or time-vesting restricted stock to align the interests of our executives with our stockholders by providing our executives with strong incentives to increase stockholder value. Such grants are designed to retain our executives, recognize and reward our executives for their contributions toward our long-term success, and further align their interests with those of our long-term stockholders by tying a portion of their compensation to the value of our common stock.</w:t>
      </w:r>
    </w:p>
    <w:p>
      <w:pPr>
        <w:spacing w:after="0" w:line="18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The chief executive officer recommends to the Committee the recipients and sizes of equity awards. In evaluating these recommendations, the Committee considers a number of factors including the Committee’s subjective evaluation of the executive officer’s potential contribution to the Company’s future success and the level of incentive already provided by the number and terms of the executive officer’s existing stock incentive holdings. The grant date of any such equity award is the same date the Board of Directors or the Committee approves the award. No grants have been made since January 2023.</w:t>
      </w:r>
    </w:p>
    <w:p>
      <w:pPr>
        <w:spacing w:after="0" w:line="165" w:lineRule="exact"/>
        <w:rPr>
          <w:sz w:val="20"/>
          <w:szCs w:val="20"/>
          <w:color w:val="auto"/>
        </w:rPr>
      </w:pPr>
    </w:p>
    <w:p>
      <w:pPr>
        <w:ind w:right="520" w:firstLine="480"/>
        <w:spacing w:after="0" w:line="277" w:lineRule="auto"/>
        <w:rPr>
          <w:sz w:val="20"/>
          <w:szCs w:val="20"/>
          <w:color w:val="auto"/>
        </w:rPr>
      </w:pPr>
      <w:r>
        <w:rPr>
          <w:rFonts w:ascii="Times New Roman" w:cs="Times New Roman" w:eastAsia="Times New Roman" w:hAnsi="Times New Roman"/>
          <w:sz w:val="18"/>
          <w:szCs w:val="18"/>
          <w:color w:val="auto"/>
        </w:rPr>
        <w:t>We do not have any program, plan or practice to time stock option or other equity grants in coordination with the release of material non-public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2" w:lineRule="exact"/>
        <w:rPr>
          <w:sz w:val="20"/>
          <w:szCs w:val="20"/>
          <w:color w:val="auto"/>
        </w:rPr>
      </w:pPr>
    </w:p>
    <w:p>
      <w:pPr>
        <w:ind w:right="260" w:firstLine="480"/>
        <w:spacing w:after="0" w:line="257" w:lineRule="auto"/>
        <w:rPr>
          <w:sz w:val="20"/>
          <w:szCs w:val="20"/>
          <w:color w:val="auto"/>
        </w:rPr>
      </w:pPr>
      <w:r>
        <w:rPr>
          <w:rFonts w:ascii="Times New Roman" w:cs="Times New Roman" w:eastAsia="Times New Roman" w:hAnsi="Times New Roman"/>
          <w:sz w:val="18"/>
          <w:szCs w:val="18"/>
          <w:color w:val="auto"/>
        </w:rPr>
        <w:t>Our chief executive officer participates in the Company’s Supplemental Retirement Income Plan (the “Supplemental Retirement Plan”) and the Company’s Executive Officer Deferred Compensation Plan, both of which were established in 1984 for certain key executives employed at that time. The plans were intended to promote the long-term service of, and to provide benefits upon the retirement, death or disability of, the participants, of whom our chief executive officer is the only remaining employee.</w:t>
      </w:r>
    </w:p>
    <w:p>
      <w:pPr>
        <w:spacing w:after="0" w:line="181"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Certain of the Company’s highly compensated or management level employees participate in the Bassett Furniture Industries, Incorporated Management Savings Plan (the “Management Savings Plan”). The Management Savings Plan is intended to provide financial security in retirement and to attract and retain high quality senior executives.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Each of these retirement plans are described in greater detail elsewhere in this proxy statement.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Components of Executive Compensation</w:t>
      </w:r>
    </w:p>
    <w:p>
      <w:pPr>
        <w:spacing w:after="0" w:line="222"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Most benefits offered to executive officers are similar to those offered to all employees. These programs are designed to provide protection against financial catastrophe that can result from illness, disability or death. In addition, the Company provides a limited number of perquisites to its executive officers. The Committee believes that its perquisites are reasonable and consistent with the overall executive compensation program. These perquisites may include such personal benefits as executive physicals and long-term disability insurance coverage.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and Severance Arrangements</w:t>
      </w:r>
    </w:p>
    <w:p>
      <w:pPr>
        <w:spacing w:after="0" w:line="224" w:lineRule="exact"/>
        <w:rPr>
          <w:sz w:val="20"/>
          <w:szCs w:val="20"/>
          <w:color w:val="auto"/>
        </w:rPr>
      </w:pPr>
    </w:p>
    <w:p>
      <w:pPr>
        <w:ind w:right="420" w:firstLine="480"/>
        <w:spacing w:after="0" w:line="253" w:lineRule="auto"/>
        <w:rPr>
          <w:sz w:val="20"/>
          <w:szCs w:val="20"/>
          <w:color w:val="auto"/>
        </w:rPr>
      </w:pPr>
      <w:r>
        <w:rPr>
          <w:rFonts w:ascii="Times New Roman" w:cs="Times New Roman" w:eastAsia="Times New Roman" w:hAnsi="Times New Roman"/>
          <w:sz w:val="18"/>
          <w:szCs w:val="18"/>
          <w:color w:val="auto"/>
        </w:rPr>
        <w:t>Our named executive officers are not entitled to any “single trigger” equity acceleration with a change in control. The 2021 Stock Incentive Plan includes a “double trigger” feature that provides that options and restricted stock awards will vest only upon a recipient’s qualifying termination of employment that occurs on or within two years after the date of a “change in control,” as defined in that plan, unless the award is not assumed by the acquiring or surviving company in such change in control. Accordingly, there are no outstanding unvested options or restricted stock awards that do not contain a double trigger. For this purpose, “qualifying termination of employment” means the recipient’s termination by the Company without cause or termination by the recipient for good reason.</w:t>
      </w:r>
    </w:p>
    <w:p>
      <w:pPr>
        <w:spacing w:after="0" w:line="185" w:lineRule="exact"/>
        <w:rPr>
          <w:sz w:val="20"/>
          <w:szCs w:val="20"/>
          <w:color w:val="auto"/>
        </w:rPr>
      </w:pPr>
    </w:p>
    <w:p>
      <w:pPr>
        <w:ind w:firstLine="480"/>
        <w:spacing w:after="0" w:line="271" w:lineRule="auto"/>
        <w:rPr>
          <w:sz w:val="20"/>
          <w:szCs w:val="20"/>
          <w:color w:val="auto"/>
        </w:rPr>
      </w:pPr>
      <w:r>
        <w:rPr>
          <w:rFonts w:ascii="Times New Roman" w:cs="Times New Roman" w:eastAsia="Times New Roman" w:hAnsi="Times New Roman"/>
          <w:sz w:val="17"/>
          <w:szCs w:val="17"/>
          <w:color w:val="auto"/>
        </w:rPr>
        <w:t>In addition, the Company has entered into Employment Continuity Agreements with certain executive officers, including each of the named executive officers. The terms of the agreements, which are described in greater detail elsewhere in this proxy statement, generally provide for certain lump sum payments and continued benefits in the event that an executive is terminated without cause or resigns with good reason within specified periods following a change in control. The Committee believes that the foregoing arrangements will help the Company retain continuity of management during the uncertain period leading up to an actual or potential change in control by giving the executives certain assurances of financial security. Such assurances should result in the executives being less distracted by personal risks and better able to devote their full time and best efforts to the performance of their duties.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3" w:right="359" w:bottom="1440" w:gutter="0" w:footer="0" w:header="0"/>
        </w:sectPr>
      </w:pPr>
    </w:p>
    <w:bookmarkStart w:id="16" w:name="page17"/>
    <w:bookmarkEnd w:id="16"/>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Each of the named executive officers also participate in the Bassett Furniture Industries, Incorporated Severance Program for Officers and Management Employees (the “Severance Program”). This program, which is described in greater detail elsewhere in this proxy statement, is designed to provide management with some assurances of financial security during difficult economic times. The Committee believes that these assurances will result in management being less distracted by the personal risks of being laid off and more focused on carrying out their duties to the best of their ability.</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 of these change in control or severance arrangements provide for an excise tax gross-up.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2"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Board of Directors updated our compensation recovery (“clawback”) policy in accordance with new NASDAQ listing rules. Our clawback policy provides that we will seek to recover any erroneously awarded incentive-based compensation, on a non-fault basis, received by a “covered officer” (which term includes any current or former executive officer of the Company) during the three-year period preceding any date on which we are required to prepare an accounting restatement due to our material noncompliance with any financial reporting requirement under the federal securities laws. A copy of the clawback policy is available on our website, </w:t>
      </w:r>
      <w:r>
        <w:rPr>
          <w:rFonts w:ascii="Times New Roman" w:cs="Times New Roman" w:eastAsia="Times New Roman" w:hAnsi="Times New Roman"/>
          <w:sz w:val="18"/>
          <w:szCs w:val="18"/>
          <w:i w:val="1"/>
          <w:iCs w:val="1"/>
          <w:color w:val="auto"/>
        </w:rPr>
        <w:t>www.bassettfurniture.com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Committee has established stock ownership guidelines for members of management who are recipients of long-term incentive stock awards.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Recipients should not sell common stock of the Company until the following stock ownership levels are met:</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Level</w:t>
            </w:r>
          </w:p>
        </w:tc>
        <w:tc>
          <w:tcPr>
            <w:tcW w:w="526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7"/>
              </w:rPr>
              <w:t>Value as a Multiple of Base Annual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28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4x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280" w:type="dxa"/>
            <w:vAlign w:val="bottom"/>
          </w:tcPr>
          <w:p>
            <w:pPr>
              <w:spacing w:after="0"/>
              <w:rPr>
                <w:sz w:val="18"/>
                <w:szCs w:val="18"/>
                <w:color w:val="auto"/>
              </w:rPr>
            </w:pPr>
          </w:p>
        </w:tc>
        <w:tc>
          <w:tcPr>
            <w:tcW w:w="39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2x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1x</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Unvested stock options and/or restricted shares are not considered toward ownership levels. The Committee may approve exceptions or waivers from these guidelines for recipients for charitable gifts, estate planning transactions, educational expenses, purchase of a primary residence, court ordered transactions or other instances in which the required ownership would result in a severe hardship with respect to the recipient. Each named executive officer is in compliance with the stock ownership guidelines.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Anti-Hedging and Pledging Policy</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stock ownership guidelines prohibit hedging transactions involving, and prohibit pledging of Company stock by officers and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Accounting and Tax Treatment on Compensation Decisions</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In the review and establishment of our compensation programs, we consider the anticipated accounting and tax implications to us and our executives. However, these factors alone are not dispositive, and we also consider the cash and non-cash impact of the programs and whether a program is consistent with our overall compensation philosophy and objectives.</w:t>
      </w:r>
    </w:p>
    <w:p>
      <w:pPr>
        <w:spacing w:after="0" w:line="176"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annual compensation in excess of $1 million that we pay to our CEO, CFO, our next three most highly compensated officers and any other individual who has served as one of our covered executives after 2016, other than pursuant to certain “grandfathered” compensation arrangements in effect on November 2, 2017. Compensation decisions for our named executive officers are driven by market competitiveness and the other factors described above in this CD&amp;A and the Committee approves non-deductible compensation whenever it feels that corporate objectives justify the cost of being unable to deduct such compensation.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5"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Compensation-Related Risk</w:t>
      </w:r>
    </w:p>
    <w:p>
      <w:pPr>
        <w:spacing w:after="0" w:line="22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The Company regularly assesses the risks related to our compensation programs, including our executive compensation programs, and does not believe that the risks arising from our compensation policies and practices are reasonably likely to have a material adverse effect on the Company. Incentive award targets and bonus opportunities are reviewed annually allowing the Committee to maintain an appropriate balance between rewarding high performance without encouraging excessive risk.</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71"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jc w:val="both"/>
        <w:ind w:right="220" w:firstLine="480"/>
        <w:spacing w:after="0" w:line="26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total compensation of Bassett’s chief executive officer, its principal financial officer and its three other most highly compensated executive officers (the “named executive officers”) for the fiscal years ended November 30, 2024 and November 25, 2023.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7"/>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89"/>
              </w:rPr>
              <w:t>($)</w:t>
            </w:r>
            <w:r>
              <w:rPr>
                <w:rFonts w:ascii="Times New Roman" w:cs="Times New Roman" w:eastAsia="Times New Roman" w:hAnsi="Times New Roman"/>
                <w:sz w:val="25"/>
                <w:szCs w:val="25"/>
                <w:b w:val="1"/>
                <w:bCs w:val="1"/>
                <w:color w:val="auto"/>
                <w:w w:val="89"/>
                <w:vertAlign w:val="superscript"/>
              </w:rPr>
              <w:t>(1)</w:t>
            </w:r>
          </w:p>
        </w:tc>
        <w:tc>
          <w:tcPr>
            <w:tcW w:w="200" w:type="dxa"/>
            <w:vAlign w:val="bottom"/>
          </w:tcPr>
          <w:p>
            <w:pPr>
              <w:spacing w:after="0"/>
              <w:rPr>
                <w:sz w:val="18"/>
                <w:szCs w:val="18"/>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H. Spilman, Jr.,</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6,900</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491,900</w:t>
            </w:r>
          </w:p>
        </w:tc>
      </w:tr>
      <w:tr>
        <w:trPr>
          <w:trHeight w:val="200"/>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Executive Officer and President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6,600</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533,750</w:t>
            </w:r>
          </w:p>
        </w:tc>
      </w:tr>
      <w:tr>
        <w:trPr>
          <w:trHeight w:val="200"/>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R. Cohenour,</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26,366</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419,366</w:t>
            </w:r>
          </w:p>
        </w:tc>
      </w:tr>
      <w:tr>
        <w:trPr>
          <w:trHeight w:val="200"/>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Senior Vice President and Chief Sales Officer</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387,166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26,250</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455,536</w:t>
            </w:r>
          </w:p>
        </w:tc>
      </w:tr>
      <w:tr>
        <w:trPr>
          <w:trHeight w:val="200"/>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 Michael Daniel,</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20,305</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306,555</w:t>
            </w:r>
          </w:p>
        </w:tc>
      </w:tr>
      <w:tr>
        <w:trPr>
          <w:trHeight w:val="186"/>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Senior Vice President and Chief Financial and</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Admin. Officer</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21,500</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339,870</w:t>
            </w:r>
          </w:p>
        </w:tc>
      </w:tr>
      <w:tr>
        <w:trPr>
          <w:trHeight w:val="200"/>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E. Bassett, III,</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20,468</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306,718</w:t>
            </w:r>
          </w:p>
        </w:tc>
      </w:tr>
      <w:tr>
        <w:trPr>
          <w:trHeight w:val="200"/>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Senior Vice President and Chief Operations Officer</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42,120</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20,672</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339,042</w:t>
            </w:r>
          </w:p>
        </w:tc>
      </w:tr>
    </w:tbl>
    <w:p>
      <w:pPr>
        <w:spacing w:after="0" w:line="200" w:lineRule="exact"/>
        <w:rPr>
          <w:sz w:val="20"/>
          <w:szCs w:val="20"/>
          <w:color w:val="auto"/>
        </w:rPr>
      </w:pPr>
    </w:p>
    <w:p>
      <w:pPr>
        <w:ind w:left="480" w:right="180" w:hanging="473"/>
        <w:spacing w:after="0" w:line="198" w:lineRule="auto"/>
        <w:tabs>
          <w:tab w:leader="none" w:pos="48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No named executive officer received personal benefits in excess of $10,000 during fiscal 2024. This column also includes the value of any employer contributions to the Management Savings Plan for any named executive officer.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ind w:left="412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concerning individual grants of plan-based awards.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All other stock</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possible payouts under non-</w:t>
            </w:r>
          </w:p>
        </w:tc>
        <w:tc>
          <w:tcPr>
            <w:tcW w:w="2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Borders>
              <w:bottom w:val="single" w:sz="8" w:color="auto"/>
            </w:tcBorders>
            <w:gridSpan w:val="5"/>
          </w:tcPr>
          <w:p>
            <w:pPr>
              <w:jc w:val="center"/>
              <w:ind w:left="840"/>
              <w:spacing w:after="0"/>
              <w:rPr>
                <w:sz w:val="20"/>
                <w:szCs w:val="20"/>
                <w:color w:val="auto"/>
              </w:rPr>
            </w:pPr>
            <w:r>
              <w:rPr>
                <w:rFonts w:ascii="Times New Roman" w:cs="Times New Roman" w:eastAsia="Times New Roman" w:hAnsi="Times New Roman"/>
                <w:sz w:val="16"/>
                <w:szCs w:val="16"/>
                <w:b w:val="1"/>
                <w:bCs w:val="1"/>
                <w:color w:val="auto"/>
                <w:w w:val="99"/>
              </w:rPr>
              <w:t>equity incentive plan awards</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 of 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stock and</w:t>
            </w: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220"/>
              <w:spacing w:after="0" w:line="178"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1540" w:type="dxa"/>
            <w:vAlign w:val="bottom"/>
            <w:gridSpan w:val="3"/>
          </w:tcPr>
          <w:p>
            <w:pPr>
              <w:jc w:val="center"/>
              <w:ind w:right="420"/>
              <w:spacing w:after="0" w:line="178" w:lineRule="exact"/>
              <w:rPr>
                <w:sz w:val="20"/>
                <w:szCs w:val="20"/>
                <w:color w:val="auto"/>
              </w:rPr>
            </w:pPr>
            <w:r>
              <w:rPr>
                <w:rFonts w:ascii="Times New Roman" w:cs="Times New Roman" w:eastAsia="Times New Roman" w:hAnsi="Times New Roman"/>
                <w:sz w:val="16"/>
                <w:szCs w:val="16"/>
                <w:b w:val="1"/>
                <w:bCs w:val="1"/>
                <w:color w:val="auto"/>
                <w:w w:val="95"/>
              </w:rPr>
              <w:t>Target</w:t>
            </w:r>
          </w:p>
        </w:tc>
        <w:tc>
          <w:tcPr>
            <w:tcW w:w="940" w:type="dxa"/>
            <w:vAlign w:val="bottom"/>
          </w:tcPr>
          <w:p>
            <w:pPr>
              <w:jc w:val="right"/>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Maximum</w:t>
            </w:r>
          </w:p>
        </w:tc>
        <w:tc>
          <w:tcPr>
            <w:tcW w:w="200" w:type="dxa"/>
            <w:vAlign w:val="bottom"/>
          </w:tcPr>
          <w:p>
            <w:pPr>
              <w:spacing w:after="0"/>
              <w:rPr>
                <w:sz w:val="15"/>
                <w:szCs w:val="15"/>
                <w:color w:val="auto"/>
              </w:rPr>
            </w:pPr>
          </w:p>
        </w:tc>
        <w:tc>
          <w:tcPr>
            <w:tcW w:w="132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or units</w:t>
            </w:r>
          </w:p>
        </w:tc>
        <w:tc>
          <w:tcPr>
            <w:tcW w:w="122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4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H. Spilman, Jr.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Annual Cash Incentive Stock Grant</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346,200</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R. Cohenour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Annual Cash Incentive Stock Grant</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 Michael Daniel</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Annual Cash Incentive Stock Grant</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E. Bassett III</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Annual Cash Incentive Stock Grant</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concerning the fiscal year-end number and terms of unexercised options and unvested restricted stock held by each of the named executive officers.</w:t>
      </w:r>
    </w:p>
    <w:p>
      <w:pPr>
        <w:spacing w:after="0" w:line="165" w:lineRule="exact"/>
        <w:rPr>
          <w:sz w:val="20"/>
          <w:szCs w:val="20"/>
          <w:color w:val="auto"/>
        </w:rPr>
      </w:pPr>
    </w:p>
    <w:tbl>
      <w:tblPr>
        <w:tblLayout w:type="fixed"/>
        <w:tblInd w:w="48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Market value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or units of</w:t>
            </w:r>
          </w:p>
        </w:tc>
        <w:tc>
          <w:tcPr>
            <w:tcW w:w="2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or units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 exercise</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stock that have</w:t>
            </w:r>
          </w:p>
        </w:tc>
        <w:tc>
          <w:tcPr>
            <w:tcW w:w="2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stock that have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w:t>
            </w:r>
          </w:p>
        </w:tc>
        <w:tc>
          <w:tcPr>
            <w:tcW w:w="2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 vested</w:t>
            </w: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unexercisable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(1)</w:t>
            </w:r>
          </w:p>
        </w:tc>
        <w:tc>
          <w:tcPr>
            <w:tcW w:w="140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H. Spilman, Jr.</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R. Cohenour</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 Michael Daniel</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E. Bassett, III</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960" w:hanging="473"/>
        <w:spacing w:after="0" w:line="198" w:lineRule="auto"/>
        <w:tabs>
          <w:tab w:leader="none" w:pos="96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Mr. Spilman, 1,000 shares are scheduled to each vest on January 11, 2025 and 2026 and on January 12, 2025. For the other named executive officers 800 shares are scheduled to vest each on the same dates as Mr. Spilman’s shares are scheduled to vest.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4" w:lineRule="exact"/>
        <w:rPr>
          <w:sz w:val="20"/>
          <w:szCs w:val="20"/>
          <w:color w:val="auto"/>
        </w:rPr>
      </w:pPr>
    </w:p>
    <w:p>
      <w:pPr>
        <w:ind w:right="40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concerning options exercised by, and stock awards that vested for, our named executive officers during fiscal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320" w:type="dxa"/>
            <w:vAlign w:val="bottom"/>
          </w:tcPr>
          <w:p>
            <w:pPr>
              <w:spacing w:after="0"/>
              <w:rPr>
                <w:sz w:val="20"/>
                <w:szCs w:val="20"/>
                <w:color w:val="auto"/>
              </w:rPr>
            </w:pPr>
          </w:p>
        </w:tc>
        <w:tc>
          <w:tcPr>
            <w:tcW w:w="382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940" w:type="dxa"/>
            <w:vAlign w:val="bottom"/>
          </w:tcPr>
          <w:p>
            <w:pPr>
              <w:spacing w:after="0"/>
              <w:rPr>
                <w:sz w:val="16"/>
                <w:szCs w:val="16"/>
                <w:color w:val="auto"/>
              </w:rPr>
            </w:pPr>
          </w:p>
        </w:tc>
      </w:tr>
      <w:tr>
        <w:trPr>
          <w:trHeight w:val="213"/>
        </w:trPr>
        <w:tc>
          <w:tcPr>
            <w:tcW w:w="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acquired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realized</w:t>
            </w:r>
          </w:p>
        </w:tc>
        <w:tc>
          <w:tcPr>
            <w:tcW w:w="3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acquired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realized on</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exercise (#)</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 exercise ($)</w:t>
            </w:r>
          </w:p>
        </w:tc>
        <w:tc>
          <w:tcPr>
            <w:tcW w:w="3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on vesting (#)</w:t>
            </w:r>
          </w:p>
        </w:tc>
        <w:tc>
          <w:tcPr>
            <w:tcW w:w="1940" w:type="dxa"/>
            <w:vAlign w:val="bottom"/>
          </w:tcPr>
          <w:p>
            <w:pPr>
              <w:jc w:val="center"/>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vesting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5"/>
                <w:szCs w:val="15"/>
                <w:b w:val="1"/>
                <w:bCs w:val="1"/>
                <w:color w:val="auto"/>
              </w:rPr>
              <w:t>($)</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8"/>
              </w:rPr>
              <w:t>2,000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31,130</w:t>
            </w:r>
          </w:p>
        </w:tc>
      </w:tr>
      <w:tr>
        <w:trPr>
          <w:trHeight w:val="213"/>
        </w:trPr>
        <w:tc>
          <w:tcPr>
            <w:tcW w:w="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R. Cohenour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8"/>
              </w:rPr>
              <w:t>1,600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24,904</w:t>
            </w:r>
          </w:p>
        </w:tc>
      </w:tr>
      <w:tr>
        <w:trPr>
          <w:trHeight w:val="213"/>
        </w:trPr>
        <w:tc>
          <w:tcPr>
            <w:tcW w:w="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8"/>
              </w:rPr>
              <w:t>1,600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24,904</w:t>
            </w:r>
          </w:p>
        </w:tc>
      </w:tr>
      <w:tr>
        <w:trPr>
          <w:trHeight w:val="213"/>
        </w:trPr>
        <w:tc>
          <w:tcPr>
            <w:tcW w:w="4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Bassett, III</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8"/>
              </w:rPr>
              <w:t>1,600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24,904</w:t>
            </w: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_______________</w:t>
            </w:r>
          </w:p>
        </w:tc>
        <w:tc>
          <w:tcPr>
            <w:tcW w:w="1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75" w:lineRule="exact"/>
        <w:rPr>
          <w:sz w:val="20"/>
          <w:szCs w:val="20"/>
          <w:color w:val="auto"/>
        </w:rPr>
      </w:pPr>
    </w:p>
    <w:p>
      <w:pPr>
        <w:ind w:left="480" w:hanging="473"/>
        <w:spacing w:after="0"/>
        <w:tabs>
          <w:tab w:leader="none" w:pos="4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value realized is calculated by multiplying the number of shares acquired on vesting by the market price of our common stock on the date of acquisition.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Retirement Plan</w:t>
      </w:r>
    </w:p>
    <w:p>
      <w:pPr>
        <w:spacing w:after="0" w:line="224"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The Supplemental Retirement Plan covers one current and certain former senior executives and was designed to promote long service as well as provide an additional retirement benefit. Upon retirement, the Supplemental Retirement Plan provides for lifetime monthly payments in an amount equal to 65% of the participant’s final average compensation as defined in the Supplemental Retirement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Retirement Plan for a disability benefit if a participant’s employment is terminated prior to age 65 due to disability; however, the participant, notwithstanding the termination of employment, will continue to be covered by the Supplemental Retirement Plan. The death benefit is divided into (a) prior-to-retirement death, which pays the beneficiary 50% of final average annual compensation for a period of 120 months, and (b) post-retirement death, which pays the beneficiary 200% of final 12 months’ compensation in a single payment. There are no benefits payable as a result of a termination of employment for any reason other than death or retirement, except there is a change of control provision which provides for the immediate vesting and payment of the retirement benefit under the Supplemental Retirement Plan in the event of an employment termination resulting from a change of control. The executive officer covered under this Supplemental Retirement Plan has waived participation in the Company’s group life insurance program.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Cash Awards</w:t>
      </w:r>
    </w:p>
    <w:p>
      <w:pPr>
        <w:spacing w:after="0" w:line="224"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In fiscal 2017, Messrs. Bassett, Cohenour and Daniel each received an LTC Award in the amount of $400,000 under the Management Savings Plan.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Agreements</w:t>
      </w:r>
    </w:p>
    <w:p>
      <w:pPr>
        <w:spacing w:after="0" w:line="224"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8"/>
          <w:szCs w:val="18"/>
          <w:color w:val="auto"/>
        </w:rPr>
        <w:t>Mr. Spilman has entered into a Deferred Compensation Agreement with the Company pursuant to the Executive Deferred Compensation Plan. Under that agreement, Mr. Spilman deferred a portion of his compensation over the four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period from 1985 to 1989.</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In addition, on May 1, 2017, our Board of Directors, upon the recommendation of the Organization, Compensation and Nominating Committee, adopted the Management Savings Plan. The Management Savings Plan is an unfunded, nonqualified deferred compensation plan maintained for the benefit of certain highly compensated or management level employees.</w:t>
      </w:r>
    </w:p>
    <w:p>
      <w:pPr>
        <w:spacing w:after="0" w:line="176" w:lineRule="exact"/>
        <w:rPr>
          <w:sz w:val="20"/>
          <w:szCs w:val="20"/>
          <w:color w:val="auto"/>
        </w:rPr>
      </w:pPr>
    </w:p>
    <w:p>
      <w:pPr>
        <w:ind w:right="60" w:firstLine="480"/>
        <w:spacing w:after="0" w:line="265" w:lineRule="auto"/>
        <w:rPr>
          <w:sz w:val="20"/>
          <w:szCs w:val="20"/>
          <w:color w:val="auto"/>
        </w:rPr>
      </w:pPr>
      <w:r>
        <w:rPr>
          <w:rFonts w:ascii="Times New Roman" w:cs="Times New Roman" w:eastAsia="Times New Roman" w:hAnsi="Times New Roman"/>
          <w:sz w:val="17"/>
          <w:szCs w:val="17"/>
          <w:color w:val="auto"/>
        </w:rPr>
        <w:t>The Management Savings Plan is an account-based plan under which (i) participants may defer voluntarily the payment of current compensation to future years (“participant deferrals”) and (ii) the Company may make annual awards to participants payable in future years (“Company contributions”). The Management Savings Plan permits each participant to defer up to 75% of base salary and up to 100% of any cash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Management Savings Plan. No “above market” crediting rates are offered under the Management Savings Plan. Each participant’s account will be adjusted to reflect gains and losses based on the performance of the selected investment alternatives. A participant may receive distributions from the Management Savings Plan: (1) 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24"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In January 2009, the Board of Directors adopted the Severance Program. All executive officers and other management employees participate in the Severance Program. Also, the Company entered into Employment Continuity Agreements with Messrs. Spilman and Bassett in January 2009, and with Messrs. Cohenour and Daniel in January 2014. The Severance Program and the Employment Continuity Agreements are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Program</w:t>
      </w:r>
    </w:p>
    <w:p>
      <w:pPr>
        <w:spacing w:after="0" w:line="222" w:lineRule="exact"/>
        <w:rPr>
          <w:sz w:val="20"/>
          <w:szCs w:val="20"/>
          <w:color w:val="auto"/>
        </w:rPr>
      </w:pPr>
    </w:p>
    <w:p>
      <w:pPr>
        <w:ind w:right="540" w:firstLine="480"/>
        <w:spacing w:after="0" w:line="277" w:lineRule="auto"/>
        <w:rPr>
          <w:sz w:val="20"/>
          <w:szCs w:val="20"/>
          <w:color w:val="auto"/>
        </w:rPr>
      </w:pPr>
      <w:r>
        <w:rPr>
          <w:rFonts w:ascii="Times New Roman" w:cs="Times New Roman" w:eastAsia="Times New Roman" w:hAnsi="Times New Roman"/>
          <w:sz w:val="18"/>
          <w:szCs w:val="18"/>
          <w:color w:val="auto"/>
        </w:rPr>
        <w:t>Under the terms of the Severance Program, in the event that the participant’s employment is terminated by the Company for reasons other than “cause” or the participant’s death or disability, the participant will be entitled to receive:</w:t>
      </w:r>
    </w:p>
    <w:p>
      <w:pPr>
        <w:spacing w:after="0" w:line="163" w:lineRule="exact"/>
        <w:rPr>
          <w:sz w:val="20"/>
          <w:szCs w:val="20"/>
          <w:color w:val="auto"/>
        </w:rPr>
      </w:pPr>
    </w:p>
    <w:p>
      <w:pPr>
        <w:ind w:left="480" w:right="60" w:hanging="473"/>
        <w:spacing w:after="0" w:line="262"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cash payment equal to (A) the product of (i) the participant’s base salary, (ii) a severance multiplier and (iii) the participant’s years of service (less any other cash severance or pay in lieu of notice under any other severance program, including the Employment Continuity Agreements, or applicable law) divided by (B) the number of months in the participant’s severance period;</w:t>
      </w:r>
    </w:p>
    <w:p>
      <w:pPr>
        <w:spacing w:after="0" w:line="176" w:lineRule="exact"/>
        <w:rPr>
          <w:rFonts w:ascii="Times New Roman" w:cs="Times New Roman" w:eastAsia="Times New Roman" w:hAnsi="Times New Roman"/>
          <w:sz w:val="18"/>
          <w:szCs w:val="18"/>
          <w:color w:val="auto"/>
        </w:rPr>
      </w:pPr>
    </w:p>
    <w:p>
      <w:pPr>
        <w:ind w:left="480" w:right="300" w:hanging="473"/>
        <w:spacing w:after="0" w:line="277"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an executive officer, a lump sum cash payment equal to the participant’s average annual performance bonus for the three fiscal years preceding the date of termination;</w:t>
      </w:r>
    </w:p>
    <w:p>
      <w:pPr>
        <w:spacing w:after="0" w:line="162" w:lineRule="exact"/>
        <w:rPr>
          <w:rFonts w:ascii="Times New Roman" w:cs="Times New Roman" w:eastAsia="Times New Roman" w:hAnsi="Times New Roman"/>
          <w:sz w:val="18"/>
          <w:szCs w:val="18"/>
          <w:color w:val="auto"/>
        </w:rPr>
      </w:pPr>
    </w:p>
    <w:p>
      <w:pPr>
        <w:jc w:val="both"/>
        <w:ind w:left="480" w:right="360" w:hanging="473"/>
        <w:spacing w:after="0" w:line="307" w:lineRule="auto"/>
        <w:tabs>
          <w:tab w:leader="none" w:pos="4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is an executive officer, the prorated portion of the participant’s actual annual performance bonus for the fiscal year in which the participant’s employment is terminated, payable in cash concurrently with the payment to other participants in the Company’s annual bonus plan;</w:t>
      </w:r>
    </w:p>
    <w:p>
      <w:pPr>
        <w:spacing w:after="0" w:line="140" w:lineRule="exact"/>
        <w:rPr>
          <w:rFonts w:ascii="Times New Roman" w:cs="Times New Roman" w:eastAsia="Times New Roman" w:hAnsi="Times New Roman"/>
          <w:sz w:val="17"/>
          <w:szCs w:val="17"/>
          <w:color w:val="auto"/>
        </w:rPr>
      </w:pPr>
    </w:p>
    <w:p>
      <w:pPr>
        <w:ind w:left="480" w:hanging="47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for the duration of the severance period; and</w:t>
      </w:r>
    </w:p>
    <w:p>
      <w:pPr>
        <w:spacing w:after="0" w:line="219"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for the period and up to the limits specified in the program.</w:t>
      </w:r>
    </w:p>
    <w:p>
      <w:pPr>
        <w:spacing w:after="0" w:line="220"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 xml:space="preserve">The term “cause” means (i) the willful and repeated failure of the executive to perform substantially his or her duties (other than failure resulting from incapacity due to physical or mental illness), (ii)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which is materially and demonstrably injurious to the Company, or (iii) the willful engagement in gross misconduct in violation of Company policy.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participant’s total cash severance benefits may not exceed the maximum payout specified in the program for such participant.</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5" w:right="399" w:bottom="1440" w:gutter="0" w:footer="0" w:header="0"/>
        </w:sectPr>
      </w:pPr>
    </w:p>
    <w:bookmarkStart w:id="22" w:name="page23"/>
    <w:bookmarkEnd w:id="22"/>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The following chart sets out the severance multiplier, maximum payout, severance period and outplacement period and cost limit for each category of participants: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Outplacement</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period and</w:t>
            </w: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Job classification</w:t>
            </w:r>
          </w:p>
        </w:tc>
        <w:tc>
          <w:tcPr>
            <w:tcW w:w="12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Multiplier</w:t>
            </w:r>
          </w:p>
        </w:tc>
        <w:tc>
          <w:tcPr>
            <w:tcW w:w="37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Maximum payout</w:t>
            </w:r>
          </w:p>
        </w:tc>
        <w:tc>
          <w:tcPr>
            <w:tcW w:w="120" w:type="dxa"/>
            <w:vAlign w:val="bottom"/>
          </w:tcPr>
          <w:p>
            <w:pPr>
              <w:spacing w:after="0"/>
              <w:rPr>
                <w:sz w:val="20"/>
                <w:szCs w:val="20"/>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Severance period</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cost limit</w:t>
            </w:r>
          </w:p>
        </w:tc>
        <w:tc>
          <w:tcPr>
            <w:tcW w:w="0" w:type="dxa"/>
            <w:vAlign w:val="bottom"/>
          </w:tcPr>
          <w:p>
            <w:pPr>
              <w:spacing w:after="0"/>
              <w:rPr>
                <w:sz w:val="1"/>
                <w:szCs w:val="1"/>
                <w:color w:val="auto"/>
              </w:rPr>
            </w:pPr>
          </w:p>
        </w:tc>
      </w:tr>
      <w:tr>
        <w:trPr>
          <w:trHeight w:val="207"/>
        </w:trPr>
        <w:tc>
          <w:tcPr>
            <w:tcW w:w="2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President/CEO</w:t>
            </w:r>
          </w:p>
        </w:tc>
        <w:tc>
          <w:tcPr>
            <w:tcW w:w="1700" w:type="dxa"/>
            <w:vAlign w:val="bottom"/>
            <w:gridSpan w:val="3"/>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.25</w:t>
            </w:r>
          </w:p>
        </w:tc>
        <w:tc>
          <w:tcPr>
            <w:tcW w:w="370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2 times Base Salary + Average Bonus + Prorated</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18 months</w:t>
            </w:r>
          </w:p>
        </w:tc>
        <w:tc>
          <w:tcPr>
            <w:tcW w:w="13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Bonus</w:t>
            </w:r>
          </w:p>
        </w:tc>
        <w:tc>
          <w:tcPr>
            <w:tcW w:w="1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Senior Vice President</w:t>
            </w:r>
          </w:p>
        </w:tc>
        <w:tc>
          <w:tcPr>
            <w:tcW w:w="1700" w:type="dxa"/>
            <w:vAlign w:val="bottom"/>
            <w:gridSpan w:val="3"/>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.125</w:t>
            </w:r>
          </w:p>
        </w:tc>
        <w:tc>
          <w:tcPr>
            <w:tcW w:w="370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1 times Base Salary + Average Bonus + Prorated</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12 months</w:t>
            </w:r>
          </w:p>
        </w:tc>
        <w:tc>
          <w:tcPr>
            <w:tcW w:w="13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Bonus</w:t>
            </w:r>
          </w:p>
        </w:tc>
        <w:tc>
          <w:tcPr>
            <w:tcW w:w="1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Other Executive Officers</w:t>
            </w:r>
          </w:p>
        </w:tc>
        <w:tc>
          <w:tcPr>
            <w:tcW w:w="1700" w:type="dxa"/>
            <w:vAlign w:val="bottom"/>
            <w:gridSpan w:val="3"/>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.125</w:t>
            </w:r>
          </w:p>
        </w:tc>
        <w:tc>
          <w:tcPr>
            <w:tcW w:w="370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.75 times Base Salary + Average Bonus +</w:t>
            </w:r>
          </w:p>
        </w:tc>
        <w:tc>
          <w:tcPr>
            <w:tcW w:w="12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9 months</w:t>
            </w:r>
          </w:p>
        </w:tc>
        <w:tc>
          <w:tcPr>
            <w:tcW w:w="13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Prorated Bonus</w:t>
            </w:r>
          </w:p>
        </w:tc>
        <w:tc>
          <w:tcPr>
            <w:tcW w:w="1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Officers</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.0833</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 times Base Salary</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 months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Management Employees</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.0833</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 times Base Salary</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 months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participant’s entitlement to benefits under the Severance Program ceases upon the participant’s employment by a competitor.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Continuity Agreements</w:t>
      </w:r>
    </w:p>
    <w:p>
      <w:pPr>
        <w:spacing w:after="0" w:line="222" w:lineRule="exact"/>
        <w:rPr>
          <w:sz w:val="20"/>
          <w:szCs w:val="20"/>
          <w:color w:val="auto"/>
        </w:rPr>
      </w:pPr>
    </w:p>
    <w:p>
      <w:pPr>
        <w:jc w:val="both"/>
        <w:ind w:right="180" w:firstLine="480"/>
        <w:spacing w:after="0" w:line="262" w:lineRule="auto"/>
        <w:rPr>
          <w:sz w:val="20"/>
          <w:szCs w:val="20"/>
          <w:color w:val="auto"/>
        </w:rPr>
      </w:pPr>
      <w:r>
        <w:rPr>
          <w:rFonts w:ascii="Times New Roman" w:cs="Times New Roman" w:eastAsia="Times New Roman" w:hAnsi="Times New Roman"/>
          <w:sz w:val="18"/>
          <w:szCs w:val="18"/>
          <w:color w:val="auto"/>
        </w:rPr>
        <w:t>Under the terms of the Employment Continuity Agreements, in the event that a “change in control” has occurred and the executive’s employment is terminated by the Company before the second anniversary thereof for reasons other than “cause,” death or disability or by the participant for “good reason” within the 90 day period following the “change in control,” the participant will be entitled to receive:</w:t>
      </w:r>
    </w:p>
    <w:p>
      <w:pPr>
        <w:spacing w:after="0" w:line="176" w:lineRule="exact"/>
        <w:rPr>
          <w:sz w:val="20"/>
          <w:szCs w:val="20"/>
          <w:color w:val="auto"/>
        </w:rPr>
      </w:pPr>
    </w:p>
    <w:p>
      <w:pPr>
        <w:ind w:left="960" w:right="140" w:hanging="473"/>
        <w:spacing w:after="0" w:line="277"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product of the executive’s “required base salary” and a change in control severance multiplier (which is equal to two for the President and Chief Executive Officer and one for the other executives);</w:t>
      </w:r>
    </w:p>
    <w:p>
      <w:pPr>
        <w:spacing w:after="0" w:line="162" w:lineRule="exact"/>
        <w:rPr>
          <w:rFonts w:ascii="Times New Roman" w:cs="Times New Roman" w:eastAsia="Times New Roman" w:hAnsi="Times New Roman"/>
          <w:sz w:val="18"/>
          <w:szCs w:val="18"/>
          <w:color w:val="auto"/>
        </w:rPr>
      </w:pPr>
    </w:p>
    <w:p>
      <w:pPr>
        <w:ind w:left="960" w:right="440" w:hanging="473"/>
        <w:spacing w:after="0" w:line="277"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executive’s most recently established target annual performance bonus plus the executive’s average annual performance bonus for the three fiscal years preceding the date of termination;</w:t>
      </w:r>
    </w:p>
    <w:p>
      <w:pPr>
        <w:spacing w:after="0" w:line="162" w:lineRule="exact"/>
        <w:rPr>
          <w:rFonts w:ascii="Times New Roman" w:cs="Times New Roman" w:eastAsia="Times New Roman" w:hAnsi="Times New Roman"/>
          <w:sz w:val="18"/>
          <w:szCs w:val="18"/>
          <w:color w:val="auto"/>
        </w:rPr>
      </w:pPr>
    </w:p>
    <w:p>
      <w:pPr>
        <w:ind w:left="960" w:right="60" w:hanging="473"/>
        <w:spacing w:after="0" w:line="277"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for the duration of the severance period (which is 18 months for the President and Chief Executive Officer and 12 months for the other executives);</w:t>
      </w:r>
    </w:p>
    <w:p>
      <w:pPr>
        <w:spacing w:after="0" w:line="162" w:lineRule="exact"/>
        <w:rPr>
          <w:rFonts w:ascii="Times New Roman" w:cs="Times New Roman" w:eastAsia="Times New Roman" w:hAnsi="Times New Roman"/>
          <w:sz w:val="18"/>
          <w:szCs w:val="18"/>
          <w:color w:val="auto"/>
        </w:rPr>
      </w:pPr>
    </w:p>
    <w:p>
      <w:pPr>
        <w:ind w:left="960" w:right="580" w:hanging="473"/>
        <w:spacing w:after="0" w:line="277"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present value of continued life insurance and long-term disability coverage for the duration of the severance period; and</w:t>
      </w:r>
    </w:p>
    <w:p>
      <w:pPr>
        <w:spacing w:after="0" w:line="162" w:lineRule="exact"/>
        <w:rPr>
          <w:rFonts w:ascii="Times New Roman" w:cs="Times New Roman" w:eastAsia="Times New Roman" w:hAnsi="Times New Roman"/>
          <w:sz w:val="18"/>
          <w:szCs w:val="18"/>
          <w:color w:val="auto"/>
        </w:rPr>
      </w:pPr>
    </w:p>
    <w:p>
      <w:pPr>
        <w:jc w:val="both"/>
        <w:ind w:left="960" w:right="400" w:hanging="473"/>
        <w:spacing w:after="0" w:line="307"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outplacement services (for a period of six months and three months for the President and Chief Executive Officer and the other executives, respectively, with a cost limit of $15,000 and $7,500 for the President and Chief Executive Officer and the other executives, respectively).</w:t>
      </w:r>
    </w:p>
    <w:p>
      <w:pPr>
        <w:spacing w:after="0" w:line="140"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The term “change in control” is defined for purposes of the Employment Continuity Agreements the same as it is under the Company’s Employee Stock Plan. Under the Employee Stock Plan, a “change in control” includes generally (i) the acquisition by an individual, an entity or a group of beneficial ownership or voting power of 30% or more of the Company’s outstanding common stock, (ii) certain changes in the constitution of the Company’s Board of Directors that have not been approved by the current Board, (iii) stockholder approval of a reorganization, merger or consolidation in which the then-current stockholders cease to own at least 75% of the then outstanding shares of common stock, (iv) stockholder approval of a complete liquidation or dissolution of the Company and (v) the sale or other disposition of all or substantially all of the assets of the Company. An executive’s “required base salary” means the higher of (i) his base salary in effect immediately prior to the change in control and (ii) his highest base salary at any point in time after the change in control. The term “good reason” means (i) a material reduction in the executive’s base salary below the required base salary, (ii) a material diminution in the executive’s authority, duties or responsibilities, (iii) a material diminution in the authority, duties or responsibilities of the supervisor to whom the executive is required to report, including a requirement that the executive report to a corporate officer or other employee if the executive reported to the Board of Directors prior to the change in control; (iv) a material diminution in the budget over which the executive retains authority; or (v) a change at the request of the employer in the executive’s principal work location of more than 50 miles; in each case provided the executive gives notice to the employer of the existence of such condition within 30 days of its initial existence and the employer has not remedied the condition within 30 days of such notice. The term “cause” has the same meaning as under the Severance Program.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 w:name="page24"/>
    <w:bookmarkEnd w:id="23"/>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The Employment Continuity Agreements may be amended or terminated by the Board of Directors at any time; provided that the agreements cannot be terminated or amended after the occurrence of a change in control, and provided further that the agreements cannot be terminated or amended in a manner that would adversely affect the rights of participants after the Board of Directors has knowledge of a potential change in control unless and until the Board of Directors has determined that such potential change in control will not be consummated and the Board of Directors does not have knowledge of any other potential change in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2"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Each of the Severance Program and the Employment Continuity Agreements provides for severance benefits to be paid in a manner intended to comply with, or be exempt from, Section 409A of the Internal Revenue Code, including delaying certain benefits for a period of six months following termination if necessary. In addition, severance benefits are subject to reduction to avoid any excise tax on excess “parachute payments” under Section 280G of the Internal Revenue Code. All employees who accept benefits under the Severance Program or the Employment Continuity Agreements will be required to sign a release of claims and will be subject to certain covenants, including a one-year non-solicitation agreement.</w:t>
      </w: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as of November 30, 2024 with respect to shares of common stock that may be issued under existing equity compensation plans. All equity compensation plans currently in place have been approved by the stockholders.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 available for</w:t>
            </w:r>
          </w:p>
        </w:tc>
      </w:t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future issuance under</w:t>
            </w:r>
          </w:p>
        </w:tc>
      </w:t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equity compensation</w:t>
            </w:r>
          </w:p>
        </w:tc>
      </w:t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 be issued upon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plans (excluding</w:t>
            </w:r>
          </w:p>
        </w:tc>
      </w:t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securities reflected in</w:t>
            </w:r>
          </w:p>
        </w:tc>
      </w:tr>
      <w:tr>
        <w:trPr>
          <w:trHeight w:val="236"/>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180" w:type="dxa"/>
            <w:vAlign w:val="bottom"/>
          </w:tcPr>
          <w:p>
            <w:pPr>
              <w:spacing w:after="0"/>
              <w:rPr>
                <w:sz w:val="20"/>
                <w:szCs w:val="20"/>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0"/>
              </w:rPr>
              <w:t>N/A</w:t>
            </w:r>
          </w:p>
        </w:tc>
        <w:tc>
          <w:tcPr>
            <w:tcW w:w="2180" w:type="dxa"/>
            <w:vAlign w:val="bottom"/>
            <w:gridSpan w:val="3"/>
            <w:shd w:val="clear" w:color="auto" w:fill="CCEEFF"/>
          </w:tcPr>
          <w:p>
            <w:pPr>
              <w:jc w:val="right"/>
              <w:spacing w:after="0" w:line="207" w:lineRule="exact"/>
              <w:rPr>
                <w:sz w:val="20"/>
                <w:szCs w:val="20"/>
                <w:color w:val="auto"/>
              </w:rPr>
            </w:pPr>
            <w:r>
              <w:rPr>
                <w:rFonts w:ascii="Times New Roman" w:cs="Times New Roman" w:eastAsia="Times New Roman" w:hAnsi="Times New Roman"/>
                <w:sz w:val="15"/>
                <w:szCs w:val="15"/>
                <w:color w:val="auto"/>
              </w:rPr>
              <w:t>363,535</w:t>
            </w:r>
            <w:r>
              <w:rPr>
                <w:rFonts w:ascii="Times New Roman" w:cs="Times New Roman" w:eastAsia="Times New Roman" w:hAnsi="Times New Roman"/>
                <w:sz w:val="23"/>
                <w:szCs w:val="23"/>
                <w:color w:val="auto"/>
                <w:vertAlign w:val="superscript"/>
              </w:rPr>
              <w:t>(1)</w:t>
            </w:r>
          </w:p>
        </w:tc>
      </w:tr>
      <w:tr>
        <w:trPr>
          <w:trHeight w:val="213"/>
        </w:trPr>
        <w:tc>
          <w:tcPr>
            <w:tcW w:w="56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Equity Compensation Plans Not Approved by Stockholders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spacing w:after="0" w:line="207" w:lineRule="exact"/>
              <w:rPr>
                <w:sz w:val="20"/>
                <w:szCs w:val="20"/>
                <w:color w:val="auto"/>
              </w:rPr>
            </w:pPr>
            <w:r>
              <w:rPr>
                <w:rFonts w:ascii="Times New Roman" w:cs="Times New Roman" w:eastAsia="Times New Roman" w:hAnsi="Times New Roman"/>
                <w:sz w:val="15"/>
                <w:szCs w:val="15"/>
                <w:color w:val="auto"/>
              </w:rPr>
              <w:t>363,535</w:t>
            </w:r>
            <w:r>
              <w:rPr>
                <w:rFonts w:ascii="Times New Roman" w:cs="Times New Roman" w:eastAsia="Times New Roman" w:hAnsi="Times New Roman"/>
                <w:sz w:val="23"/>
                <w:szCs w:val="23"/>
                <w:color w:val="auto"/>
                <w:vertAlign w:val="superscript"/>
              </w:rPr>
              <w:t>(1)</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480" w:right="120" w:hanging="473"/>
        <w:spacing w:after="0" w:line="215" w:lineRule="auto"/>
        <w:tabs>
          <w:tab w:leader="none" w:pos="4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shares remaining available for issuance under the 2017 Employee Stock Purchase Plan and the 2021 Stock Incentive Plan. Consists of shares available under the 2017 Employee Stock Purchase Plan including 43,961 shares available to be purchased in the then current period and 322,674 shares available in the 2021 Stock Incentive Plan.</w:t>
      </w:r>
    </w:p>
    <w:p>
      <w:pPr>
        <w:spacing w:after="0" w:line="1" w:lineRule="exact"/>
        <w:rPr>
          <w:rFonts w:ascii="Times New Roman" w:cs="Times New Roman" w:eastAsia="Times New Roman" w:hAnsi="Times New Roman"/>
          <w:sz w:val="27"/>
          <w:szCs w:val="27"/>
          <w:color w:val="auto"/>
          <w:vertAlign w:val="superscript"/>
        </w:rPr>
      </w:pPr>
    </w:p>
    <w:p>
      <w:pPr>
        <w:ind w:left="480" w:hanging="473"/>
        <w:spacing w:after="0" w:line="181" w:lineRule="auto"/>
        <w:tabs>
          <w:tab w:leader="none" w:pos="4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are no equity compensation plans in place not approved by stockholders.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ind w:right="220" w:firstLine="480"/>
        <w:spacing w:after="0" w:line="262" w:lineRule="auto"/>
        <w:rPr>
          <w:sz w:val="20"/>
          <w:szCs w:val="20"/>
          <w:color w:val="auto"/>
        </w:rPr>
      </w:pPr>
      <w:r>
        <w:rPr>
          <w:rFonts w:ascii="Times New Roman" w:cs="Times New Roman" w:eastAsia="Times New Roman" w:hAnsi="Times New Roman"/>
          <w:sz w:val="18"/>
          <w:szCs w:val="18"/>
          <w:color w:val="auto"/>
        </w:rPr>
        <w:t>The following table shows the past two fiscal years’ total compensation for our named executive officers as set forth in the Summary Compensation Table, the “compensation actually paid” to our named executive officers (as determined under SEC rules), our total shareholder return (TSR), and our net income.</w:t>
      </w:r>
    </w:p>
    <w:p>
      <w:pPr>
        <w:spacing w:after="0" w:line="17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November 30, 2024 or, if earlier, the vesting date (rather than the grant date) and factor in dividends and interest accrued with respect to such awards. For purposes of the disclosure below, no pension valuation adjustments were required.</w:t>
      </w:r>
    </w:p>
    <w:p>
      <w:pPr>
        <w:spacing w:after="0" w:line="189" w:lineRule="exact"/>
        <w:rPr>
          <w:sz w:val="20"/>
          <w:szCs w:val="20"/>
          <w:color w:val="auto"/>
        </w:rPr>
      </w:pPr>
    </w:p>
    <w:tbl>
      <w:tblPr>
        <w:tblLayout w:type="fixed"/>
        <w:tblInd w:w="48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Table</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20" w:type="dxa"/>
            <w:vAlign w:val="bottom"/>
          </w:tcPr>
          <w:p>
            <w:pPr>
              <w:spacing w:after="0"/>
              <w:rPr>
                <w:sz w:val="17"/>
                <w:szCs w:val="17"/>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6"/>
              </w:rPr>
              <w:t>Value of Initial</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80" w:type="dxa"/>
            <w:vAlign w:val="bottom"/>
          </w:tcPr>
          <w:p>
            <w:pPr>
              <w:spacing w:after="0"/>
              <w:rPr>
                <w:sz w:val="17"/>
                <w:szCs w:val="17"/>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Fixed $100</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Non-PEO</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180" w:type="dxa"/>
            <w:vAlign w:val="bottom"/>
          </w:tcPr>
          <w:p>
            <w:pPr>
              <w:spacing w:after="0"/>
              <w:rPr>
                <w:sz w:val="17"/>
                <w:szCs w:val="17"/>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Table</w:t>
            </w:r>
          </w:p>
        </w:tc>
        <w:tc>
          <w:tcPr>
            <w:tcW w:w="22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Named</w:t>
            </w:r>
          </w:p>
        </w:tc>
        <w:tc>
          <w:tcPr>
            <w:tcW w:w="220" w:type="dxa"/>
            <w:vAlign w:val="bottom"/>
          </w:tcPr>
          <w:p>
            <w:pPr>
              <w:spacing w:after="0"/>
              <w:rPr>
                <w:sz w:val="17"/>
                <w:szCs w:val="17"/>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Paid to</w:t>
            </w:r>
          </w:p>
        </w:tc>
        <w:tc>
          <w:tcPr>
            <w:tcW w:w="180" w:type="dxa"/>
            <w:vAlign w:val="bottom"/>
          </w:tcPr>
          <w:p>
            <w:pPr>
              <w:spacing w:after="0"/>
              <w:rPr>
                <w:sz w:val="17"/>
                <w:szCs w:val="17"/>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Based on</w:t>
            </w:r>
          </w:p>
        </w:tc>
        <w:tc>
          <w:tcPr>
            <w:tcW w:w="340" w:type="dxa"/>
            <w:vAlign w:val="bottom"/>
          </w:tcPr>
          <w:p>
            <w:pPr>
              <w:spacing w:after="0"/>
              <w:rPr>
                <w:sz w:val="17"/>
                <w:szCs w:val="17"/>
                <w:color w:val="auto"/>
              </w:rPr>
            </w:pPr>
          </w:p>
        </w:tc>
        <w:tc>
          <w:tcPr>
            <w:tcW w:w="1140" w:type="dxa"/>
            <w:vAlign w:val="bottom"/>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2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Total for Principal</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Executive</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Shareholder</w:t>
            </w:r>
          </w:p>
        </w:tc>
        <w:tc>
          <w:tcPr>
            <w:tcW w:w="340" w:type="dxa"/>
            <w:vAlign w:val="bottom"/>
          </w:tcPr>
          <w:p>
            <w:pPr>
              <w:spacing w:after="0"/>
              <w:rPr>
                <w:sz w:val="17"/>
                <w:szCs w:val="17"/>
                <w:color w:val="auto"/>
              </w:rPr>
            </w:pPr>
          </w:p>
        </w:tc>
        <w:tc>
          <w:tcPr>
            <w:tcW w:w="1140" w:type="dxa"/>
            <w:vAlign w:val="bottom"/>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20" w:type="dxa"/>
            <w:vAlign w:val="bottom"/>
            <w:gridSpan w:val="2"/>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Executive Officer</w:t>
            </w:r>
          </w:p>
        </w:tc>
        <w:tc>
          <w:tcPr>
            <w:tcW w:w="22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Paid to</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Officers</w:t>
            </w:r>
          </w:p>
        </w:tc>
        <w:tc>
          <w:tcPr>
            <w:tcW w:w="220" w:type="dxa"/>
            <w:vAlign w:val="bottom"/>
          </w:tcPr>
          <w:p>
            <w:pPr>
              <w:spacing w:after="0"/>
              <w:rPr>
                <w:sz w:val="17"/>
                <w:szCs w:val="17"/>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PEO</w:t>
            </w:r>
          </w:p>
        </w:tc>
        <w:tc>
          <w:tcPr>
            <w:tcW w:w="180" w:type="dxa"/>
            <w:vAlign w:val="bottom"/>
          </w:tcPr>
          <w:p>
            <w:pPr>
              <w:spacing w:after="0"/>
              <w:rPr>
                <w:sz w:val="17"/>
                <w:szCs w:val="17"/>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Return (“TSR”)</w:t>
            </w:r>
          </w:p>
        </w:tc>
        <w:tc>
          <w:tcPr>
            <w:tcW w:w="340" w:type="dxa"/>
            <w:vAlign w:val="bottom"/>
          </w:tcPr>
          <w:p>
            <w:pPr>
              <w:spacing w:after="0"/>
              <w:rPr>
                <w:sz w:val="17"/>
                <w:szCs w:val="17"/>
                <w:color w:val="auto"/>
              </w:rPr>
            </w:pPr>
          </w:p>
        </w:tc>
        <w:tc>
          <w:tcPr>
            <w:tcW w:w="1140" w:type="dxa"/>
            <w:vAlign w:val="bottom"/>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355"/>
        </w:trPr>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60" w:type="dxa"/>
            <w:vAlign w:val="bottom"/>
          </w:tcPr>
          <w:p>
            <w:pPr>
              <w:spacing w:after="0"/>
              <w:rPr>
                <w:sz w:val="24"/>
                <w:szCs w:val="24"/>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(“PEO”)</w:t>
            </w:r>
            <w:r>
              <w:rPr>
                <w:rFonts w:ascii="Times New Roman" w:cs="Times New Roman" w:eastAsia="Times New Roman" w:hAnsi="Times New Roman"/>
                <w:sz w:val="26"/>
                <w:szCs w:val="26"/>
                <w:b w:val="1"/>
                <w:bCs w:val="1"/>
                <w:color w:val="auto"/>
                <w:w w:val="95"/>
                <w:vertAlign w:val="superscript"/>
              </w:rPr>
              <w:t>(1)</w:t>
            </w:r>
          </w:p>
        </w:tc>
        <w:tc>
          <w:tcPr>
            <w:tcW w:w="22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0"/>
              </w:rPr>
              <w:t>PEO</w:t>
            </w:r>
            <w:r>
              <w:rPr>
                <w:rFonts w:ascii="Times New Roman" w:cs="Times New Roman" w:eastAsia="Times New Roman" w:hAnsi="Times New Roman"/>
                <w:sz w:val="26"/>
                <w:szCs w:val="26"/>
                <w:b w:val="1"/>
                <w:bCs w:val="1"/>
                <w:color w:val="auto"/>
                <w:w w:val="90"/>
                <w:vertAlign w:val="superscript"/>
              </w:rPr>
              <w:t>(3)</w:t>
            </w:r>
          </w:p>
        </w:tc>
        <w:tc>
          <w:tcPr>
            <w:tcW w:w="220" w:type="dxa"/>
            <w:vAlign w:val="bottom"/>
          </w:tcPr>
          <w:p>
            <w:pPr>
              <w:spacing w:after="0"/>
              <w:rPr>
                <w:sz w:val="24"/>
                <w:szCs w:val="24"/>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(“NEOs”)</w:t>
            </w:r>
            <w:r>
              <w:rPr>
                <w:rFonts w:ascii="Times New Roman" w:cs="Times New Roman" w:eastAsia="Times New Roman" w:hAnsi="Times New Roman"/>
                <w:sz w:val="26"/>
                <w:szCs w:val="26"/>
                <w:b w:val="1"/>
                <w:bCs w:val="1"/>
                <w:color w:val="auto"/>
                <w:w w:val="93"/>
                <w:vertAlign w:val="superscript"/>
              </w:rPr>
              <w:t>(2)</w:t>
            </w:r>
          </w:p>
        </w:tc>
        <w:tc>
          <w:tcPr>
            <w:tcW w:w="22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1"/>
              </w:rPr>
              <w:t>NEOs</w:t>
            </w:r>
            <w:r>
              <w:rPr>
                <w:rFonts w:ascii="Times New Roman" w:cs="Times New Roman" w:eastAsia="Times New Roman" w:hAnsi="Times New Roman"/>
                <w:sz w:val="26"/>
                <w:szCs w:val="26"/>
                <w:b w:val="1"/>
                <w:bCs w:val="1"/>
                <w:color w:val="auto"/>
                <w:w w:val="91"/>
                <w:vertAlign w:val="superscript"/>
              </w:rPr>
              <w:t>(3)</w:t>
            </w:r>
          </w:p>
        </w:tc>
        <w:tc>
          <w:tcPr>
            <w:tcW w:w="180" w:type="dxa"/>
            <w:vAlign w:val="bottom"/>
          </w:tcPr>
          <w:p>
            <w:pPr>
              <w:spacing w:after="0"/>
              <w:rPr>
                <w:sz w:val="24"/>
                <w:szCs w:val="24"/>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(4)</w:t>
            </w:r>
          </w:p>
        </w:tc>
        <w:tc>
          <w:tcPr>
            <w:tcW w:w="340" w:type="dxa"/>
            <w:vAlign w:val="bottom"/>
          </w:tcPr>
          <w:p>
            <w:pPr>
              <w:spacing w:after="0"/>
              <w:rPr>
                <w:sz w:val="24"/>
                <w:szCs w:val="24"/>
                <w:color w:val="auto"/>
              </w:rPr>
            </w:pPr>
          </w:p>
        </w:tc>
        <w:tc>
          <w:tcPr>
            <w:tcW w:w="1140" w:type="dxa"/>
            <w:vAlign w:val="bottom"/>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000s</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491,900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485,570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344,213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339,149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112</w:t>
            </w:r>
          </w:p>
        </w:tc>
        <w:tc>
          <w:tcPr>
            <w:tcW w:w="3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533,750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526,540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361,134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355,366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8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956,060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964,460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554,263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560,983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124</w:t>
            </w:r>
          </w:p>
        </w:tc>
        <w:tc>
          <w:tcPr>
            <w:tcW w:w="3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3"/>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summary compensation table totals for Mr. Spilman for fiscal years 2022, 2023 and 2024.</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average summary compensation table totals of our non-CEO NEOs, which includes for 2024 Messrs. Cohenour, Daniel, Bassett and for 2022 and 2023 Messrs. Cohenour, Daniel, Bassett and David C. Baker.</w:t>
      </w:r>
    </w:p>
    <w:p>
      <w:pPr>
        <w:spacing w:after="0" w:line="162" w:lineRule="exact"/>
        <w:rPr>
          <w:rFonts w:ascii="Times New Roman" w:cs="Times New Roman" w:eastAsia="Times New Roman" w:hAnsi="Times New Roman"/>
          <w:sz w:val="18"/>
          <w:szCs w:val="18"/>
          <w:color w:val="auto"/>
        </w:rPr>
      </w:pPr>
    </w:p>
    <w:p>
      <w:pPr>
        <w:ind w:right="60" w:firstLine="7"/>
        <w:spacing w:after="0" w:line="277" w:lineRule="auto"/>
        <w:tabs>
          <w:tab w:leader="none" w:pos="2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certain adjustments be made for Summary Compensation Table totals to determine compensation “actually paid” as reported in the Pay versus Performance table. The following tables detail these adjustments.</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determined based on the value of an initial fixed investment of $100.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Deduct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Add Equity</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9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Table Total</w:t>
            </w:r>
          </w:p>
        </w:tc>
        <w:tc>
          <w:tcPr>
            <w:tcW w:w="1720" w:type="dxa"/>
            <w:vAlign w:val="bottom"/>
            <w:gridSpan w:val="2"/>
          </w:tcPr>
          <w:p>
            <w:pPr>
              <w:jc w:val="center"/>
              <w:ind w:right="220"/>
              <w:spacing w:after="0" w:line="236" w:lineRule="exact"/>
              <w:rPr>
                <w:sz w:val="20"/>
                <w:szCs w:val="20"/>
                <w:color w:val="auto"/>
              </w:rPr>
            </w:pPr>
            <w:r>
              <w:rPr>
                <w:rFonts w:ascii="Times New Roman" w:cs="Times New Roman" w:eastAsia="Times New Roman" w:hAnsi="Times New Roman"/>
                <w:sz w:val="17"/>
                <w:szCs w:val="17"/>
                <w:b w:val="1"/>
                <w:bCs w:val="1"/>
                <w:color w:val="auto"/>
                <w:w w:val="95"/>
              </w:rPr>
              <w:t>Awards</w:t>
            </w:r>
            <w:r>
              <w:rPr>
                <w:rFonts w:ascii="Times New Roman" w:cs="Times New Roman" w:eastAsia="Times New Roman" w:hAnsi="Times New Roman"/>
                <w:sz w:val="27"/>
                <w:szCs w:val="27"/>
                <w:b w:val="1"/>
                <w:bCs w:val="1"/>
                <w:color w:val="auto"/>
                <w:w w:val="95"/>
                <w:vertAlign w:val="superscript"/>
              </w:rPr>
              <w:t>(a)</w:t>
            </w:r>
          </w:p>
        </w:tc>
        <w:tc>
          <w:tcPr>
            <w:tcW w:w="1700" w:type="dxa"/>
            <w:vAlign w:val="bottom"/>
            <w:gridSpan w:val="2"/>
          </w:tcPr>
          <w:p>
            <w:pPr>
              <w:jc w:val="center"/>
              <w:ind w:right="220"/>
              <w:spacing w:after="0" w:line="236" w:lineRule="exact"/>
              <w:rPr>
                <w:sz w:val="20"/>
                <w:szCs w:val="20"/>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27"/>
                <w:szCs w:val="27"/>
                <w:b w:val="1"/>
                <w:bCs w:val="1"/>
                <w:color w:val="auto"/>
                <w:vertAlign w:val="superscript"/>
              </w:rPr>
              <w:t>(b)</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Actually Paid</w:t>
            </w:r>
          </w:p>
        </w:tc>
      </w:tr>
      <w:tr>
        <w:trPr>
          <w:trHeight w:val="207"/>
        </w:trPr>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r>
      <w:tr>
        <w:trPr>
          <w:trHeight w:val="21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491,900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485,570</w:t>
            </w:r>
          </w:p>
        </w:tc>
      </w:tr>
      <w:tr>
        <w:trPr>
          <w:trHeight w:val="213"/>
        </w:trPr>
        <w:tc>
          <w:tcPr>
            <w:tcW w:w="18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NEOs</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344,213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339,149</w:t>
            </w:r>
          </w:p>
        </w:tc>
      </w:t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533,750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52,650</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45,440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526,540</w:t>
            </w:r>
          </w:p>
        </w:tc>
      </w:tr>
      <w:tr>
        <w:trPr>
          <w:trHeight w:val="213"/>
        </w:trPr>
        <w:tc>
          <w:tcPr>
            <w:tcW w:w="18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NEOs</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361,134</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42,120</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36,352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355,366</w:t>
            </w:r>
          </w:p>
        </w:tc>
      </w:tr>
      <w:tr>
        <w:trPr>
          <w:trHeight w:val="213"/>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956,060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47,460</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55,860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964,460</w:t>
            </w:r>
          </w:p>
        </w:tc>
      </w:tr>
      <w:tr>
        <w:trPr>
          <w:trHeight w:val="213"/>
        </w:trPr>
        <w:tc>
          <w:tcPr>
            <w:tcW w:w="18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NEOs</w:t>
            </w:r>
          </w:p>
        </w:tc>
        <w:tc>
          <w:tcPr>
            <w:tcW w:w="1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554,263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37,968</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44,688</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560,983</w:t>
            </w:r>
          </w:p>
        </w:tc>
      </w:tr>
    </w:tbl>
    <w:p>
      <w:pPr>
        <w:spacing w:after="0" w:line="195" w:lineRule="exact"/>
        <w:rPr>
          <w:sz w:val="20"/>
          <w:szCs w:val="20"/>
          <w:color w:val="auto"/>
        </w:rPr>
      </w:pPr>
    </w:p>
    <w:p>
      <w:pPr>
        <w:ind w:left="480" w:right="880" w:hanging="473"/>
        <w:spacing w:after="0" w:line="277"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grant date fair value of equity awards as reported in the “Stock Awards” column of the Summary Compensation Table for each applicable 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ind w:left="480" w:hanging="47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w:t>
      </w:r>
    </w:p>
    <w:p>
      <w:pPr>
        <w:spacing w:after="0" w:line="219" w:lineRule="exact"/>
        <w:rPr>
          <w:rFonts w:ascii="Times New Roman" w:cs="Times New Roman" w:eastAsia="Times New Roman" w:hAnsi="Times New Roman"/>
          <w:sz w:val="18"/>
          <w:szCs w:val="18"/>
          <w:color w:val="auto"/>
        </w:rPr>
      </w:pPr>
    </w:p>
    <w:p>
      <w:pPr>
        <w:ind w:left="1120" w:hanging="313"/>
        <w:spacing w:after="0"/>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year-end fair value of any equity awards granted in the applicable year that are outstanding and unvested as of the end of the year;</w:t>
      </w:r>
    </w:p>
    <w:p>
      <w:pPr>
        <w:spacing w:after="0" w:line="246" w:lineRule="exact"/>
        <w:rPr>
          <w:rFonts w:ascii="Times New Roman" w:cs="Times New Roman" w:eastAsia="Times New Roman" w:hAnsi="Times New Roman"/>
          <w:sz w:val="18"/>
          <w:szCs w:val="18"/>
          <w:color w:val="auto"/>
        </w:rPr>
      </w:pPr>
    </w:p>
    <w:p>
      <w:pPr>
        <w:ind w:left="1120" w:right="240" w:hanging="313"/>
        <w:spacing w:after="0" w:line="277" w:lineRule="auto"/>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change in fair value as of the end of the applicable year (from the end of the prior fiscal year) of any awards granted in prior years that are outstanding and unvested as of the end of the applicable year;</w:t>
      </w:r>
    </w:p>
    <w:p>
      <w:pPr>
        <w:spacing w:after="0" w:line="162" w:lineRule="exact"/>
        <w:rPr>
          <w:rFonts w:ascii="Times New Roman" w:cs="Times New Roman" w:eastAsia="Times New Roman" w:hAnsi="Times New Roman"/>
          <w:sz w:val="18"/>
          <w:szCs w:val="18"/>
          <w:color w:val="auto"/>
        </w:rPr>
      </w:pPr>
    </w:p>
    <w:p>
      <w:pPr>
        <w:ind w:left="1120" w:hanging="313"/>
        <w:spacing w:after="0"/>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that are granted and vest in the same applicable year, the fair value as of the vesting date;</w:t>
      </w:r>
    </w:p>
    <w:p>
      <w:pPr>
        <w:spacing w:after="0" w:line="246" w:lineRule="exact"/>
        <w:rPr>
          <w:rFonts w:ascii="Times New Roman" w:cs="Times New Roman" w:eastAsia="Times New Roman" w:hAnsi="Times New Roman"/>
          <w:sz w:val="18"/>
          <w:szCs w:val="18"/>
          <w:color w:val="auto"/>
        </w:rPr>
      </w:pPr>
    </w:p>
    <w:p>
      <w:pPr>
        <w:ind w:left="1120" w:right="100" w:hanging="313"/>
        <w:spacing w:after="0" w:line="277" w:lineRule="auto"/>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granted in prior years that vest in the applicable year, the amount equal to the change in fair value as of the vesting date (from the end of the prior fiscal year);</w:t>
      </w:r>
    </w:p>
    <w:p>
      <w:pPr>
        <w:spacing w:after="0" w:line="162" w:lineRule="exact"/>
        <w:rPr>
          <w:rFonts w:ascii="Times New Roman" w:cs="Times New Roman" w:eastAsia="Times New Roman" w:hAnsi="Times New Roman"/>
          <w:sz w:val="18"/>
          <w:szCs w:val="18"/>
          <w:color w:val="auto"/>
        </w:rPr>
      </w:pPr>
    </w:p>
    <w:p>
      <w:pPr>
        <w:ind w:left="1120" w:right="120" w:hanging="313"/>
        <w:spacing w:after="0" w:line="277" w:lineRule="auto"/>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granted in prior years that are determined to fail to meet the applicable vesting conditions during the applicable year, a deduction for the amount equal to the fair value at the end of the prior fiscal year; and</w:t>
      </w:r>
    </w:p>
    <w:p>
      <w:pPr>
        <w:spacing w:after="0" w:line="162" w:lineRule="exact"/>
        <w:rPr>
          <w:rFonts w:ascii="Times New Roman" w:cs="Times New Roman" w:eastAsia="Times New Roman" w:hAnsi="Times New Roman"/>
          <w:sz w:val="18"/>
          <w:szCs w:val="18"/>
          <w:color w:val="auto"/>
        </w:rPr>
      </w:pPr>
    </w:p>
    <w:p>
      <w:pPr>
        <w:ind w:left="1120" w:hanging="313"/>
        <w:spacing w:after="0" w:line="277" w:lineRule="auto"/>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any dividends or other earnings paid on equity awards In the applicable year prior to the vesting date that are not otherwise reflected in the fair value of such award or included in any other component of total compensation for the applicable year.</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amounts deducted or added in calculating the equity award adjustments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Unvested Awards</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Vested Awards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Year end fair</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over</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change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in fair value</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 as</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as of</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of</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 vesting</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vesting date</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during the</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of equity</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from prior</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Deduct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and</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and unvested</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 of</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granted and</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prior awards</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awards (fair</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dividends or</w:t>
            </w:r>
          </w:p>
        </w:tc>
        <w:tc>
          <w:tcPr>
            <w:tcW w:w="2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and unvested</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awards at</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vested in the</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that vested</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value at end</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award</w:t>
            </w:r>
          </w:p>
        </w:tc>
      </w:tr>
      <w:tr>
        <w:trPr>
          <w:trHeight w:val="211"/>
        </w:trPr>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 year end</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during year</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of prior year)</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 paid</w:t>
            </w:r>
          </w:p>
        </w:tc>
        <w:tc>
          <w:tcPr>
            <w:tcW w:w="2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199"/>
        </w:trPr>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9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9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r>
      <w:tr>
        <w:trPr>
          <w:trHeight w:val="20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CEO</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(4,200)</w:t>
            </w:r>
          </w:p>
        </w:tc>
        <w:tc>
          <w:tcPr>
            <w:tcW w:w="9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(6,330)</w:t>
            </w:r>
          </w:p>
        </w:tc>
      </w:tr>
      <w:tr>
        <w:trPr>
          <w:trHeight w:val="200"/>
        </w:trPr>
        <w:tc>
          <w:tcPr>
            <w:tcW w:w="1080" w:type="dxa"/>
            <w:vAlign w:val="bottom"/>
          </w:tcPr>
          <w:p>
            <w:pPr>
              <w:spacing w:after="0"/>
              <w:rPr>
                <w:sz w:val="17"/>
                <w:szCs w:val="17"/>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Other NEOs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(3,360)</w:t>
            </w:r>
          </w:p>
        </w:tc>
        <w:tc>
          <w:tcPr>
            <w:tcW w:w="9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4"/>
              </w:rPr>
              <w:t>0</w:t>
            </w:r>
          </w:p>
        </w:tc>
        <w:tc>
          <w:tcPr>
            <w:tcW w:w="2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(1,704)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(5,064)</w:t>
            </w:r>
          </w:p>
        </w:tc>
      </w:tr>
      <w:tr>
        <w:trPr>
          <w:trHeight w:val="200"/>
        </w:trPr>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CEO</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49,890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(3,980)</w:t>
            </w:r>
          </w:p>
        </w:tc>
        <w:tc>
          <w:tcPr>
            <w:tcW w:w="9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4"/>
              </w:rPr>
              <w:t>0</w:t>
            </w:r>
          </w:p>
        </w:tc>
        <w:tc>
          <w:tcPr>
            <w:tcW w:w="2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45,440</w:t>
            </w:r>
          </w:p>
        </w:tc>
      </w:tr>
      <w:tr>
        <w:trPr>
          <w:trHeight w:val="200"/>
        </w:trPr>
        <w:tc>
          <w:tcPr>
            <w:tcW w:w="10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NEOs</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39,912</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(3,184)</w:t>
            </w:r>
          </w:p>
        </w:tc>
        <w:tc>
          <w:tcPr>
            <w:tcW w:w="9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36,352</w:t>
            </w:r>
          </w:p>
        </w:tc>
      </w:tr>
      <w:tr>
        <w:trPr>
          <w:trHeight w:val="200"/>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CEO</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55,860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55,860</w:t>
            </w:r>
          </w:p>
        </w:tc>
      </w:tr>
      <w:tr>
        <w:trPr>
          <w:trHeight w:val="209"/>
        </w:trPr>
        <w:tc>
          <w:tcPr>
            <w:tcW w:w="108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Other NEOs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178,752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8"/>
                <w:szCs w:val="18"/>
                <w:color w:val="auto"/>
              </w:rPr>
            </w:pPr>
          </w:p>
        </w:tc>
        <w:tc>
          <w:tcPr>
            <w:tcW w:w="9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4"/>
              </w:rPr>
              <w:t>0</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178,752</w:t>
            </w:r>
          </w:p>
        </w:tc>
      </w:tr>
    </w:tbl>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Relationship of Pay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5109210" cy="5676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09210" cy="567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Actually Paid (“CAP”)</w:t>
      </w:r>
    </w:p>
    <w:p>
      <w:pPr>
        <w:spacing w:after="0" w:line="22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4" w:lineRule="exact"/>
        <w:rPr>
          <w:sz w:val="20"/>
          <w:szCs w:val="20"/>
          <w:color w:val="auto"/>
        </w:rPr>
      </w:pPr>
    </w:p>
    <w:p>
      <w:pPr>
        <w:ind w:right="20" w:firstLine="445"/>
        <w:spacing w:after="0" w:line="277" w:lineRule="auto"/>
        <w:rPr>
          <w:sz w:val="20"/>
          <w:szCs w:val="20"/>
          <w:color w:val="auto"/>
        </w:rPr>
      </w:pPr>
      <w:r>
        <w:rPr>
          <w:rFonts w:ascii="Times New Roman" w:cs="Times New Roman" w:eastAsia="Times New Roman" w:hAnsi="Times New Roman"/>
          <w:sz w:val="17"/>
          <w:szCs w:val="17"/>
          <w:color w:val="auto"/>
        </w:rPr>
        <w:t>The Audit Committee has selected Ernst &amp; Young LLP as independent registered public accounting firm to audit the financial statements of the Company for the fiscal year ending November 29, 2025. This selection is being presented to the stockholders for their ratification at the Annual Meeting of Stockholders. The firm of Ernst &amp; Young LLP is considered well qualified. Representatives of Ernst &amp; Young LLP are expected to be present at the Annual Meeting of Stockholders with an opportunity to make a statement if they desire to do so and are expected to be available to respond to appropriate questions.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Other Fees</w:t>
      </w:r>
    </w:p>
    <w:p>
      <w:pPr>
        <w:spacing w:after="0" w:line="222" w:lineRule="exact"/>
        <w:rPr>
          <w:sz w:val="20"/>
          <w:szCs w:val="20"/>
          <w:color w:val="auto"/>
        </w:rPr>
      </w:pPr>
    </w:p>
    <w:p>
      <w:pPr>
        <w:jc w:val="both"/>
        <w:ind w:right="8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 aggregate fees billed by Ernst &amp; Young LLP for audit services (audit of the Company’s annual financial statements, audit of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the Company’s financial reporting, review of the Company’s quarterly financial statements included in its Forms 10-Q, and assistance with and review of SEC filings) for fiscal year 2024 and fiscal year 2023 were $1,112,500 and $915,000, respectively.</w:t>
      </w:r>
    </w:p>
    <w:p>
      <w:pPr>
        <w:spacing w:after="0" w:line="173" w:lineRule="exact"/>
        <w:rPr>
          <w:sz w:val="20"/>
          <w:szCs w:val="20"/>
          <w:color w:val="auto"/>
        </w:rPr>
      </w:pPr>
    </w:p>
    <w:p>
      <w:pPr>
        <w:jc w:val="both"/>
        <w:ind w:right="6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There were no fees billed for audit-related services by Ernst &amp; Young LLP in fiscal year 2024 and fiscal year 2023 not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the preceding paragraph.</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The aggregate fees billed by Ernst &amp; Young LLP in fiscal year 2024 and fiscal year 2023 for tax-related services were $346,600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$345,000 respectively. Tax compliance services accounted for $270,100 of the fees billed in fiscal year 2024 and $263,000 of the fees billed in fiscal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99" w:lineRule="exact"/>
        <w:rPr>
          <w:sz w:val="20"/>
          <w:szCs w:val="20"/>
          <w:color w:val="auto"/>
        </w:rPr>
      </w:pPr>
    </w:p>
    <w:p>
      <w:pPr>
        <w:ind w:right="12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In each of fiscal year 2024 and fiscal year 2023, the Company paid an additional $3,600, to Ernst &amp; Young LLP for a subscription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online accounting research tool. None of the services provided by Ernst &amp; Young LLP consisted of financial information systems design or implementation services.</w:t>
      </w:r>
    </w:p>
    <w:p>
      <w:pPr>
        <w:spacing w:after="0" w:line="17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Audit Committee considered whether, and determined that, the auditor’s provision of non-audit services was compatible with maintaining the auditor’s independence. In accordance with provisions of the Sarbanes-Oxley Act of 2002, all audit and non-audit services provided to the Company by its independent auditors must be pre-approved by the Audit Committee. As authorized by that statute, the Audit Committee has delegated authority to the chairperson of the Audit Committee to pre-approve audit and non-audit services when the Audit Committee is not in session. Any decisions by the chairperson of the Audit Committee under this delegated authority will be reported at the next meeting of the Audit Committee. All services described above were pre-approved by the full Audit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0" w:lineRule="exact"/>
        <w:rPr>
          <w:sz w:val="20"/>
          <w:szCs w:val="20"/>
          <w:color w:val="auto"/>
        </w:rPr>
      </w:pPr>
    </w:p>
    <w:p>
      <w:pPr>
        <w:ind w:right="140" w:firstLine="48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Ernst &amp; Young LLP as independent registered public accounting firm to audit the financial statements of the Company for the fiscal year ending November 29, 2025, and proxies solicited by the Board of Directors will be so voted unless stockholders specify a different choice. If the stockholders do not ratify the selection of Ernst &amp; Young LLP, the selection of independent public accountants will be reconsidered by the Audit Committee.</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(SAY-ON-PAY)</w:t>
      </w:r>
    </w:p>
    <w:p>
      <w:pPr>
        <w:spacing w:after="0" w:line="201"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In accordance with Section 14A of the Exchange Act, we are asking stockholders to approve the following advisory resolution at the Annual Meeting of Stockholders:</w:t>
      </w:r>
    </w:p>
    <w:p>
      <w:pPr>
        <w:spacing w:after="0" w:line="163" w:lineRule="exact"/>
        <w:rPr>
          <w:sz w:val="20"/>
          <w:szCs w:val="20"/>
          <w:color w:val="auto"/>
        </w:rPr>
      </w:pPr>
    </w:p>
    <w:p>
      <w:pPr>
        <w:ind w:left="480" w:right="1020"/>
        <w:spacing w:after="0" w:line="277"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including the Compensation Discussion and Analysis, compensation tables and narrative discussion, is hereby APPROVED.</w:t>
      </w:r>
    </w:p>
    <w:p>
      <w:pPr>
        <w:spacing w:after="0" w:line="163" w:lineRule="exact"/>
        <w:rPr>
          <w:sz w:val="20"/>
          <w:szCs w:val="20"/>
          <w:color w:val="auto"/>
        </w:rPr>
      </w:pPr>
    </w:p>
    <w:p>
      <w:pPr>
        <w:ind w:right="100" w:firstLine="480"/>
        <w:spacing w:after="0" w:line="307" w:lineRule="auto"/>
        <w:rPr>
          <w:sz w:val="20"/>
          <w:szCs w:val="20"/>
          <w:color w:val="auto"/>
        </w:rPr>
      </w:pPr>
      <w:r>
        <w:rPr>
          <w:rFonts w:ascii="Times New Roman" w:cs="Times New Roman" w:eastAsia="Times New Roman" w:hAnsi="Times New Roman"/>
          <w:sz w:val="17"/>
          <w:szCs w:val="17"/>
          <w:color w:val="auto"/>
        </w:rPr>
        <w:t>The primary goal of our executive compensation program is the same as our goal for operating the Company – to maximize corporate performance and thereby create value for our stockholders. To achieve this goal we have designed an executive compensation program based on the following principles:</w:t>
      </w:r>
    </w:p>
    <w:p>
      <w:pPr>
        <w:spacing w:after="0" w:line="140" w:lineRule="exact"/>
        <w:rPr>
          <w:sz w:val="20"/>
          <w:szCs w:val="20"/>
          <w:color w:val="auto"/>
        </w:rPr>
      </w:pPr>
    </w:p>
    <w:p>
      <w:pPr>
        <w:ind w:left="320" w:right="44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for performance – A significant portion of each executive’s potential cash compensation is made subject to achieving business performance measures.</w:t>
      </w:r>
    </w:p>
    <w:p>
      <w:pPr>
        <w:spacing w:after="0" w:line="162" w:lineRule="exact"/>
        <w:rPr>
          <w:rFonts w:ascii="Times New Roman" w:cs="Times New Roman" w:eastAsia="Times New Roman" w:hAnsi="Times New Roman"/>
          <w:sz w:val="18"/>
          <w:szCs w:val="18"/>
          <w:color w:val="auto"/>
        </w:rPr>
      </w:pPr>
    </w:p>
    <w:p>
      <w:pPr>
        <w:ind w:left="320" w:right="12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the interests of stockholders – Equity awards align our executives’ financial interests with those of our stockholders by providing value to our executives if the market price of our stock increases.</w:t>
      </w:r>
    </w:p>
    <w:p>
      <w:pPr>
        <w:spacing w:after="0" w:line="162" w:lineRule="exact"/>
        <w:rPr>
          <w:rFonts w:ascii="Times New Roman" w:cs="Times New Roman" w:eastAsia="Times New Roman" w:hAnsi="Times New Roman"/>
          <w:sz w:val="18"/>
          <w:szCs w:val="18"/>
          <w:color w:val="auto"/>
        </w:rPr>
      </w:pPr>
    </w:p>
    <w:p>
      <w:pPr>
        <w:ind w:left="320" w:right="80" w:hanging="313"/>
        <w:spacing w:after="0" w:line="277"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top talent – The compensation of our executives must be competitive so that we may attract and retain talented and experienced executives in our industry.</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believe the design and operation of our compensation program effectively incorporates these principles, as illustrated by the following:</w:t>
      </w:r>
    </w:p>
    <w:p>
      <w:pPr>
        <w:spacing w:after="0" w:line="220" w:lineRule="exact"/>
        <w:rPr>
          <w:sz w:val="20"/>
          <w:szCs w:val="20"/>
          <w:color w:val="auto"/>
        </w:rPr>
      </w:pPr>
    </w:p>
    <w:p>
      <w:pPr>
        <w:ind w:left="320" w:right="180" w:hanging="313"/>
        <w:spacing w:after="0" w:line="262"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of disruptive marketplace trends threatening the traditional furniture industry for the last several years and to keep fixed costs under control, the base salaries of our executives have changed only modestly in recent years. For example, our chief executive officer’s salary has increased by 4.3% in the aggregate from fiscal 2022 to fiscal 2024.</w:t>
      </w:r>
    </w:p>
    <w:p>
      <w:pPr>
        <w:spacing w:after="0" w:line="176" w:lineRule="exact"/>
        <w:rPr>
          <w:rFonts w:ascii="Times New Roman" w:cs="Times New Roman" w:eastAsia="Times New Roman" w:hAnsi="Times New Roman"/>
          <w:sz w:val="18"/>
          <w:szCs w:val="18"/>
          <w:color w:val="auto"/>
        </w:rPr>
      </w:pPr>
    </w:p>
    <w:p>
      <w:pPr>
        <w:ind w:left="320" w:hanging="313"/>
        <w:spacing w:after="0" w:line="273"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last grants of performance-based long term equity incentive awards, which also were time-vested, were made in 2018 and vested in 2021. Since then we have made two modest grants of time-vesting restricted stock in 2022 and 2023, each vesting ratably over three years, and ranging from 10% to</w:t>
      </w:r>
    </w:p>
    <w:p>
      <w:pPr>
        <w:spacing w:after="0" w:line="1" w:lineRule="exact"/>
        <w:rPr>
          <w:rFonts w:ascii="Times New Roman" w:cs="Times New Roman" w:eastAsia="Times New Roman" w:hAnsi="Times New Roman"/>
          <w:sz w:val="17"/>
          <w:szCs w:val="17"/>
          <w:color w:val="auto"/>
        </w:rPr>
      </w:pPr>
    </w:p>
    <w:p>
      <w:pPr>
        <w:ind w:left="32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16.5% of salary for our named executive officers. The most recent grants were made to several members of management in order to retain talent. Given the current challenges in the furniture industry, we feel the executive pay mix is in line with shareholders’ long-term interests</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 xml:space="preserve">For a detailed description of our executive compensation policies and programs and how they are designed to motivate superior performance, we urge stockholders to read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in this proxy statement beginning on page 13.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also discusses the compensation objectives and principles that underlie the Company’s executive compensation program, the elements of the program and how performance is measured, evaluated and rewarded.</w:t>
      </w:r>
    </w:p>
    <w:p>
      <w:pPr>
        <w:spacing w:after="0" w:line="18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17"/>
          <w:szCs w:val="17"/>
          <w:color w:val="auto"/>
        </w:rPr>
        <w:t>This vote is not intended to address any specific item of compensation, but rather the overall compensation that is paid to our named executive officers resulting from our compensation objectives, policies and practices as described in this proxy statement. Because your vote is advisory, it will not be binding upon the Board of Directors. However, the Board of Directors and the Organization, Compensation and Nominating Committee value the opinions expressed by our stockholders and will review the voting results in connection with their ongoing evaluation of our executive compensation program.</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Recommendation</w:t>
      </w:r>
    </w:p>
    <w:p>
      <w:pPr>
        <w:spacing w:after="0" w:line="220" w:lineRule="exact"/>
        <w:rPr>
          <w:sz w:val="20"/>
          <w:szCs w:val="20"/>
          <w:color w:val="auto"/>
        </w:rPr>
      </w:pPr>
    </w:p>
    <w:p>
      <w:pPr>
        <w:ind w:right="140" w:firstLine="480"/>
        <w:spacing w:after="0" w:line="281" w:lineRule="auto"/>
        <w:rPr>
          <w:sz w:val="20"/>
          <w:szCs w:val="20"/>
          <w:color w:val="auto"/>
        </w:rPr>
      </w:pPr>
      <w:r>
        <w:rPr>
          <w:rFonts w:ascii="Times New Roman" w:cs="Times New Roman" w:eastAsia="Times New Roman" w:hAnsi="Times New Roman"/>
          <w:sz w:val="18"/>
          <w:szCs w:val="18"/>
          <w:color w:val="auto"/>
        </w:rPr>
        <w:t xml:space="preserve">Our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above advisory resolution approving the compensation paid to our named executive officers, as disclosed in this proxy statement, and proxies solicited by the Board of Directors will be so voted unless stockholders specify a different choice.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THE FREQUENCY OF AN ADVISORY VOTE ON EXECUTIVE COMPENSATION (SAY-ON-FREQUENCY)</w:t>
      </w:r>
    </w:p>
    <w:p>
      <w:pPr>
        <w:spacing w:after="0" w:line="224"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at least once every six years we are required to submit for stockholder vote a non-binding resolution to determine whether the advisory stockholder vote on executive compensation described in Proposal 3 above shall occur every one, two, or three years.</w:t>
      </w:r>
    </w:p>
    <w:p>
      <w:pPr>
        <w:spacing w:after="0" w:line="17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After careful consideration, the Board of Directors has determined that holding an annual advisory vote on executive compensation is the most appropriate policy for the Company at this time, and recommends that stockholders vote for future advisory votes on executive compensation to occur every ONE year. The Board of Directors believes an annual advisory vote is appropriate because the Organization, Compensation and Nominating Committee evaluates, adjusts and approves the compensation of our named executive officers on an annual basis. Additionally, an annual advisory vote promotes corporate transparency, and gives stockholders the opportunity to provide frequent direct input on compensation matters.</w:t>
      </w:r>
    </w:p>
    <w:p>
      <w:pPr>
        <w:spacing w:after="0" w:line="186" w:lineRule="exact"/>
        <w:rPr>
          <w:sz w:val="20"/>
          <w:szCs w:val="20"/>
          <w:color w:val="auto"/>
        </w:rPr>
      </w:pPr>
    </w:p>
    <w:p>
      <w:pPr>
        <w:ind w:right="720" w:firstLine="480"/>
        <w:spacing w:after="0" w:line="277" w:lineRule="auto"/>
        <w:rPr>
          <w:sz w:val="20"/>
          <w:szCs w:val="20"/>
          <w:color w:val="auto"/>
        </w:rPr>
      </w:pPr>
      <w:r>
        <w:rPr>
          <w:rFonts w:ascii="Times New Roman" w:cs="Times New Roman" w:eastAsia="Times New Roman" w:hAnsi="Times New Roman"/>
          <w:sz w:val="18"/>
          <w:szCs w:val="18"/>
          <w:color w:val="auto"/>
        </w:rPr>
        <w:t>The proxy card provides stockholders with four choices (every one, two or three years, or abstain). Stockholders are not voting to approve or disapprove the Board’s recommendation.</w:t>
      </w:r>
    </w:p>
    <w:p>
      <w:pPr>
        <w:spacing w:after="0" w:line="163"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The frequency vote is non-binding. Stockholder approval of a one, two, or three-year frequency vote will not require the Company to implement an advisory vote on executive compensation every one, two, or three years. The final decision on the frequency of the advisory vote on executive compensation remains with the Board of Directors.</w:t>
      </w:r>
    </w:p>
    <w:p>
      <w:pPr>
        <w:spacing w:after="0" w:line="176" w:lineRule="exact"/>
        <w:rPr>
          <w:sz w:val="20"/>
          <w:szCs w:val="20"/>
          <w:color w:val="auto"/>
        </w:rPr>
      </w:pPr>
    </w:p>
    <w:p>
      <w:pPr>
        <w:jc w:val="both"/>
        <w:ind w:right="40" w:firstLine="480"/>
        <w:spacing w:after="0" w:line="262" w:lineRule="auto"/>
        <w:rPr>
          <w:sz w:val="20"/>
          <w:szCs w:val="20"/>
          <w:color w:val="auto"/>
        </w:rPr>
      </w:pPr>
      <w:r>
        <w:rPr>
          <w:rFonts w:ascii="Times New Roman" w:cs="Times New Roman" w:eastAsia="Times New Roman" w:hAnsi="Times New Roman"/>
          <w:sz w:val="18"/>
          <w:szCs w:val="18"/>
          <w:color w:val="auto"/>
        </w:rPr>
        <w:t>The Board values the opinions of the Company’s stockholders as expressed through their votes and other communications. Although the resolution is non-binding, the Board and the Organization, Compensation and Nominating Committee will carefully consider the outcome of the frequency vote and other communications from stockholders when making future decisions regarding the frequency of say-on-pay votes.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Recommendation</w:t>
      </w:r>
    </w:p>
    <w:p>
      <w:pPr>
        <w:spacing w:after="0" w:line="224"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8"/>
          <w:szCs w:val="18"/>
          <w:color w:val="auto"/>
        </w:rPr>
        <w:t xml:space="preserve">While you have the opportunity to vote for every one, two or three years, or abstain from voting on the frequency of say-on-pay votes, our Board of Directors recommends that you vote for a frequency of say-on-pay votes of </w:t>
      </w:r>
      <w:r>
        <w:rPr>
          <w:rFonts w:ascii="Times New Roman" w:cs="Times New Roman" w:eastAsia="Times New Roman" w:hAnsi="Times New Roman"/>
          <w:sz w:val="18"/>
          <w:szCs w:val="18"/>
          <w:b w:val="1"/>
          <w:bCs w:val="1"/>
          <w:color w:val="auto"/>
        </w:rPr>
        <w:t>EVERY ONE (1) YEAR.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0" w:name="page31"/>
    <w:bookmarkEnd w:id="30"/>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Inclusion in the Proxy Statement</w:t>
      </w:r>
    </w:p>
    <w:p>
      <w:pPr>
        <w:spacing w:after="0" w:line="224"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Any proposal that a stockholder intends to present for action at the 2026 Annual Meeting of Stockholders (“2026 Annual Meeting”) must be received by the Company not later than October 15, 2025, in order for the proposal to be included in the proxy statement and form of proxy for the 2026 Annual Meeting. Any such proposal must meet the applicable requirements of the Exchange Act and the rules and regulations thereunder. Such proposals should be sent to Jay R. Hervey, Secretary, Bassett Furniture Industries, Incorporated, Post Office Box 626, Bassett, Virginia 24055.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Stockholder Proposals and Nominations</w:t>
      </w:r>
    </w:p>
    <w:p>
      <w:pPr>
        <w:spacing w:after="0" w:line="224"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The Company’s Bylaws prescribe the procedures that a stockholder must follow to nominate directors for election at an annual meeting or to bring other business before an annual meeting (other than matters that have been included in the Company’s proxy statement for such meeting). The Chairman of the meeting may refuse to acknowledge the nomination of any person as a director or any other proposal by a stockholder not made in compliance with these procedures. The following summary of these procedures is qualified by reference to the Company’s Bylaws, a copy of which may be obtained, without charge, upon written request to Jay R. Hervey, Secretary, Bassett Furniture Industries, Incorporated, Post Office Box 626, Bassett, Virginia 24055.</w:t>
      </w:r>
    </w:p>
    <w:p>
      <w:pPr>
        <w:spacing w:after="0" w:line="186"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A stockholder who desires to nominate a director for election at an annual meeting must give timely written notice thereof to the Secretary of the Company by personal delivery or by registered or certified mail, postage prepaid, at the address shown above. To be timely, a stockholder’s notice must be received not later than December 12, 2025, for nominations to be made at the 2026 Annual Meeting. The notice must contain the information specified in the Bylaws regarding the stockholder giving the notice and each person whom the stockholder wishes to nominate for election as a director. The notice must be accompanied by the written consent of each proposed nominee to serve as a director of the Company, if elected.</w:t>
      </w:r>
    </w:p>
    <w:p>
      <w:pPr>
        <w:spacing w:after="0" w:line="186" w:lineRule="exact"/>
        <w:rPr>
          <w:sz w:val="20"/>
          <w:szCs w:val="20"/>
          <w:color w:val="auto"/>
        </w:rPr>
      </w:pPr>
    </w:p>
    <w:p>
      <w:pPr>
        <w:ind w:right="420" w:firstLine="480"/>
        <w:spacing w:after="0" w:line="258" w:lineRule="auto"/>
        <w:rPr>
          <w:sz w:val="20"/>
          <w:szCs w:val="20"/>
          <w:color w:val="auto"/>
        </w:rPr>
      </w:pPr>
      <w:r>
        <w:rPr>
          <w:rFonts w:ascii="Times New Roman" w:cs="Times New Roman" w:eastAsia="Times New Roman" w:hAnsi="Times New Roman"/>
          <w:sz w:val="18"/>
          <w:szCs w:val="18"/>
          <w:color w:val="auto"/>
        </w:rPr>
        <w:t>In order to comply with the SEC’s universal proxy rules, shareholders who intend to solicit proxies in support of director nominees other than the Company’s Board’s nominees must provide notice to the Secretary of the Company that sets forth the information required by Rule 14a-19 under</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Exchange Act no later than 60 calendar days prior to the anniversary of the previous year’s annual meeting. For any such director nominee to be included on our proxy card for next year’s annual meeting, the Corporate Secretary must receive notice under SEC Rule 14a-19 no later than January 11, 2026. Please note that the notice requirement under SEC Rule 14a-19 is in addition to the applicable notice requirements under the advance notice provisions of our Bylaws described above.</w:t>
      </w:r>
    </w:p>
    <w:p>
      <w:pPr>
        <w:spacing w:after="0" w:line="186"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A stockholder who desires to bring any other business before an annual meeting (other than matters that have been included in the Company’s proxy statement for such meeting) must give timely written notice thereof to the Secretary of the Company by personal delivery or by registered or certified mail, postage prepaid, at the address shown above. To be timely, a stockholder’s notice must be received not later than October 3, 2025 for business to be acted upon at the 2026 Annual Meeting. The notice must contain the information specified in the Bylaws regarding the stockholder giving the notice and the business proposed to be brought before the meeting.</w:t>
      </w:r>
    </w:p>
    <w:p>
      <w:pPr>
        <w:spacing w:after="0" w:line="186" w:lineRule="exact"/>
        <w:rPr>
          <w:sz w:val="20"/>
          <w:szCs w:val="20"/>
          <w:color w:val="auto"/>
        </w:rPr>
      </w:pPr>
    </w:p>
    <w:p>
      <w:pPr>
        <w:ind w:right="20" w:firstLine="480"/>
        <w:spacing w:after="0" w:line="262" w:lineRule="auto"/>
        <w:rPr>
          <w:sz w:val="20"/>
          <w:szCs w:val="20"/>
          <w:color w:val="auto"/>
        </w:rPr>
      </w:pPr>
      <w:r>
        <w:rPr>
          <w:rFonts w:ascii="Times New Roman" w:cs="Times New Roman" w:eastAsia="Times New Roman" w:hAnsi="Times New Roman"/>
          <w:sz w:val="18"/>
          <w:szCs w:val="18"/>
          <w:color w:val="auto"/>
        </w:rPr>
        <w:t>With respect to stockholder proposals not included in the Company’s proxy statement for the 2026 Annual Meeting, the persons named in the Board of Directors’ proxy for such meeting will be entitled to exercise the discretionary voting power conferred by such proxy under the circumstances specified in Rule 14a-4(c) under the Exchange Act, including with respect to proposals received by the Company after October 3, 2025.</w:t>
      </w:r>
    </w:p>
    <w:p>
      <w:pPr>
        <w:spacing w:after="0" w:line="172" w:lineRule="exact"/>
        <w:rPr>
          <w:sz w:val="20"/>
          <w:szCs w:val="20"/>
          <w:color w:val="auto"/>
        </w:rPr>
      </w:pPr>
    </w:p>
    <w:p>
      <w:pPr>
        <w:ind w:firstLine="480"/>
        <w:spacing w:after="0" w:line="258" w:lineRule="auto"/>
        <w:rPr>
          <w:sz w:val="20"/>
          <w:szCs w:val="20"/>
          <w:color w:val="auto"/>
        </w:rPr>
      </w:pPr>
      <w:r>
        <w:rPr>
          <w:rFonts w:ascii="Times New Roman" w:cs="Times New Roman" w:eastAsia="Times New Roman" w:hAnsi="Times New Roman"/>
          <w:sz w:val="18"/>
          <w:szCs w:val="18"/>
          <w:b w:val="1"/>
          <w:bCs w:val="1"/>
          <w:color w:val="auto"/>
        </w:rPr>
        <w:t>COPIES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FORM 10-K FOR THE FISCAL YEAR ENDED NOVEMBER 30, 2024, AS FILED WITH THE SECURITIES AND EXCHANGE COMMISSION, CAN BE OBTAINED WITHOUT CHARGE UPON WRITTEN REQUEST TO JAY R. HERVEY, SECRETARY, BASSETT FURNITURE INDUSTRIES, INCORPORATED, POST OFFICE BOX 626, BASSETT, VIRGINIA 24055.</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529590</wp:posOffset>
            </wp:positionV>
            <wp:extent cx="7196455" cy="9963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9963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963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9963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9319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2"/>
    </w:lvl>
    <w:lvl w:ilvl="1">
      <w:lvlJc w:val="left"/>
      <w:lvlText w:val="%2."/>
      <w:numFmt w:val="lowerRoman"/>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2025-02-14T07:49:22Z</dcterms:created>
  <dcterms:modified xsi:type="dcterms:W3CDTF">2025-02-14T07:49:22Z</dcterms:modified>
</cp:coreProperties>
</file>