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36" w:lineRule="exact"/>
        <w:rPr>
          <w:sz w:val="24"/>
          <w:szCs w:val="24"/>
          <w:color w:val="auto"/>
        </w:rPr>
      </w:pPr>
    </w:p>
    <w:p>
      <w:pPr>
        <w:ind w:left="3920" w:right="1800" w:hanging="3912"/>
        <w:spacing w:after="0" w:line="503" w:lineRule="auto"/>
        <w:tabs>
          <w:tab w:leader="none" w:pos="66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November 25, 2023</w:t>
      </w: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4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For the transition period from______to______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000-00209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BASSETT FURNITURE INDUSTRIES, INCORPORATED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7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2720" w:type="dxa"/>
            <w:vAlign w:val="bottom"/>
          </w:tcPr>
          <w:p>
            <w:pPr>
              <w:spacing w:after="0"/>
              <w:rPr>
                <w:sz w:val="19"/>
                <w:szCs w:val="19"/>
                <w:color w:val="auto"/>
              </w:rPr>
            </w:pPr>
          </w:p>
        </w:tc>
        <w:tc>
          <w:tcPr>
            <w:tcW w:w="3800" w:type="dxa"/>
            <w:vAlign w:val="bottom"/>
            <w:gridSpan w:val="3"/>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54-0135270</w:t>
            </w:r>
          </w:p>
        </w:tc>
      </w:tr>
      <w:tr>
        <w:trPr>
          <w:trHeight w:val="216"/>
        </w:trPr>
        <w:tc>
          <w:tcPr>
            <w:tcW w:w="47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gridSpan w:val="2"/>
          </w:tcPr>
          <w:p>
            <w:pPr>
              <w:jc w:val="center"/>
              <w:ind w:right="19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2"/>
          </w:tcPr>
          <w:p>
            <w:pPr>
              <w:jc w:val="center"/>
              <w:ind w:right="1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7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7"/>
              </w:rPr>
              <w:t>3525 FAIRYSTONE PARK HIGHWAY</w:t>
            </w:r>
          </w:p>
        </w:tc>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0"/>
        </w:trPr>
        <w:tc>
          <w:tcPr>
            <w:tcW w:w="472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BASSETT, Virginia</w:t>
            </w:r>
          </w:p>
        </w:tc>
        <w:tc>
          <w:tcPr>
            <w:tcW w:w="27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24055</w:t>
            </w:r>
          </w:p>
        </w:tc>
        <w:tc>
          <w:tcPr>
            <w:tcW w:w="2560" w:type="dxa"/>
            <w:vAlign w:val="bottom"/>
          </w:tcPr>
          <w:p>
            <w:pPr>
              <w:spacing w:after="0"/>
              <w:rPr>
                <w:sz w:val="19"/>
                <w:szCs w:val="19"/>
                <w:color w:val="auto"/>
              </w:rPr>
            </w:pPr>
          </w:p>
        </w:tc>
      </w:tr>
      <w:tr>
        <w:trPr>
          <w:trHeight w:val="234"/>
        </w:trPr>
        <w:tc>
          <w:tcPr>
            <w:tcW w:w="472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2"/>
          </w:tcPr>
          <w:p>
            <w:pPr>
              <w:jc w:val="center"/>
              <w:ind w:right="1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32"/>
        </w:trPr>
        <w:tc>
          <w:tcPr>
            <w:tcW w:w="8680" w:type="dxa"/>
            <w:vAlign w:val="bottom"/>
            <w:gridSpan w:val="6"/>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 276/629-6000</w:t>
            </w:r>
          </w:p>
        </w:tc>
        <w:tc>
          <w:tcPr>
            <w:tcW w:w="2560" w:type="dxa"/>
            <w:vAlign w:val="bottom"/>
          </w:tcPr>
          <w:p>
            <w:pPr>
              <w:spacing w:after="0"/>
              <w:rPr>
                <w:sz w:val="24"/>
                <w:szCs w:val="24"/>
                <w:color w:val="auto"/>
              </w:rPr>
            </w:pPr>
          </w:p>
        </w:tc>
      </w:tr>
      <w:tr>
        <w:trPr>
          <w:trHeight w:val="432"/>
        </w:trPr>
        <w:tc>
          <w:tcPr>
            <w:tcW w:w="8680" w:type="dxa"/>
            <w:vAlign w:val="bottom"/>
            <w:gridSpan w:val="6"/>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560" w:type="dxa"/>
            <w:vAlign w:val="bottom"/>
          </w:tcPr>
          <w:p>
            <w:pPr>
              <w:spacing w:after="0"/>
              <w:rPr>
                <w:sz w:val="24"/>
                <w:szCs w:val="24"/>
                <w:color w:val="auto"/>
              </w:rPr>
            </w:pPr>
          </w:p>
        </w:tc>
      </w:tr>
      <w:tr>
        <w:trPr>
          <w:trHeight w:val="432"/>
        </w:trPr>
        <w:tc>
          <w:tcPr>
            <w:tcW w:w="472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200" w:type="dxa"/>
            <w:vAlign w:val="bottom"/>
          </w:tcPr>
          <w:p>
            <w:pPr>
              <w:spacing w:after="0"/>
              <w:rPr>
                <w:sz w:val="24"/>
                <w:szCs w:val="24"/>
                <w:color w:val="auto"/>
              </w:rPr>
            </w:pPr>
          </w:p>
        </w:tc>
        <w:tc>
          <w:tcPr>
            <w:tcW w:w="3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($5.00 par value)</w:t>
            </w:r>
          </w:p>
        </w:tc>
        <w:tc>
          <w:tcPr>
            <w:tcW w:w="2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720" w:type="dxa"/>
            <w:vAlign w:val="bottom"/>
            <w:tcBorders>
              <w:top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BSET</w:t>
            </w:r>
          </w:p>
        </w:tc>
        <w:tc>
          <w:tcPr>
            <w:tcW w:w="2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560" w:type="dxa"/>
            <w:vAlign w:val="bottom"/>
            <w:tcBorders>
              <w:top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410"/>
        </w:trPr>
        <w:tc>
          <w:tcPr>
            <w:tcW w:w="7440" w:type="dxa"/>
            <w:vAlign w:val="bottom"/>
            <w:gridSpan w:val="4"/>
          </w:tcPr>
          <w:p>
            <w:pPr>
              <w:ind w:left="26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None</w:t>
            </w:r>
          </w:p>
        </w:tc>
        <w:tc>
          <w:tcPr>
            <w:tcW w:w="2560" w:type="dxa"/>
            <w:vAlign w:val="bottom"/>
          </w:tcPr>
          <w:p>
            <w:pPr>
              <w:spacing w:after="0"/>
              <w:rPr>
                <w:sz w:val="24"/>
                <w:szCs w:val="24"/>
                <w:color w:val="auto"/>
              </w:rPr>
            </w:pPr>
          </w:p>
        </w:tc>
      </w:tr>
      <w:tr>
        <w:trPr>
          <w:trHeight w:val="460"/>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25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r>
        <w:trPr>
          <w:trHeight w:val="432"/>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256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at least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4"/>
          <w:szCs w:val="24"/>
          <w:color w:val="auto"/>
        </w:rPr>
      </w:pPr>
    </w:p>
    <w:p>
      <w:pPr>
        <w:ind w:right="3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4"/>
          <w:szCs w:val="24"/>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460" w:type="dxa"/>
        <w:tblCellMar>
          <w:top w:w="0" w:type="dxa"/>
          <w:left w:w="0" w:type="dxa"/>
          <w:bottom w:w="0" w:type="dxa"/>
          <w:right w:w="0" w:type="dxa"/>
        </w:tblCellMar>
      </w:tblPr>
      <w:tr>
        <w:trPr>
          <w:trHeight w:val="30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34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2" w:lineRule="exact"/>
        <w:rPr>
          <w:sz w:val="24"/>
          <w:szCs w:val="24"/>
          <w:color w:val="auto"/>
        </w:rPr>
      </w:pPr>
    </w:p>
    <w:p>
      <w:pPr>
        <w:spacing w:after="0" w:line="207" w:lineRule="exact"/>
        <w:tabs>
          <w:tab w:leader="none" w:pos="10260" w:val="left"/>
        </w:tabs>
        <w:rPr>
          <w:sz w:val="20"/>
          <w:szCs w:val="20"/>
          <w:color w:val="auto"/>
        </w:rPr>
      </w:pPr>
      <w:r>
        <w:rPr>
          <w:rFonts w:ascii="Times New Roman" w:cs="Times New Roman" w:eastAsia="Times New Roman" w:hAnsi="Times New Roman"/>
          <w:sz w:val="18"/>
          <w:szCs w:val="18"/>
          <w:color w:val="auto"/>
        </w:rPr>
        <w:t>its audit report.</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ectPr>
          <w:pgSz w:w="11900" w:h="16954" w:orient="portrait"/>
          <w:cols w:equalWidth="0" w:num="1">
            <w:col w:w="11240"/>
          </w:cols>
          <w:pgMar w:left="320" w:top="790" w:right="339" w:bottom="0" w:gutter="0" w:footer="0" w:header="0"/>
        </w:sectPr>
      </w:pPr>
    </w:p>
    <w:bookmarkStart w:id="1" w:name="page2"/>
    <w:bookmarkEnd w:id="1"/>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432435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19"/>
          </w:cols>
          <w:pgMar w:left="740" w:top="81" w:right="1440"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98" w:lineRule="exact"/>
        <w:rPr>
          <w:sz w:val="20"/>
          <w:szCs w:val="20"/>
          <w:color w:val="auto"/>
        </w:r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May 27, 2023 was $111,906,463.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on January 19, 2024 was 8,811,226.</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Portions of the Bassett Furniture Industries, Incorporated definitive Proxy Statement for its 2023 Annual Meeting of Stockholders to be held March 6, 2024, to be filed with the Securities and Exchange Commission pursuant to Regulation 14A under the Securities Exchange Act of 1934 (the “Proxy Statement”)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92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FORWARD-LOOKING STATEMENTs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2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1B.</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Cybersecurity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about our Executive Officers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2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8.</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9A.</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9C.</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2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11.</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Compensation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13.</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9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10-K Summary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92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7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4" w:name="page5"/>
    <w:bookmarkEnd w:id="4"/>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herein, unless the context otherwise requires,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Bassett Furniture Industries, Incorporated and its subsidiaries. References to 2023, 2022 and 2021 mean the fiscal years ended November 25,2023, November 26, 2022 and November 27, 2021. All three years contained 52 weeks.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SAFE-HARBOR,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“anticipates”, “believes”, “plans”, “estimates”, “expects”, “aimed” and “intends” or words or phrases of similar expression. These forward-looking statements involve certain risks and uncertainties. No assurance can be given that any such matters will be realized. Important factors, which should be read in conjunction with Item 1A “Risk Factors”, that could cause actual results to differ materially from those contemplated by such forward-looking statements include:</w:t>
      </w:r>
    </w:p>
    <w:p>
      <w:pPr>
        <w:spacing w:after="0" w:line="187" w:lineRule="exact"/>
        <w:rPr>
          <w:sz w:val="20"/>
          <w:szCs w:val="20"/>
          <w:color w:val="auto"/>
        </w:rPr>
      </w:pPr>
    </w:p>
    <w:p>
      <w:pPr>
        <w:jc w:val="both"/>
        <w:ind w:left="980" w:right="2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in the home furnishings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retail traffic levels in stores and on the web and consumer demand for home furnishings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customers and consumers to obtain affordable credit due to increased interest rates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profitability of the stores (independent licensees and Company-owned retail stores) which may result in future store closings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our Company-owned retail strategies and realize the benefits from such strategies, including our initiatives to expand and improve our digital marketing and advertising capabilities, as they are implemented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achieve the strategic benefits of our acquisition of Noa Home Inc. (“Noa Home”)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 legislation, or regulatory or judicial positions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efficiently manage the import supply chain to minimize business interruption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domestic manufacturing, particularly of upholstery products, and the resulting exposure to business interruption from accidents, weather and other events and circumstances beyond our control</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You should keep in mind that any forward-looking statement made by us in this report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report after the date hereof, except as may be required by law. In light of these risks and uncertainties, you should keep in mind that the events described in any forward-looking statement made in this report, might not occur.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00" w:lineRule="exact"/>
        <w:rPr>
          <w:sz w:val="20"/>
          <w:szCs w:val="20"/>
          <w:color w:val="auto"/>
        </w:rPr>
      </w:pPr>
    </w:p>
    <w:p>
      <w:pPr>
        <w:spacing w:after="0" w:line="24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color w:val="auto"/>
        </w:rPr>
        <w:t>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amounts in thousands except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newly redesigned website at </w:t>
      </w:r>
      <w:r>
        <w:rPr>
          <w:rFonts w:ascii="Times New Roman" w:cs="Times New Roman" w:eastAsia="Times New Roman" w:hAnsi="Times New Roman"/>
          <w:sz w:val="18"/>
          <w:szCs w:val="18"/>
          <w:u w:val="single" w:color="auto"/>
          <w:color w:val="auto"/>
        </w:rPr>
        <w:t>www.bassettfurniture.com</w:t>
      </w:r>
      <w:r>
        <w:rPr>
          <w:rFonts w:ascii="Times New Roman" w:cs="Times New Roman" w:eastAsia="Times New Roman" w:hAnsi="Times New Roman"/>
          <w:sz w:val="18"/>
          <w:szCs w:val="18"/>
          <w:color w:val="auto"/>
        </w:rPr>
        <w:t>. We were founded in 1902 and incorporated under the laws of Virginia in 1930. Our rich 121-year history has instilled the principles of quality, value, and integrity in everything we do, while simultaneously providing us with the expertise to respond to ever-changing consumer tastes and meet the demands of a global economy.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87 BHF stores at November 25, 2023,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BHF stores feature custom order furniture,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Digital outreach strategies have become the primary vehicle for brand advertising and customer acquisition. As a result, we have been engaged in a multi-year cross-functional digital transformation initiative with the first phase consisting of the examination and improvement of our underlying data management processes. During fiscal 2022, we implemented a comprehensive Product Information Management system which allows us to enhance and standardize our product development and data management and governance processes. This results in more consistent data that our merchandizing and sales teams can use in analyzing various product and sales trends in order to make better informed decisions. We also introduced a new web platform in August of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We plan to implement several enhancements to the site in 2024 that will improve the overall customer experience and brand presentation. While we have made it easier to purchase on-line, we will not compromise our in-store experience or the quality of our in-home makeover capabilities. We spent over $4 million on developing and implementing the new website in 2023.</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(see Note 3 to the Consolidated Financial Statements for additional information regarding the acquisition). A mid-priced e-commerce furniture retailer headquartered in Montreal, Canada, Noa Home has operations in Canada, Australia, Singapore and the United Kingdom. With a lean staffing model, the Noa Home team has built an operational blueprint that has the potential for significant growth. We believe the acquisition will provide Bassett with a greater online presence and will allow us to attract more digitally native consumers. We are currently in the process of expanding Noa Home’s product assortment and categories offered on the Canadian website. In August of 2023, we introduced the Noa Home brand in the United States.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we added outdoor furniture to our offerings with the acquisition of the Lane Venture brand. Our strategy is to distribute these products outside of our BHF store network through independent sales representatives each of which have a stated geographic territory. Using Lane Venture as a platform, we developed the Bassett Outdoor brand that is only marketed through the BHF store network. This allows Bassett branded products to move from inside the home to outside the home to capitalize on the growing trend of outdoor living. In the second quarter of 2023, we debuted the Bassett Outdoor contract line at the HD Expo Show in Las Vegas targeting the hospitality segment.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also have factories in Martinsville and Bassett, Virginia that assemble and finish our custom bedroom and dining offerings. In 2022, we purchased a facility which we had formerly leased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and China. Over 75% of our wholesale revenues are derived from products that are manufactured in the United States using a mix of domestic and globally sourced components and raw materials.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2022, we entered into a definitive agreement to sell substantially all of the assets of our wholly-owned subsidiary, Zenith Freight Lines, LLC (“Zenith”) to J.B. Hunt Transport Services, Inc. (“J.B. Hunt”), and the transaction was completed on February 28, 2022. As a result of the sale, the operations of our former logistical services segment, which consisted entirely of the operations of Zenith, are presented in this Annual Report on Form 10-K as discontinued operations.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strategically aligned our business into three reportable segments:</w:t>
      </w:r>
    </w:p>
    <w:p>
      <w:pPr>
        <w:spacing w:after="0" w:line="2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Retail—Company-owned stores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Wholesale Segment Overview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wholesale segment is involved principally in the design, manufacturing and sourcing of furniture products that are distributed through our BHF store network (both Company-owned and licensee-owned stores) and various independent retailers. The wholesale furniture industry is very competitive and there are a large number of manufacturers both within and outside the United States who compete in the market on the basis of product quality, price, style, delivery and service. Additionally, many retailers source imported product directly, thus bypassing domestic furniture manufacturers and wholesale importers. We believe that we can be successful in the current competitive environment because our products represent excellent value combining attractive prices, quality and styling, prompt delivery, and superior service.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shipments by category for the last three fiscal years, excluding intercompany sales to our retail segment,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72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External</w:t>
            </w: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Intercompany</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External</w:t>
            </w: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Intercompany</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External</w:t>
            </w: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Intercompany</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5"/>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89,005</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66,363</w:t>
            </w:r>
          </w:p>
        </w:tc>
        <w:tc>
          <w:tcPr>
            <w:tcW w:w="9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$ 155,368</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$ 124,565</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82,437</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$ 207,002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$ 105,445</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69,533</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$ 174,978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03"/>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27,872</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35,953</w:t>
            </w: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36,029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36,157</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36,218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189"/>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Wood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17,357</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20,070</w:t>
            </w:r>
          </w:p>
        </w:tc>
        <w:tc>
          <w:tcPr>
            <w:tcW w:w="9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37,427</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24,764</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47,298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24,066</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48,145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12,329</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15,915</w:t>
            </w: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28,244</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18,612</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34,240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17,378</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18,610</w:t>
            </w:r>
          </w:p>
        </w:tc>
        <w:tc>
          <w:tcPr>
            <w:tcW w:w="9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35,988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
        </w:trPr>
        <w:tc>
          <w:tcPr>
            <w:tcW w:w="1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7"/>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145,392</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103,519</w:t>
            </w:r>
          </w:p>
        </w:tc>
        <w:tc>
          <w:tcPr>
            <w:tcW w:w="9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$ 248,911</w:t>
            </w:r>
          </w:p>
        </w:tc>
        <w:tc>
          <w:tcPr>
            <w:tcW w:w="680" w:type="dxa"/>
            <w:vAlign w:val="bottom"/>
            <w:gridSpan w:val="3"/>
            <w:shd w:val="clear" w:color="auto" w:fill="CCEEFF"/>
          </w:tcPr>
          <w:p>
            <w:pPr>
              <w:jc w:val="right"/>
              <w:ind w:right="100"/>
              <w:spacing w:after="0" w:line="236" w:lineRule="exact"/>
              <w:rPr>
                <w:sz w:val="20"/>
                <w:szCs w:val="20"/>
                <w:color w:val="auto"/>
              </w:rPr>
            </w:pPr>
            <w:r>
              <w:rPr>
                <w:rFonts w:ascii="Times New Roman" w:cs="Times New Roman" w:eastAsia="Times New Roman" w:hAnsi="Times New Roman"/>
                <w:sz w:val="14"/>
                <w:szCs w:val="14"/>
                <w:color w:val="auto"/>
              </w:rPr>
              <w:t>100.</w:t>
            </w:r>
            <w:r>
              <w:rPr>
                <w:rFonts w:ascii="Times New Roman" w:cs="Times New Roman" w:eastAsia="Times New Roman" w:hAnsi="Times New Roman"/>
                <w:sz w:val="14"/>
                <w:szCs w:val="14"/>
                <w:u w:val="single" w:color="auto"/>
                <w:color w:val="auto"/>
              </w:rPr>
              <w:t>0</w:t>
            </w:r>
            <w:r>
              <w:rPr>
                <w:rFonts w:ascii="Times New Roman" w:cs="Times New Roman" w:eastAsia="Times New Roman" w:hAnsi="Times New Roman"/>
                <w:sz w:val="27"/>
                <w:szCs w:val="27"/>
                <w:color w:val="auto"/>
                <w:vertAlign w:val="subscript"/>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$ 198,680</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125,889</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$ 324,569</w:t>
            </w:r>
          </w:p>
        </w:tc>
        <w:tc>
          <w:tcPr>
            <w:tcW w:w="560" w:type="dxa"/>
            <w:vAlign w:val="bottom"/>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7"/>
                <w:szCs w:val="27"/>
                <w:color w:val="auto"/>
                <w:vertAlign w:val="subscript"/>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$ 183,059</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112,270</w:t>
            </w:r>
          </w:p>
        </w:tc>
        <w:tc>
          <w:tcPr>
            <w:tcW w:w="9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$ 295,329</w:t>
            </w:r>
          </w:p>
        </w:tc>
        <w:tc>
          <w:tcPr>
            <w:tcW w:w="560" w:type="dxa"/>
            <w:vAlign w:val="bottom"/>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7"/>
                <w:szCs w:val="27"/>
                <w:color w:val="auto"/>
                <w:vertAlign w:val="subscript"/>
              </w:rPr>
              <w:t>%</w:t>
            </w: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22% of our 2023 and 2022 wholesale sales were of imported product compared to 24% in 2020. We define imported product as fully finished product that is sourced. Our domestic product includes certain products that contain components which were also sourced. We continue to believe that a blended strategy including domestically produced products primarily of a custom-order nature combined with sourcing of major collections provides the best value and quality of products to our customers.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dollar value of our wholesale backlog, representing orders received but not yet shipped to the BHF store network or independent dealers, was $18,478 at November 25, 2023 and $35,336 at November 26,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We use lumber, fabric, leather, foam and other materials in the production of wood and upholstered furniture. These components are purchased from a variety of domestic and international suppliers and are widely available. The price and availability of foam, which is highly dependent on the cost of oil and available capacity of oil refineries, can be subject to significant volatility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Retail Segment Overview – Company-Owned Retail Stores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retail—Company-owned stores segment consists of 56 BHF stores that provide consumers with a friendly and casual environment for buying furniture and accessories. The retail furniture industry remains very competitive and includes local furniture stores, regional furniture retailers, national department and chain stores, single-vendor branded retailers and on-line retailers. As a whole, our store network which includes 31 licensee-owned stores, ranks in the top 30 in retail furniture sales in the United States. The following table shows the number of Company-owned stores by state at November 25, 2023:</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38"/>
        </w:trPr>
        <w:tc>
          <w:tcPr>
            <w:tcW w:w="28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Stores</w:t>
            </w:r>
          </w:p>
        </w:tc>
        <w:tc>
          <w:tcPr>
            <w:tcW w:w="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Stores</w:t>
            </w:r>
          </w:p>
        </w:tc>
        <w:tc>
          <w:tcPr>
            <w:tcW w:w="80" w:type="dxa"/>
            <w:vAlign w:val="bottom"/>
          </w:tcPr>
          <w:p>
            <w:pPr>
              <w:spacing w:after="0"/>
              <w:rPr>
                <w:sz w:val="20"/>
                <w:szCs w:val="20"/>
                <w:color w:val="auto"/>
              </w:rPr>
            </w:pPr>
          </w:p>
        </w:tc>
      </w:tr>
      <w:tr>
        <w:trPr>
          <w:trHeight w:val="20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16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6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Arkansas</w:t>
            </w:r>
          </w:p>
        </w:tc>
        <w:tc>
          <w:tcPr>
            <w:tcW w:w="16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c>
          <w:tcPr>
            <w:tcW w:w="1640" w:type="dxa"/>
            <w:vAlign w:val="bottom"/>
          </w:tcPr>
          <w:p>
            <w:pPr>
              <w:spacing w:after="0"/>
              <w:rPr>
                <w:sz w:val="18"/>
                <w:szCs w:val="18"/>
                <w:color w:val="auto"/>
              </w:rPr>
            </w:pP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16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16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640" w:type="dxa"/>
            <w:vAlign w:val="bottom"/>
          </w:tcPr>
          <w:p>
            <w:pPr>
              <w:spacing w:after="0"/>
              <w:rPr>
                <w:sz w:val="18"/>
                <w:szCs w:val="18"/>
                <w:color w:val="auto"/>
              </w:rPr>
            </w:pP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6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16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Oklahoma</w:t>
            </w:r>
          </w:p>
        </w:tc>
        <w:tc>
          <w:tcPr>
            <w:tcW w:w="1640" w:type="dxa"/>
            <w:vAlign w:val="bottom"/>
          </w:tcPr>
          <w:p>
            <w:pPr>
              <w:spacing w:after="0"/>
              <w:rPr>
                <w:sz w:val="18"/>
                <w:szCs w:val="18"/>
                <w:color w:val="auto"/>
              </w:rPr>
            </w:pP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16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6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Kentucky</w:t>
            </w:r>
          </w:p>
        </w:tc>
        <w:tc>
          <w:tcPr>
            <w:tcW w:w="16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640" w:type="dxa"/>
            <w:vAlign w:val="bottom"/>
          </w:tcPr>
          <w:p>
            <w:pPr>
              <w:spacing w:after="0"/>
              <w:rPr>
                <w:sz w:val="18"/>
                <w:szCs w:val="18"/>
                <w:color w:val="auto"/>
              </w:rPr>
            </w:pP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164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Tennessee</w:t>
            </w:r>
          </w:p>
        </w:tc>
        <w:tc>
          <w:tcPr>
            <w:tcW w:w="16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16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c>
          <w:tcPr>
            <w:tcW w:w="1640" w:type="dxa"/>
            <w:vAlign w:val="bottom"/>
          </w:tcPr>
          <w:p>
            <w:pPr>
              <w:spacing w:after="0"/>
              <w:rPr>
                <w:sz w:val="18"/>
                <w:szCs w:val="18"/>
                <w:color w:val="auto"/>
              </w:rPr>
            </w:pP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18"/>
                <w:szCs w:val="18"/>
                <w:color w:val="auto"/>
              </w:rPr>
            </w:pPr>
          </w:p>
        </w:tc>
      </w:tr>
      <w:tr>
        <w:trPr>
          <w:trHeight w:val="216"/>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164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1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8"/>
                <w:szCs w:val="18"/>
                <w:color w:val="auto"/>
              </w:rPr>
            </w:pP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our Company-owned retail stores by major product category for the last three fiscal years are summarized below:</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134,000</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163,755</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139,527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8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1,951</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1,707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226</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36,732</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43,208</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30,931</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8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32,252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40,146</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spacing w:after="0"/>
              <w:rPr>
                <w:sz w:val="18"/>
                <w:szCs w:val="18"/>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42,658</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&amp; other (1)</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31,005</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36,303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34,485</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3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235,940</w:t>
            </w:r>
          </w:p>
        </w:tc>
        <w:tc>
          <w:tcPr>
            <w:tcW w:w="960" w:type="dxa"/>
            <w:vAlign w:val="bottom"/>
            <w:tcBorders>
              <w:right w:val="single" w:sz="8" w:color="CCEEFF"/>
            </w:tcBorders>
            <w:gridSpan w:val="2"/>
            <w:shd w:val="clear" w:color="auto" w:fill="CCEEFF"/>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285,119</w:t>
            </w:r>
          </w:p>
        </w:tc>
        <w:tc>
          <w:tcPr>
            <w:tcW w:w="940" w:type="dxa"/>
            <w:vAlign w:val="bottom"/>
            <w:gridSpan w:val="2"/>
            <w:shd w:val="clear" w:color="auto" w:fill="CCEEFF"/>
          </w:tcPr>
          <w:p>
            <w:pPr>
              <w:jc w:val="right"/>
              <w:ind w:right="10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247,827</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right="3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of goods other than Bassett-branded products, such as accessories and bedding, and also includes the sale of furniture protection plans.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Customer acquisition resulting from our digital outreach strategies has increased our traffic to the website and our online orders. Digital advertising continued to dominate our marketing expenditures in 2023 as compared to traditional television and direct mail advertising. We plan to continue with increased levels of spending on digital advertising and outreach during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continue to re-examine the performance of every one of our stores. Store traffic has been declining and the effect on our retail model has become increasingly challenging. We believe that on a market-by-market basis, there will be fewer stores in the future. We will continue to evaluate store-by-store performance as we seek the optimal store count in the markets in which we compete at retail.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Corporate and Other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Corporate and other includes the shared costs of corporate functions such as treasury and finance, information technology, accounting, human resources, legal and others, including certain product development and marketing functions benefitting both wholesale and retail operations. We consider our corporate functions to be other business activities and have aggregated them with our other insignificant operating segment, Noa Home, acquired in late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trademarks, including “Bassett” and the names of some of our marketing divisions, products and collections, are significant to the conduct of our business. This is important due to consumer recognition of the names and identification with our broad range of products. Certain of our trademarks are licensed to independent retailers for use in full store and store gallery presentations of our products. We also own copyrights that are important in the conduct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have materially complied with all federal, state and local standards regarding safety, health and pollution and environmental controls.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be affected by laws and regulations of countries from which we source goods. Labor, environmental and other laws and regulations change over time, especially in the developing countries from which we source. Changes in these areas of regulation could negatively impact the cost and availability of sourced goods. The timing and extent to which these regulations could have an adverse effect on our financial position or results of operations is difficult to predict. In addition, the imposition of new or increased duties, tariffs, retaliatory tariffs and trade limitations with respect to foreign-sourced products could negatively impact the cost of such goods. Based on the present facts, we do not believe that they will have a material adverse effect on our financial position or future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employed 1,389 people as of November 25, 2023. Our associate count represents a decrease of 172 from a year ago, 135 due to headcount reductions in our manufacturing facilities in response to business conditions, 22 primarily attributable to the reduction in the number of Company-owned retail stores and 15 related to the corporate overhead function. Headcount by segment is as follows:</w:t>
      </w:r>
    </w:p>
    <w:p>
      <w:pPr>
        <w:spacing w:after="0" w:line="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705 in the wholesale segment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496 in the retail segment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in the corporate and other segment</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We approach our workplace culture by being </w:t>
      </w:r>
      <w:r>
        <w:rPr>
          <w:rFonts w:ascii="Times New Roman" w:cs="Times New Roman" w:eastAsia="Times New Roman" w:hAnsi="Times New Roman"/>
          <w:sz w:val="18"/>
          <w:szCs w:val="18"/>
          <w:b w:val="1"/>
          <w:bCs w:val="1"/>
          <w:i w:val="1"/>
          <w:iCs w:val="1"/>
          <w:color w:val="auto"/>
        </w:rPr>
        <w:t>Invested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 Each Other</w:t>
      </w:r>
      <w:r>
        <w:rPr>
          <w:rFonts w:ascii="Times New Roman" w:cs="Times New Roman" w:eastAsia="Times New Roman" w:hAnsi="Times New Roman"/>
          <w:sz w:val="18"/>
          <w:szCs w:val="18"/>
          <w:color w:val="auto"/>
        </w:rPr>
        <w:t>, the tenets of which include fostering a workplace that promotes respect for each other, investing in our associates’ well-being, providing safe and comfortable work environments, offering opportunities to develop personally and professionally, being good stewards of the environment, and giving back to the communities in which we work and live. We believe that these investments are crucial to the success of our associates and our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Workplace Respect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value the diversity of our associates as an essential component in the way we do business. It continues to be Bassett’s policy to be equitable and impartial in our relations with our associates and to base all employment-related decisions upon valid, job-related factors, without regard to race, color, religion, national origin, age, sex, physical or mental disability, genetic information, veteran or other protected status. “Sex” includes gender identity and gender expression, transgender status, and pregnancy.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maintain and enforce our policy prohibiting discrimination and harassment in our workplace. Our managers are trained in how to prevent, recognize and respond to possible inappropriate behavior. Associates have several available avenues for reporting concerns, including a confidential hotline. We promptly and carefully investigate each complaint of harassment or discrimination. More details about our commitment to preventing discrimination and harassment in our workplaces are available on our website.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Quality of Life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invest in the physical and mental well-being of our associates, their spouses and their children.</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several free online mental and behavioral health resources, with unlimited access to board-certified psychiatrists and licensed therapists.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wellness programs, including onsite health clinics, personalized health coaching, mental health counseling, and incentivized healthy lifestyle choices, are designed to improve associate health and reduce healthcare costs for both the associate and the Company.</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opportunities for our associates to meet with a certified financial planner for personalized retirement planning and budget counseling.</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comprehensive benefit plans including Company subsidized health insurance, 401(k) Plan with Company matching contributions, and paid time off. We believe our benefit plans are competitive and meet the needs of most of our associates.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investments in our facilities continue, which improve our associates’ safety and comfort, and increase efficiency. These include:</w:t>
      </w:r>
    </w:p>
    <w:p>
      <w:pPr>
        <w:spacing w:after="0" w:line="2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renovations to the break area and restrooms at our Haleyville, Alabama manufacturing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air-handling systems at our Newton, North Carolina upholstery facilities, which improved air circulation and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Renovated the break area at our Martinsville, Virginia plant.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with lighting improvements at our Bassett, Virginia facility.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completed associate focus group meetings at our manufacturing locations, which solicited input for improving our facilities and work-life balance.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Professional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opportunities to our associates for educational and skill development, including:</w:t>
      </w:r>
    </w:p>
    <w:p>
      <w:pPr>
        <w:spacing w:after="0" w:line="2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for associates who desire to further their education.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training for managers, with classes completed monthly.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for customer-facing associates designed to enhance the in-store and follow up experiences for our customers.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and Civic Responsibility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Representing our commitment to sustainably sourced hardwoods, each Arbor Day since 2021, over 30 of our associates travel to central Ohio to take part in the planting of Appalachian hardwood seedlings. This event is hosted by our BenchMade supply partners, and over 170,000 trees have been planted to date – and counting. Additionally, we remain committed to our recycling efforts. Materials recycled in 2023 include:</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Tons</w:t>
            </w:r>
          </w:p>
        </w:tc>
        <w:tc>
          <w:tcPr>
            <w:tcW w:w="5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Tons</w:t>
            </w:r>
          </w:p>
        </w:tc>
        <w:tc>
          <w:tcPr>
            <w:tcW w:w="80" w:type="dxa"/>
            <w:vAlign w:val="bottom"/>
          </w:tcPr>
          <w:p>
            <w:pPr>
              <w:spacing w:after="0"/>
              <w:rPr>
                <w:sz w:val="20"/>
                <w:szCs w:val="20"/>
                <w:color w:val="auto"/>
              </w:rPr>
            </w:pPr>
          </w:p>
        </w:tc>
      </w:tr>
      <w:tr>
        <w:trPr>
          <w:trHeight w:val="210"/>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Wood dust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1,770</w:t>
            </w:r>
          </w:p>
        </w:tc>
        <w:tc>
          <w:tcPr>
            <w:tcW w:w="2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Fabric scraps</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Paper/cardboard</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Metal/electronics</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Wood pallets</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2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Finishing materials</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partnership with the Stephen Siller Tunnels2Towers Foundation, which began in 2019, continued last year as we furnished five smart homes built for wounded veterans and first responders. Additionally, our associates and Bassett have a long history of supporting the United Way both financially and by volunteering with United Way supported agencies.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risk exposure related to our customers, consisting primarily of trade accounts receivable along with certain guarantees, net of recognized reserves, totaled approximately $15,636 and $19,709 at November 25, 2023 and November 22, 2022, respectively. At November 25, 2023 and November 26, 2022, approximately 35% and 31%, respectively, of the aggregate risk exposure, net of reserves, was attributable to five customers. In fiscal 2023, 2022 and 2021, no customer accounted for more than 10% of total consolidated net sales.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our annual, quarterly and current reports, proxy statements and other information with the SEC. Our SEC filings are available to the public at the SEC’s website at www.sec.gov.</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our website, www.bassettfurniture.com, we make available free of charge as soon as reasonably practicable after electronically filing or furnishing with the SEC, our annual report on Form 10-K, quarterly reports on Form 10-Q, current reports on Form 8-K and any amendments thereto.</w:t>
      </w:r>
    </w:p>
    <w:p>
      <w:pPr>
        <w:spacing w:after="0" w:line="1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risk factors should be read carefully in connection with evaluating our business and the forward-looking information contained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The risk factors below represent what we believe are the known material risk factors with respect to us and our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following risks could materially adversely affect our business, operations, industry, financial position or future financial results.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Retail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volatile retail environment and changing economic conditions that may further adversely affect consumer demand and spending.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home furnishings industry has been subject to cyclical variations in the general economy and to uncertainty regarding future economic prospects. Should current economic conditions weaken, the current rate of housing starts decline, or rising inflation persist, consumer confidence and demand for home furnishings could deteriorate which could adversely affect our business through its impact on the performance of our Company-owned stores, as well as our licensees and the ability of a number of them to meet their obligations to us.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retail stores face significant competition from national, regional and local retailers of home furnishings, including increasing on-line competition via the internet.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retail market for home furnishings is highly fragmented and intensely competitive. We currently compete against a diverse group of retailers, including national department stores, regional or independent specialty stores, and dedicated franchises of furniture manufacturers. National mass merchants such as Costco also have limited product offerings. We also compete with retailers that market products through store catalogs and the internet. In addition, there are few barriers to entry into our current and contemplated markets, and new competitors may enter our current or future markets at any time. We have also seen increasing competition from retailers offering consumers the ability to purchase home furnishings via the internet for home delivery, and this trend is expected to continue. Our existing competitors or new entrants into our industry may use a number of different strategies to compete against us, including aggressive advertising, pricing and marketing, extension of credit to customers on terms more favorable than we offer, and expansion into markets where we currently operate. Competition from any of these sources could cause us to lose market share, revenues and customers, increase expenditures or reduce prices, any of which could have a material adverse effect on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licensee-owned stores may not be able to meet their obligations to 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significant amount of accounts receivable attributable to our network of licensee-owned stores. We also guarantee two leases of one of our licensees. If these stores do not generate the necessary level of sales and profits, the licensees may not be able to fulfill their obligations to us resulting in additional bad debt expenses and real estate related losses.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future losses due to our recent acquisition of Noa Home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expected growth trends in Noa Home’s revenue fail to materialize, we may be unable to recover our investment in Noa Home, including any additional financial support we may find necessary to provide. This may result in significant operating losses from Noa Home which could have an adverse impact on our future cash flows and results of operations.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Brand and Product Offerings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anticipate or respond to changes in consumer tastes and trends in a timely manner could adversely impact our business, operating results and financial condition.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furniture are dependent upon consumer acceptance of our designs, styles, quality and price. As with all retailers, our business is susceptible to changes in consumer tastes and trends. We attempt to monitor changes in consumer tastes and home design trends through attendance at international industry events and fashion shows, internal marketing research, and communication with our retailers and design consultants who provide valuable input on consumer tendencies. However, such tastes and trends can change rapidly and any delay or failure to anticipate or respond to changing consumer tastes and trends in a timely manner could adversely impact our business, operating results and financial condition.</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certain suppliers may require extensive advance notice of our requirements in order to produce products in the quantities we desire. This long lead time may require us to place orders far in advance of the time when certain products will be offered for sale, thereby exposing us to risks relating to shifts in consumer demand and trends, and any downturn in the U.S. economy.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brand, marketing and advertising efforts and pricing strategies, and if we are not able to maintain and enhance our brand, or if we are not successful in these efforts and strategies, our business and operating results could be adversely affected.</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Maintaining and enhancing our brand is critical to our ability to expand our base of customers and drive increased traffic at both Company-owned and licensee-owned stores and to our website. Digital advertising and outreach continue to dominate our marketing expenditures. We also invested heavily in our website and e-commerce. We cannot provide assurance that our marketing, advertising and other efforts to promote and maintain awareness of our brand will not require us to incur substantial costs. If these efforts are unsuccessful or we incur substantial costs in connection with these efforts, our business, operating results and financial condition could be adversely affected.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Material Sourcing and Supply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foreign sources of production for a portion of our products exposes us to certain additional risks associated with international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use of foreign sources for the supply of certain of our products exposes us to risks associated with overseas sourcing. These risks are related to government regulation, volatile ocean freight costs, delays in shipments, extended lead time in ordering. Governments in the foreign countries where we source our products may change their laws, regulations and policies, including those related to tariffs and trade barriers, investments, taxation and exchange controls which could make it more difficult to service our customers resulting in an adverse effect on our earnings.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the price, availability and quality of raw materials could result in increased costs or cause production delays which might result in a decline in sales, either of which could adversely impact our earnings.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various types of wood, foam, fibers, fabrics, leathers, and other raw materials in manufacturing our furniture. Certain of our raw materials, including fabrics, are purchased both abroad and domestically. Fluctuations in the price, availability and quality of raw materials could result in increased costs or a delay in manufacturing our products, which in turn could result in a delay in delivering products to our customers. For example, lumber prices fluctuate over time based on factors such as weather and demand, which in turn impact availability. There is no guarantee that we will be able to successfully pass along additional cost increases as they arise and rising inflation could have an adverse impact upon consumer demand for discretionary items such as home furnishings. Production delays or upward trends in raw material prices could result in lower sales or margins, thereby adversely impacting our earnings.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Electronic Data Processing and Digital Information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extensively on computer systems to process transactions, summarize results and manage our business. Disruptions in both our primary and back-up systems could adversely affect our business and operating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and back-up computer systems are subject to damage or interruption from power outages, computer and telecommunications failures, computer viruses, security breaches, natural disasters and errors by employees. Though losses arising from some of these issues would be covered by insurance, interruptions of our critical business computer systems or failure of our back-up systems could reduce our sales or result in longer production times. If our critical business computer systems or back-up systems are damaged or cease to function properly, we may have to make a significant investment to repair or replace them.</w:t>
      </w:r>
    </w:p>
    <w:p>
      <w:pPr>
        <w:spacing w:after="0" w:line="179"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and may continue in the future to incur costs resulting from security risks we face in connection with our electronic processing, storage and transmission of confidential information whether on computer systems maintained on our internal network or by third parties that may host certain of our systems. We may also incur reputational harm resulting from these security risks.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accept electronic payment cards in our stores and also gather certain personal identifiable information in the processing of our retail sales transactions. Certain of these transactions were processed through our e-commerce site that was hosted and maintained by a third party that was subject to at least one data breach. We have subsequently moved our e-commerce site to another provider that we believe provides greater overall security. We also store and process confidential information pertaining to our employees and other third parties on our networks. We have and may in the future become subject to claims for purportedly fraudulent transactions arising out of the actual or alleged theft of credit or debit card information. In addition, if there were a disclosure of confidential information provided by, or concerning, our employees, customers or other third parties, including through inadvertent disclosure, unapproved dissemination, or unauthorized access, our reputation could be harmed, and we could be subject to civil or criminal liability and regulatory actions. Proceedings related to theft of credit or debit card information may be brought by payment card providers, banks and credit unions that issue cards, cardholders (either individually or as part of a class action lawsuit) and federal and state regulators. Any such proceedings could distract our management from running our business and cause us to incur significant unplanned losses and expenses. Consumer perception of our brand could also be negatively affected by these events, which could further adversely affect our results and prospects.</w:t>
      </w:r>
    </w:p>
    <w:p>
      <w:pPr>
        <w:spacing w:after="0" w:line="1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color w:val="auto"/>
        </w:rPr>
        <w:t>UNRESOLVED STAFF COMMENTS</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color w:val="auto"/>
        </w:rPr>
        <w:t>CYBERSECURITY</w:t>
      </w:r>
    </w:p>
    <w:p>
      <w:pPr>
        <w:spacing w:after="0" w:line="22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Not applicable because the Company’s fiscal year ended prior to December 15,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3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PROPERTIES</w:t>
            </w:r>
          </w:p>
        </w:tc>
        <w:tc>
          <w:tcPr>
            <w:tcW w:w="2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4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We own the following facilities, by segment:</w:t>
            </w:r>
          </w:p>
        </w:tc>
        <w:tc>
          <w:tcPr>
            <w:tcW w:w="2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91"/>
        </w:trPr>
        <w:tc>
          <w:tcPr>
            <w:tcW w:w="460" w:type="dxa"/>
            <w:vAlign w:val="bottom"/>
          </w:tcPr>
          <w:p>
            <w:pPr>
              <w:spacing w:after="0"/>
              <w:rPr>
                <w:sz w:val="24"/>
                <w:szCs w:val="24"/>
                <w:color w:val="auto"/>
              </w:rPr>
            </w:pPr>
          </w:p>
        </w:tc>
        <w:tc>
          <w:tcPr>
            <w:tcW w:w="4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Wholesale Segment:</w:t>
            </w:r>
          </w:p>
        </w:tc>
        <w:tc>
          <w:tcPr>
            <w:tcW w:w="2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2"/>
        </w:trPr>
        <w:tc>
          <w:tcPr>
            <w:tcW w:w="4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5000" w:type="dxa"/>
            <w:vAlign w:val="bottom"/>
            <w:gridSpan w:val="3"/>
          </w:tcPr>
          <w:p>
            <w:pPr>
              <w:ind w:left="25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760" w:type="dxa"/>
            <w:vAlign w:val="bottom"/>
          </w:tcPr>
          <w:p>
            <w:pPr>
              <w:spacing w:after="0"/>
              <w:rPr>
                <w:sz w:val="24"/>
                <w:szCs w:val="24"/>
                <w:color w:val="auto"/>
              </w:rPr>
            </w:pPr>
          </w:p>
        </w:tc>
      </w:tr>
      <w:tr>
        <w:trPr>
          <w:trHeight w:val="236"/>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7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Wood Division</w:t>
            </w:r>
          </w:p>
        </w:tc>
        <w:tc>
          <w:tcPr>
            <w:tcW w:w="50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Martinsville, Va.</w:t>
            </w:r>
          </w:p>
        </w:tc>
        <w:tc>
          <w:tcPr>
            <w:tcW w:w="17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Bassett Wood Division</w:t>
            </w:r>
          </w:p>
        </w:tc>
        <w:tc>
          <w:tcPr>
            <w:tcW w:w="50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Bassett, Va.</w:t>
            </w:r>
          </w:p>
        </w:tc>
        <w:tc>
          <w:tcPr>
            <w:tcW w:w="17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Upholstery Division</w:t>
            </w:r>
          </w:p>
        </w:tc>
        <w:tc>
          <w:tcPr>
            <w:tcW w:w="50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Newton, N.C.</w:t>
            </w:r>
          </w:p>
        </w:tc>
        <w:tc>
          <w:tcPr>
            <w:tcW w:w="17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Bassett Upholstery Division</w:t>
            </w:r>
          </w:p>
        </w:tc>
        <w:tc>
          <w:tcPr>
            <w:tcW w:w="50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Haleyville, Alabama</w:t>
            </w:r>
          </w:p>
        </w:tc>
        <w:tc>
          <w:tcPr>
            <w:tcW w:w="17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3 Warehouses</w:t>
            </w:r>
          </w:p>
        </w:tc>
        <w:tc>
          <w:tcPr>
            <w:tcW w:w="50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Bassett, Va.</w:t>
            </w:r>
          </w:p>
        </w:tc>
        <w:tc>
          <w:tcPr>
            <w:tcW w:w="1760" w:type="dxa"/>
            <w:vAlign w:val="bottom"/>
          </w:tcPr>
          <w:p>
            <w:pPr>
              <w:spacing w:after="0"/>
              <w:rPr>
                <w:sz w:val="18"/>
                <w:szCs w:val="18"/>
                <w:color w:val="auto"/>
              </w:rPr>
            </w:pPr>
          </w:p>
        </w:tc>
      </w:tr>
      <w:tr>
        <w:trPr>
          <w:trHeight w:val="432"/>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 general, these facilities are suitable and are considered to be adequate for the continuing operations involved. All facilities are in regular use and provide adequate capacity for our manufacturing and warehousing needs. In addition to the owned properties shown above, we lease facilities in Newton, North Carolina for the manufacturing of upholstered furniture and the manufacturing and warehousing operations of Lane Venture and Bassett Outdoor.</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Retail Segment:</w:t>
      </w:r>
    </w:p>
    <w:p>
      <w:pPr>
        <w:spacing w:after="0" w:line="22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Real estate associated with our retail segment consists of eight owned locations with an aggregate square footage of 203,465 and a net book value of $24,279. These stores are located as follows: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Concord, North Carolina</w:t>
            </w:r>
          </w:p>
        </w:tc>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Greensboro, North Carolina</w:t>
            </w: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Greenville, South Carolina</w:t>
            </w:r>
          </w:p>
        </w:tc>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Fredericksburg, Virginia</w:t>
            </w: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Texas</w:t>
            </w:r>
          </w:p>
        </w:tc>
        <w:tc>
          <w:tcPr>
            <w:tcW w:w="6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Louisville, Kentucky</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Knoxville, Tennessee</w:t>
            </w:r>
          </w:p>
        </w:tc>
        <w:tc>
          <w:tcPr>
            <w:tcW w:w="6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Tampa, Florida (opened in the first quarter of fiscal 2024)</w:t>
            </w:r>
          </w:p>
        </w:tc>
      </w:tr>
    </w:tbl>
    <w:p>
      <w:pPr>
        <w:spacing w:after="0" w:line="179"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Of these locations, two are subject to land leases. Our remaining 49 store locations are leased from third parties. In addition to retail stores, we also lease thirteen locations for use as regional warehouses and home delivery distribution centers.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Corporate and Other Segment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We own our corporate office building, which includes an annex, located in Bassett, Va. Noa Home does not own any property or buildings and is not party to any real estate leases.</w:t>
      </w:r>
    </w:p>
    <w:p>
      <w:pPr>
        <w:spacing w:after="0" w:line="16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See Note 15 to the Consolidated Financial Statements included under Item 8 of this Annual Report for more information with respect to our operating lease obligations.</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color w:val="auto"/>
        </w:rPr>
        <w:t>LEGAL PROCEEDINGS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color w:val="auto"/>
        </w:rPr>
        <w:t>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OUR EXECUTIVE OFFICERS</w:t>
      </w:r>
    </w:p>
    <w:p>
      <w:pPr>
        <w:spacing w:after="0" w:line="22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John E. Bassett III, 65, has been with the Company since 1981 and served in various wood manufacturing and product sourcing capacities, including Vice President, Wood Manufacturing; Vice-President, Global Sourcing from 2001 to 2007 and Vice President, Wood in 2008. He was appointed Senior Vice President, Wood in 2009. In 2019, he was also promoted to the position of Senior Vice President, Chief Operations Officer.</w:t>
      </w:r>
    </w:p>
    <w:p>
      <w:pPr>
        <w:spacing w:after="0" w:line="17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Bruce R. Cohenour, 65, has been with the Company since 2011, starting as Senior Vice President of Upholstery Merchandising. In 2013, he was promoted to Senior Vice President of Sales and Merchandising. In 2019, he was appointed Senior Vice President, Chief Sales Officer. Prior to joining Bassett, Mr. Cohenour was with Hooker Furniture Corp. from 2007 through 2010, last serving as President of the Case Goods Division.</w:t>
      </w:r>
    </w:p>
    <w:p>
      <w:pPr>
        <w:spacing w:after="0" w:line="17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J. Michael Daniel, 62, joined the Company in 2007 as Corporate Controller. From April 2009 through December 2009, he served as Corporate Controller and Interim Chief Financial Officer. In January 2010, he was appointed Vice President and Chief Accounting Officer. In January 2013, he was promoted to Senior Vice President and Chief Financial Officer. In 2019, he was also promoted to the position of Senior Vice President, Chief Financial and Administrative Officer.</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Jay R. Hervey, Esq., 64, has served as the General Counsel, Vice President and Secretary for the Company since 1997.</w:t>
      </w:r>
    </w:p>
    <w:p>
      <w:pPr>
        <w:spacing w:after="0" w:line="225"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Robert H. Spilman, Jr., 67, has been with the Company since 1984. Since 2000, he has served as Chief Executive Officer and President, and in 2016 also became the Chairman of the Board of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ind w:left="980" w:right="540" w:hanging="971"/>
        <w:spacing w:after="0" w:line="282"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Bassett’s common stock trades on the NASDAQ global select market system under the symbol “BSET.” We had approximately 6,600 beneficial stockholders at January 22,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authorized to repurchase Company stock under a plan which was originally announced in 1998. On March 9, 2022, the Board of Directors increased the remaining limit of the repurchase plan to $40,000. The repurchase program does not include a specific timetable or price targets and may be suspended or terminated at any time. Shares may be purchased through open market or privately negotiated transactions at the discretion of management based on its evaluation of prevailing market conditions and other factors. The following table summarizes the stock repurchase activity for the three months ended November 25, 2023, and the approximate dollar value of shares that may yet be repurchased pursuant to our stock repurchase program: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8"/>
                <w:szCs w:val="18"/>
                <w:color w:val="auto"/>
              </w:rPr>
            </w:pP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8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20" w:type="dxa"/>
            <w:vAlign w:val="bottom"/>
          </w:tcPr>
          <w:p>
            <w:pPr>
              <w:spacing w:after="0"/>
              <w:rPr>
                <w:sz w:val="18"/>
                <w:szCs w:val="18"/>
                <w:color w:val="auto"/>
              </w:rPr>
            </w:pPr>
          </w:p>
        </w:tc>
        <w:tc>
          <w:tcPr>
            <w:tcW w:w="2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Shares that May Yet Be</w:t>
            </w:r>
          </w:p>
        </w:tc>
      </w:tr>
      <w:tr>
        <w:trPr>
          <w:trHeight w:val="216"/>
        </w:trPr>
        <w:tc>
          <w:tcPr>
            <w:tcW w:w="8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12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Purchased Under the Plans</w:t>
            </w:r>
          </w:p>
        </w:tc>
      </w:tr>
      <w:tr>
        <w:trPr>
          <w:trHeight w:val="238"/>
        </w:trPr>
        <w:tc>
          <w:tcPr>
            <w:tcW w:w="8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or Programs</w:t>
            </w:r>
          </w:p>
        </w:tc>
      </w:tr>
      <w:tr>
        <w:trPr>
          <w:trHeight w:val="210"/>
        </w:trPr>
        <w:tc>
          <w:tcPr>
            <w:tcW w:w="8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27 - September 30,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14.02</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8,559</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21,823</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 October 28, 2023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21,823</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29 - November 25,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21,823</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3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5" w:name="page16"/>
    <w:bookmarkEnd w:id="15"/>
    <w:p>
      <w:pPr>
        <w:ind w:left="3620" w:right="1620" w:hanging="360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in thousands except share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newly redesigned website at </w:t>
      </w:r>
      <w:r>
        <w:rPr>
          <w:rFonts w:ascii="Times New Roman" w:cs="Times New Roman" w:eastAsia="Times New Roman" w:hAnsi="Times New Roman"/>
          <w:sz w:val="18"/>
          <w:szCs w:val="18"/>
          <w:u w:val="single" w:color="auto"/>
          <w:color w:val="auto"/>
        </w:rPr>
        <w:t>www.bassettfurniture.com</w:t>
      </w:r>
      <w:r>
        <w:rPr>
          <w:rFonts w:ascii="Times New Roman" w:cs="Times New Roman" w:eastAsia="Times New Roman" w:hAnsi="Times New Roman"/>
          <w:sz w:val="18"/>
          <w:szCs w:val="18"/>
          <w:color w:val="auto"/>
        </w:rPr>
        <w:t>. We were founded in 1902 and incorporated under the laws of Virginia in 1930. Our rich 121-year history has instilled the principles of quality, value, and integrity in everything we do, while simultaneously providing us with the expertise to respond to ever-changing consumer tastes and meet the demands of a global economy.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87 BHF stores at November 25, 2023,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BHF stores feature custom order furniture,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consider our website to be the front door to our brand experience where customers can research our furniture and accessory offerings and subsequently buy online or engage with an in-store design consultant. Digital outreach strategies have become the primary vehicle for brand advertising and customer acquisition. As a result, we have been engaged in a multi-year cross-functional digital transformation initiative with the first phase consisting of the examination and improvement of our underlying data management processes. During fiscal 2022, we implemented a comprehensive Product Information Management system which allows us to enhance and standardize our product development and data management and governance processes. This results in more consistent data that our merchandizing and sales teams can use in analyzing various product and sales trends in order to make better informed decisions. We also introduced a new web platform in August of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We plan to implement several enhancements to the site in 2024 that will improve the overall customer experience and brand presentation. While we have made it easier to purchase on-line, we will not compromise our in-store experience or the quality of our in-home makeover capabilities. We spent over $4 million on developing and implementing the new website in 2023.</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fiscal 2022 we acquired Noa Home for $5,878 cash plus contingent consideration of $1,375 (see Note 3 to the Consolidated Financial Statements for additional information regarding the acquisition). A mid-priced e-commerce furniture retailer headquartered in Montreal, Canada, Noa Home has operations in Canada, Australia, Singapore and the United Kingdom. With a lean staffing model, the Noa Home team has built an operational blueprint that has the potential for significant growth. We believe the acquisition will provide Bassett with a greater online presence and will allow us to attract more digitally native consumers. We are currently in the process of expanding Noa Home’s product assortment and categories offered on the Canadian website. In August of 2023, we introduced the Noa Home brand in the United States.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2018, we added outdoor furniture to our offerings with the acquisition of the Lane Venture brand. Our strategy is to distribute these products outside of our BHF store network through independent sales representatives each of which have a stated geographic territory. Using Lane Venture as a platform, we developed the Bassett Outdoor brand that is only marketed through the BHF store network. This allows Bassett branded products to move from inside the home to outside the home to capitalize on the growing trend of outdoor living. In the second quarter of 2023, we debuted the Bassett Outdoor contract line at the HD Expo Show in Las Vegas targeting the hospitality segment.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We have factories in Newton, North Carolina that manufacture both stationary and motion upholstered furniture for inside the home along with our outdoor furniture offerings. We also have factories in Martinsville and Bassett, Virginia that assemble and finish our custom bedroom and dining offerings. In 2022, we purchased a facility which we had formerly leased in Haleyville, Alabama where we manufacture aluminum frames for our outdoor furniture.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furniture that we manufacture domestically, we source most of our formal bedroom and dining room furniture (casegoods) and certain leather upholstery offerings from several foreign plants, primarily in Vietnam and China. Over 75% of our wholesale revenues are derived from products that are manufactured in the United States using a mix of domestic and globally sourced components and raw materials.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the Assets of Zenith Freight Lines, LLC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2022, we entered into a definitive agreement to sell substantially all of the assets of our wholly-owned subsidiary, Zenith, to J.B. Hunt for $86,939 in cash. On February 28, 2022 the transaction was completed with us receiving $85,521 after the payment of $418 in certain transaction costs and the funding of $1,000 held in escrow, which was released to us on the first anniversary of the sale. The final purchase price was subject to a customary post-closing working capital adjustment, which was settled in the amount of $987 resulting in a pre-tax gain of $52,534 on this transaction. As a result of the sale, the operations of our former logistical services segment, which consisted entirely of the operations of Zenith, are presented in the accompanying condensed consolidated statements of income and in the following discussion as discontinued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Continuing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provides an analysis of our results of operations and reasons for material changes therein for fiscal year 2023 as compared to fiscal year 2022. It also compares fiscal year 2022 to fiscal year 2021 for the wholesale segment and the corporate and other segment due to changes in those segments as of the beginning of fiscal 2023. For additional analysis of the fiscal year 2022 results as compared to fiscal year 2021, see “Analysis of Operations” in Part II, Item 7, Management’s Discussion and Analysis of Financial Condition and Results of Operations in the Company’s 2022 Annual Report on Form 10-K, filed with the SEC on January 24,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revenue, cost of furniture and accessories sold, selling, general and administrative (“SG&amp;A”) expense, other charges, and income from operations were as follows for the years ended November 25, 2023, November 26, 2022 and November 27,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Comparative Change</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sales of furniture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accessories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9"/>
              </w:rPr>
              <w:t>390,136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9"/>
              </w:rPr>
              <w:t>485,601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9"/>
              </w:rPr>
              <w:t>430,886</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(95,465)</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$ 54,715</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8"/>
              </w:rPr>
              <w:t>12.7%</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furniture and accessories</w:t>
            </w:r>
          </w:p>
        </w:tc>
        <w:tc>
          <w:tcPr>
            <w:tcW w:w="100" w:type="dxa"/>
            <w:vAlign w:val="bottom"/>
          </w:tcPr>
          <w:p>
            <w:pPr>
              <w:spacing w:after="0"/>
              <w:rPr>
                <w:sz w:val="17"/>
                <w:szCs w:val="17"/>
                <w:color w:val="auto"/>
              </w:rPr>
            </w:pPr>
          </w:p>
        </w:tc>
        <w:tc>
          <w:tcPr>
            <w:tcW w:w="8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99"/>
              </w:rPr>
              <w:t>183,648</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99"/>
              </w:rPr>
              <w:t>237,262</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99"/>
              </w:rPr>
              <w:t>209,799</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(53,614)</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7"/>
                <w:szCs w:val="17"/>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27,463</w:t>
            </w:r>
          </w:p>
        </w:tc>
        <w:tc>
          <w:tcPr>
            <w:tcW w:w="9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w w:val="98"/>
              </w:rPr>
              <w:t>13.1%</w:t>
            </w:r>
          </w:p>
        </w:tc>
        <w:tc>
          <w:tcPr>
            <w:tcW w:w="0" w:type="dxa"/>
            <w:vAlign w:val="bottom"/>
          </w:tcPr>
          <w:p>
            <w:pPr>
              <w:spacing w:after="0"/>
              <w:rPr>
                <w:sz w:val="1"/>
                <w:szCs w:val="1"/>
                <w:color w:val="auto"/>
              </w:rPr>
            </w:pPr>
          </w:p>
        </w:tc>
      </w:tr>
      <w:tr>
        <w:trPr>
          <w:trHeight w:val="221"/>
        </w:trPr>
        <w:tc>
          <w:tcPr>
            <w:tcW w:w="2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sold</w:t>
            </w: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9"/>
              </w:rPr>
              <w:t>206,488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9"/>
              </w:rPr>
              <w:t>248,339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9"/>
              </w:rPr>
              <w:t>221,087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(41,851)</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27,252</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8"/>
              </w:rPr>
              <w:t>12.3%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9"/>
              </w:rPr>
              <w:t>205,227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9"/>
              </w:rPr>
              <w:t>218,069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9"/>
              </w:rPr>
              <w:t>196,830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21,239</w:t>
            </w: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8"/>
              </w:rPr>
              <w:t>10.8%</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0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5,409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5,409</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revalutation of</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1,013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1,013</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4,595</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4,595</w:t>
            </w:r>
          </w:p>
        </w:tc>
        <w:tc>
          <w:tcPr>
            <w:tcW w:w="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NM</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5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(loss) from continuing</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(3,135)</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34,865</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24,257</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(38,000)</w:t>
            </w:r>
          </w:p>
        </w:tc>
        <w:tc>
          <w:tcPr>
            <w:tcW w:w="102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N/M</w:t>
            </w:r>
          </w:p>
        </w:tc>
        <w:tc>
          <w:tcPr>
            <w:tcW w:w="8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$ 10,608</w:t>
            </w:r>
          </w:p>
        </w:tc>
        <w:tc>
          <w:tcPr>
            <w:tcW w:w="9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640" w:type="dxa"/>
            <w:vAlign w:val="bottom"/>
            <w:gridSpan w:val="2"/>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6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64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020" w:type="dxa"/>
            <w:vAlign w:val="bottom"/>
            <w:gridSpan w:val="3"/>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25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Our consolidated net sales by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248,911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324,569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295,329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(75,658)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29,240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(103,519)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(125,889)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(112,270)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22,370</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(13,619)</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145,392</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198,680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183,059</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(53,288)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15,621</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235,940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285,119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247,827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(49,179)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37,292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8,804</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7,002</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5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Consolidated net sales of furniture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390,136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485,601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430,886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(95,465)</w:t>
            </w: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54,715</w:t>
            </w: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accessories</w:t>
            </w:r>
          </w:p>
        </w:tc>
        <w:tc>
          <w:tcPr>
            <w:tcW w:w="1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sales revenue for the year ended November 25, 2023, decreased $95,465 or approximately 20% from the prior year period primarily due to decreases in wholesale shipments to both the open market and the BHF store network and decreases in retail delivered sales, partially offset by increased revenue in our Corporate and Other segment from Noa Home.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margins for the year ended November 25, 2023, increased 180 basis points from 2022 primarily due to higher-margin retail sales constituting a larger share of total sales in 2023 as compared to the prior year period coupled with margin improvement in the wholesale segment.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expenses as a percentage of sales for the year ended November 25, 2023 increased 770 basis points from 2022 primarily due to the deleverage of fixed costs caused by lower sales volumes.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November 25, 2023, we recognized a goodwill impairment charge of $5,409 and a gain of $1,013 resulting from the write-down of our contingent consideration obligation both of which are associated with the acquisition of Noa Home. See Note 3 to the condensed consolidated financial statements. During the year ended November 26, 2022, we recognized a gain of $4,595 from the sale of the real estate at a former retail location in Houston, Texas.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other items affecting comparability between fiscal 2023 and 2022 are discussed below in “Other Items Affecting Net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Beginning in fiscal 2023, we strategically aligned our business into three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156" w:lineRule="exact"/>
        <w:rPr>
          <w:sz w:val="20"/>
          <w:szCs w:val="20"/>
          <w:color w:val="auto"/>
        </w:rPr>
      </w:pPr>
    </w:p>
    <w:p>
      <w:pPr>
        <w:jc w:val="both"/>
        <w:ind w:left="660" w:right="2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Corporate and other includes the shared costs of corporate functions such as treasury and finance, information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human resources, legal and others, including certain product development and marketing functions benefitting both wholesale and retail operations. We consider our corporate functions to be other business activities and have aggregated them with our other insignificant operating segment, the recently acquired Noa Home.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beginning of fiscal 2023, the functions included in Corporate and other were included in our wholesale reportable segment, and Noa Home was included in our retail reportable segment for the fourth quarter of fiscal 2022 following its acquisition on September 2, 2022. We believe that the new alignment of our reporting segments provides our chief operating decision maker with clearer information with which to assess the operating results of our wholesale segment. Noa Home does not meet the requirements to be a separate reportable segment. The segment information presented below has been restated to reflect the new alignment of our reportable segments.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former logistical services segment which represented the operations of Zenith is now presented as a discontinued operation.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Reconciliation of Segment Results to Consolidated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that are included in consolidated income from operations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November 25, 2023</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auto"/>
              </w:rPr>
              <w:t>Non-GAAP Presentation</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Special</w:t>
            </w:r>
          </w:p>
        </w:tc>
        <w:tc>
          <w:tcPr>
            <w:tcW w:w="420" w:type="dxa"/>
            <w:vAlign w:val="bottom"/>
          </w:tcPr>
          <w:p>
            <w:pPr>
              <w:spacing w:after="0"/>
              <w:rPr>
                <w:sz w:val="20"/>
                <w:szCs w:val="20"/>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Corporate &amp;</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Pr>
          <w:p>
            <w:pPr>
              <w:spacing w:after="0"/>
              <w:rPr>
                <w:sz w:val="20"/>
                <w:szCs w:val="20"/>
                <w:color w:val="auto"/>
              </w:rPr>
            </w:pPr>
          </w:p>
        </w:tc>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20"/>
                <w:szCs w:val="20"/>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Eliminations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Items</w:t>
            </w:r>
          </w:p>
        </w:tc>
        <w:tc>
          <w:tcPr>
            <w:tcW w:w="4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248,911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235,940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(103,519) (1)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390,136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171,394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111,769</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(103,517)</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77,517</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124,171</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206,488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46,818</w:t>
            </w: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124,707</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205,227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(5,409) (5)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30,699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(4,396)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413"/>
        </w:trPr>
        <w:tc>
          <w:tcPr>
            <w:tcW w:w="3620" w:type="dxa"/>
            <w:vAlign w:val="bottom"/>
            <w:tcBorders>
              <w:top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700" w:type="dxa"/>
            <w:vAlign w:val="bottom"/>
            <w:tcBorders>
              <w:top w:val="single" w:sz="8" w:color="auto"/>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November 26, 2022</w:t>
            </w:r>
          </w:p>
        </w:tc>
        <w:tc>
          <w:tcPr>
            <w:tcW w:w="2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color w:val="auto"/>
              </w:rPr>
              <w:t>Non-GAAP Presentation</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Special</w:t>
            </w:r>
          </w:p>
        </w:tc>
        <w:tc>
          <w:tcPr>
            <w:tcW w:w="420" w:type="dxa"/>
            <w:vAlign w:val="bottom"/>
          </w:tcPr>
          <w:p>
            <w:pPr>
              <w:spacing w:after="0"/>
              <w:rPr>
                <w:sz w:val="20"/>
                <w:szCs w:val="20"/>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Corporate &amp;</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Wholesale</w:t>
            </w:r>
          </w:p>
        </w:tc>
        <w:tc>
          <w:tcPr>
            <w:tcW w:w="300" w:type="dxa"/>
            <w:vAlign w:val="bottom"/>
          </w:tcPr>
          <w:p>
            <w:pPr>
              <w:spacing w:after="0"/>
              <w:rPr>
                <w:sz w:val="20"/>
                <w:szCs w:val="20"/>
                <w:color w:val="auto"/>
              </w:rPr>
            </w:pPr>
          </w:p>
        </w:tc>
        <w:tc>
          <w:tcPr>
            <w:tcW w:w="9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20"/>
                <w:szCs w:val="20"/>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Eliminations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Items</w:t>
            </w:r>
          </w:p>
        </w:tc>
        <w:tc>
          <w:tcPr>
            <w:tcW w:w="4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324,569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285,119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(125,889) (1)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485,601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225,300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135,699</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(124,709)</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99,269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149,420</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248,339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57,290</w:t>
            </w: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130,068</w:t>
            </w:r>
          </w:p>
        </w:tc>
        <w:tc>
          <w:tcPr>
            <w:tcW w:w="3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218,069</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4,595(7)</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41,979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19,352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100" w:type="dxa"/>
            <w:vAlign w:val="bottom"/>
          </w:tcPr>
          <w:p>
            <w:pPr>
              <w:spacing w:after="0"/>
              <w:rPr>
                <w:sz w:val="18"/>
                <w:szCs w:val="18"/>
                <w:color w:val="auto"/>
              </w:rPr>
            </w:pP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4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156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November 27, 2021</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rPr>
              <w:t>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Non-GAAP Presentation</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Special</w:t>
            </w:r>
          </w:p>
        </w:tc>
        <w:tc>
          <w:tcPr>
            <w:tcW w:w="420" w:type="dxa"/>
            <w:vAlign w:val="bottom"/>
          </w:tcPr>
          <w:p>
            <w:pPr>
              <w:spacing w:after="0"/>
              <w:rPr>
                <w:sz w:val="20"/>
                <w:szCs w:val="20"/>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Presentation</w:t>
            </w:r>
          </w:p>
        </w:tc>
        <w:tc>
          <w:tcPr>
            <w:tcW w:w="0" w:type="dxa"/>
            <w:vAlign w:val="bottom"/>
          </w:tcPr>
          <w:p>
            <w:pPr>
              <w:spacing w:after="0"/>
              <w:rPr>
                <w:sz w:val="1"/>
                <w:szCs w:val="1"/>
                <w:color w:val="auto"/>
              </w:rPr>
            </w:pPr>
          </w:p>
        </w:tc>
      </w:tr>
      <w:tr>
        <w:trPr>
          <w:trHeight w:val="191"/>
        </w:trPr>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200"/>
              <w:spacing w:after="0" w:line="191" w:lineRule="exact"/>
              <w:rPr>
                <w:sz w:val="20"/>
                <w:szCs w:val="20"/>
                <w:color w:val="auto"/>
              </w:rPr>
            </w:pPr>
            <w:r>
              <w:rPr>
                <w:rFonts w:ascii="Times New Roman" w:cs="Times New Roman" w:eastAsia="Times New Roman" w:hAnsi="Times New Roman"/>
                <w:sz w:val="18"/>
                <w:szCs w:val="18"/>
                <w:color w:val="auto"/>
              </w:rPr>
              <w:t>Corporate &amp;</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Wholesale</w:t>
            </w:r>
          </w:p>
        </w:tc>
        <w:tc>
          <w:tcPr>
            <w:tcW w:w="30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Retail</w:t>
            </w:r>
          </w:p>
        </w:tc>
        <w:tc>
          <w:tcPr>
            <w:tcW w:w="340" w:type="dxa"/>
            <w:vAlign w:val="bottom"/>
          </w:tcPr>
          <w:p>
            <w:pPr>
              <w:spacing w:after="0"/>
              <w:rPr>
                <w:sz w:val="20"/>
                <w:szCs w:val="20"/>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Eliminations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Items</w:t>
            </w:r>
          </w:p>
        </w:tc>
        <w:tc>
          <w:tcPr>
            <w:tcW w:w="4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295,329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247,827</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(112,270) (1)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430,886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119,602</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(112,227) (2)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128,225</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221,087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SG&amp;A expense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48,959</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124,301</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24,829</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(1,259) (4)</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43,946</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(24,829)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Segment Consolidation Table:</w:t>
      </w:r>
    </w:p>
    <w:p>
      <w:pPr>
        <w:spacing w:after="0" w:line="225"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sales from our wholesale segment to our Company-owned BHF stores.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purchases by our Company-owned BHF stores from our wholesale segment.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the elimination of intercompany profit in inventory.</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rent paid by our retail stores occupying Company-owned real estate.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non-cash charge for the impairment of goodwill associated with our Noa Home reporting unit.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resulting from the write-down of the contingent consideration payable on the acquisition of Noa Home.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on the sale of the real estate at a former retail location.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 Segment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gross profit, SG&amp;A expense and operating income for our Wholesale Segment were as follows for the fiscal years ended November 25,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2022 and November 27,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Comparative Change</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2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160" w:type="dxa"/>
            <w:vAlign w:val="bottom"/>
          </w:tcPr>
          <w:p>
            <w:pPr>
              <w:spacing w:after="0"/>
              <w:rPr>
                <w:sz w:val="18"/>
                <w:szCs w:val="18"/>
                <w:color w:val="auto"/>
              </w:rPr>
            </w:pPr>
          </w:p>
        </w:tc>
      </w:tr>
      <w:tr>
        <w:trPr>
          <w:trHeight w:val="223"/>
        </w:trPr>
        <w:tc>
          <w:tcPr>
            <w:tcW w:w="2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r>
      <w:tr>
        <w:trPr>
          <w:trHeight w:val="210"/>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5"/>
              </w:rPr>
              <w:t>248,911</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324,569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5"/>
              </w:rPr>
              <w:t>295,329</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(75,658)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29,240</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2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10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77,517</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99,269</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92,905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6,364</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46,818</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57,290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48,959</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8,331</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2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30,699</w:t>
            </w:r>
          </w:p>
        </w:tc>
        <w:tc>
          <w:tcPr>
            <w:tcW w:w="78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12.3</w:t>
            </w:r>
            <w:r>
              <w:rPr>
                <w:rFonts w:ascii="Times New Roman" w:cs="Times New Roman" w:eastAsia="Times New Roman" w:hAnsi="Times New Roman"/>
                <w:sz w:val="24"/>
                <w:szCs w:val="24"/>
                <w:color w:val="auto"/>
                <w:vertAlign w:val="sub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41,979</w:t>
            </w:r>
          </w:p>
        </w:tc>
        <w:tc>
          <w:tcPr>
            <w:tcW w:w="78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12.9</w:t>
            </w:r>
            <w:r>
              <w:rPr>
                <w:rFonts w:ascii="Times New Roman" w:cs="Times New Roman" w:eastAsia="Times New Roman" w:hAnsi="Times New Roman"/>
                <w:sz w:val="24"/>
                <w:szCs w:val="24"/>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43,946</w:t>
            </w:r>
          </w:p>
        </w:tc>
        <w:tc>
          <w:tcPr>
            <w:tcW w:w="78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14.9</w:t>
            </w:r>
            <w:r>
              <w:rPr>
                <w:rFonts w:ascii="Times New Roman" w:cs="Times New Roman" w:eastAsia="Times New Roman" w:hAnsi="Times New Roman"/>
                <w:sz w:val="24"/>
                <w:szCs w:val="24"/>
                <w:color w:val="auto"/>
                <w:vertAlign w:val="subscript"/>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(11,280)</w:t>
            </w:r>
          </w:p>
        </w:tc>
        <w:tc>
          <w:tcPr>
            <w:tcW w:w="102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-26.9</w:t>
            </w:r>
            <w:r>
              <w:rPr>
                <w:rFonts w:ascii="Times New Roman" w:cs="Times New Roman" w:eastAsia="Times New Roman" w:hAnsi="Times New Roman"/>
                <w:sz w:val="24"/>
                <w:szCs w:val="24"/>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(1,967)</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segment results to consolidated results of operations presented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Wholesale shipments by category for the fiscal years ended November 25, 2023, November 26, 2022 and November 27, 2021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2021</w:t>
            </w: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External</w:t>
            </w:r>
          </w:p>
        </w:tc>
        <w:tc>
          <w:tcPr>
            <w:tcW w:w="104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Intercompany</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External</w:t>
            </w:r>
          </w:p>
        </w:tc>
        <w:tc>
          <w:tcPr>
            <w:tcW w:w="106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Intercompany</w:t>
            </w:r>
          </w:p>
        </w:tc>
        <w:tc>
          <w:tcPr>
            <w:tcW w:w="9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External</w:t>
            </w:r>
          </w:p>
        </w:tc>
        <w:tc>
          <w:tcPr>
            <w:tcW w:w="1040" w:type="dxa"/>
            <w:vAlign w:val="bottom"/>
            <w:tcBorders>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color w:val="auto"/>
              </w:rPr>
              <w:t>Intercompany</w:t>
            </w: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4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Bassett Custom</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89,005</w:t>
            </w: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66,363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155,368</w:t>
            </w:r>
          </w:p>
        </w:tc>
        <w:tc>
          <w:tcPr>
            <w:tcW w:w="6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62.4%</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9"/>
              </w:rPr>
              <w:t>$ 124,565</w:t>
            </w:r>
          </w:p>
        </w:tc>
        <w:tc>
          <w:tcPr>
            <w:tcW w:w="30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82,437</w:t>
            </w:r>
          </w:p>
        </w:tc>
        <w:tc>
          <w:tcPr>
            <w:tcW w:w="90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$ 207,002</w:t>
            </w:r>
          </w:p>
        </w:tc>
        <w:tc>
          <w:tcPr>
            <w:tcW w:w="620" w:type="dxa"/>
            <w:vAlign w:val="bottom"/>
            <w:tcBorders>
              <w:right w:val="single" w:sz="8" w:color="CCEEFF"/>
            </w:tcBorders>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105,445</w:t>
            </w:r>
          </w:p>
        </w:tc>
        <w:tc>
          <w:tcPr>
            <w:tcW w:w="3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69,533</w:t>
            </w:r>
          </w:p>
        </w:tc>
        <w:tc>
          <w:tcPr>
            <w:tcW w:w="92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$ 174,978</w:t>
            </w:r>
          </w:p>
        </w:tc>
        <w:tc>
          <w:tcPr>
            <w:tcW w:w="5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171"/>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Upholstery</w:t>
            </w:r>
          </w:p>
        </w:tc>
        <w:tc>
          <w:tcPr>
            <w:tcW w:w="100" w:type="dxa"/>
            <w:vAlign w:val="bottom"/>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62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Bassett Leather</w:t>
            </w:r>
          </w:p>
        </w:tc>
        <w:tc>
          <w:tcPr>
            <w:tcW w:w="1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26,701</w:t>
            </w:r>
          </w:p>
        </w:tc>
        <w:tc>
          <w:tcPr>
            <w:tcW w:w="30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180" w:type="dxa"/>
            <w:vAlign w:val="bottom"/>
          </w:tcPr>
          <w:p>
            <w:pPr>
              <w:spacing w:after="0"/>
              <w:rPr>
                <w:sz w:val="12"/>
                <w:szCs w:val="12"/>
                <w:color w:val="auto"/>
              </w:rPr>
            </w:pPr>
          </w:p>
        </w:tc>
        <w:tc>
          <w:tcPr>
            <w:tcW w:w="72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27,872</w:t>
            </w:r>
          </w:p>
        </w:tc>
        <w:tc>
          <w:tcPr>
            <w:tcW w:w="6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35,953</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9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36,029</w:t>
            </w:r>
          </w:p>
        </w:tc>
        <w:tc>
          <w:tcPr>
            <w:tcW w:w="6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36,157</w:t>
            </w:r>
          </w:p>
        </w:tc>
        <w:tc>
          <w:tcPr>
            <w:tcW w:w="3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36,218</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Bassett Custom Wood</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17,357</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20,070</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37,427</w:t>
            </w:r>
          </w:p>
        </w:tc>
        <w:tc>
          <w:tcPr>
            <w:tcW w:w="6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22,534</w:t>
            </w: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24,764</w:t>
            </w:r>
          </w:p>
        </w:tc>
        <w:tc>
          <w:tcPr>
            <w:tcW w:w="90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47,298</w:t>
            </w:r>
          </w:p>
        </w:tc>
        <w:tc>
          <w:tcPr>
            <w:tcW w:w="620" w:type="dxa"/>
            <w:vAlign w:val="bottom"/>
            <w:tcBorders>
              <w:right w:val="single" w:sz="8" w:color="CCEEFF"/>
            </w:tcBorders>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24,079</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24,066</w:t>
            </w:r>
          </w:p>
        </w:tc>
        <w:tc>
          <w:tcPr>
            <w:tcW w:w="9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48,145</w:t>
            </w:r>
          </w:p>
        </w:tc>
        <w:tc>
          <w:tcPr>
            <w:tcW w:w="5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48"/>
        </w:trPr>
        <w:tc>
          <w:tcPr>
            <w:tcW w:w="1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Bassett Casegoods</w:t>
            </w:r>
          </w:p>
        </w:tc>
        <w:tc>
          <w:tcPr>
            <w:tcW w:w="10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12,329</w:t>
            </w:r>
          </w:p>
        </w:tc>
        <w:tc>
          <w:tcPr>
            <w:tcW w:w="30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15,915</w:t>
            </w:r>
          </w:p>
        </w:tc>
        <w:tc>
          <w:tcPr>
            <w:tcW w:w="180" w:type="dxa"/>
            <w:vAlign w:val="bottom"/>
          </w:tcPr>
          <w:p>
            <w:pPr>
              <w:spacing w:after="0"/>
              <w:rPr>
                <w:sz w:val="12"/>
                <w:szCs w:val="12"/>
                <w:color w:val="auto"/>
              </w:rPr>
            </w:pPr>
          </w:p>
        </w:tc>
        <w:tc>
          <w:tcPr>
            <w:tcW w:w="72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28,244</w:t>
            </w:r>
          </w:p>
        </w:tc>
        <w:tc>
          <w:tcPr>
            <w:tcW w:w="6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15,628</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18,612</w:t>
            </w:r>
          </w:p>
        </w:tc>
        <w:tc>
          <w:tcPr>
            <w:tcW w:w="9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34,240</w:t>
            </w:r>
          </w:p>
        </w:tc>
        <w:tc>
          <w:tcPr>
            <w:tcW w:w="6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17,378</w:t>
            </w:r>
          </w:p>
        </w:tc>
        <w:tc>
          <w:tcPr>
            <w:tcW w:w="3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18,610</w:t>
            </w: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35,988</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145,392</w:t>
            </w:r>
          </w:p>
        </w:tc>
        <w:tc>
          <w:tcPr>
            <w:tcW w:w="3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103,519</w:t>
            </w:r>
          </w:p>
        </w:tc>
        <w:tc>
          <w:tcPr>
            <w:tcW w:w="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28"/>
              <w:spacing w:after="0" w:line="129" w:lineRule="exact"/>
              <w:rPr>
                <w:sz w:val="20"/>
                <w:szCs w:val="20"/>
                <w:color w:val="auto"/>
              </w:rPr>
            </w:pPr>
            <w:r>
              <w:rPr>
                <w:rFonts w:ascii="Times New Roman" w:cs="Times New Roman" w:eastAsia="Times New Roman" w:hAnsi="Times New Roman"/>
                <w:sz w:val="14"/>
                <w:szCs w:val="14"/>
                <w:color w:val="auto"/>
              </w:rPr>
              <w:t>248,911</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99"/>
              </w:rPr>
              <w:t>$ 198,680</w:t>
            </w:r>
          </w:p>
        </w:tc>
        <w:tc>
          <w:tcPr>
            <w:tcW w:w="30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125,889</w:t>
            </w:r>
          </w:p>
        </w:tc>
        <w:tc>
          <w:tcPr>
            <w:tcW w:w="900" w:type="dxa"/>
            <w:vAlign w:val="bottom"/>
            <w:shd w:val="clear" w:color="auto" w:fill="CCEEFF"/>
          </w:tcPr>
          <w:p>
            <w:pPr>
              <w:jc w:val="right"/>
              <w:ind w:right="188"/>
              <w:spacing w:after="0" w:line="129" w:lineRule="exact"/>
              <w:rPr>
                <w:sz w:val="20"/>
                <w:szCs w:val="20"/>
                <w:color w:val="auto"/>
              </w:rPr>
            </w:pPr>
            <w:r>
              <w:rPr>
                <w:rFonts w:ascii="Times New Roman" w:cs="Times New Roman" w:eastAsia="Times New Roman" w:hAnsi="Times New Roman"/>
                <w:sz w:val="14"/>
                <w:szCs w:val="14"/>
                <w:color w:val="auto"/>
              </w:rPr>
              <w:t>$ 324,569</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220" w:type="dxa"/>
            <w:vAlign w:val="bottom"/>
            <w:tcBorders>
              <w:right w:val="single" w:sz="8" w:color="CCEEFF"/>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183,059</w:t>
            </w:r>
          </w:p>
        </w:tc>
        <w:tc>
          <w:tcPr>
            <w:tcW w:w="3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112,270</w:t>
            </w:r>
          </w:p>
        </w:tc>
        <w:tc>
          <w:tcPr>
            <w:tcW w:w="920" w:type="dxa"/>
            <w:vAlign w:val="bottom"/>
            <w:shd w:val="clear" w:color="auto" w:fill="CCEEFF"/>
          </w:tcPr>
          <w:p>
            <w:pPr>
              <w:jc w:val="right"/>
              <w:ind w:right="168"/>
              <w:spacing w:after="0" w:line="129" w:lineRule="exact"/>
              <w:rPr>
                <w:sz w:val="20"/>
                <w:szCs w:val="20"/>
                <w:color w:val="auto"/>
              </w:rPr>
            </w:pPr>
            <w:r>
              <w:rPr>
                <w:rFonts w:ascii="Times New Roman" w:cs="Times New Roman" w:eastAsia="Times New Roman" w:hAnsi="Times New Roman"/>
                <w:sz w:val="14"/>
                <w:szCs w:val="14"/>
                <w:color w:val="auto"/>
              </w:rPr>
              <w:t>$ 295,329</w:t>
            </w:r>
          </w:p>
        </w:tc>
        <w:tc>
          <w:tcPr>
            <w:tcW w:w="5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as Compared to Fiscal 2022</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sales for the year ended November 25, 2023 decreased $75,658 or 23% from the prior year period due to a 17% decrease in shipments to the BHF store network, a 26% decrease in shipments to the open market and 30% decrease in shipments of Lane Venture product. These decreases were the result of reduced demand for home furnishings following the significant increase during the COVID period. Gross margins for the year ended November 25, 2023 increased 50 basis points compared to the prior year period primarily due to increased margins in our Custom Upholstery business as we were able to recognize a greater portion of previously implemented price increases in current period sales coupled with improved overall product warranty and returns experience and overall lower unit costs as measured on a last-in, first-out (LIFO) basis. These margin improvements were partially offset by lower margins in the Bassett Leather business due to increased product discounting and excess and obsolete reserve charges.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We expect margins for the Bassett Leather product to moderate during the first half of 2024 with a return to normal margins in the third quarter of 2024. Margins in the Bassett Casegoods business were lower due primarily to realizing the high freight costs incurred during mid-2022 in the results of operations for the current period. Margins improved over the back half of 2023 with margins for the fourth quarter of 2023 comparable to the fourth quarter of 2022. Lastly, margins for Bassett Custom Wood products were lower in 2023 from the prior year due to lower sales volume. SG&amp;A expenses as a percentage of sales increased 110 basis points primarily due to reduced leverage of fixed costs from decreased sales, partially offset by lower fixed overhead spending.</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Fiscal 2022 as Compared to Fiscal 2021</w:t>
      </w:r>
    </w:p>
    <w:p>
      <w:pPr>
        <w:spacing w:after="0" w:line="227"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Net sales for the year ended November 26, 2022 increased $29,240 or 9.9% from the prior year period due to a 13% increase in shipments to both the BHF store network, a 32% increase in shipments of Lane Venture product and a 3.8% increase in shipments to the open market. Gross margins for the year ended November 26, 2022 declined 90 basis points compared to the prior year period as we experienced significant increases in material and other production costs. In addition, we experienced reduced margins in our Bassett Leather product line due to price discounting during the last half of the year. As this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All of these cost increases were partially offset by greater leverage of fixed costs due to higher sales volumes. SG&amp;A expenses as a percentage of sales increased 110 basis points primarily due to increased logistics and warehouse costs and higher bad debt expenses, partially offset by greater leverage of fixed costs from increased sales volumes.</w:t>
      </w:r>
    </w:p>
    <w:p>
      <w:pPr>
        <w:spacing w:after="0" w:line="194"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dollar value of our wholesale backlog, representing orders received but not yet shipped to the BHF store network or independent dealers, was $18,478 at November 25, 2023 and $35,336 at November 26,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Retail Segment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Company Owned Stores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gross profit, SG&amp;A expense, and operating income (loss) for our retail segment were as follows for the fiscal years ended November 25,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2022 and November 27,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Comparative Change</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235,940</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285,119</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5"/>
              </w:rPr>
              <w:t>247,827</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(49,179)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$ 37,292</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(1)</w:t>
            </w:r>
          </w:p>
        </w:tc>
        <w:tc>
          <w:tcPr>
            <w:tcW w:w="10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124,171</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8"/>
                <w:szCs w:val="18"/>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9"/>
              </w:rPr>
              <w:t>149,420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5"/>
              </w:rPr>
              <w:t>128,225</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21,195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124,707</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9"/>
              </w:rPr>
              <w:t>130,068</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5"/>
              </w:rPr>
              <w:t>124,301</w:t>
            </w:r>
          </w:p>
        </w:tc>
        <w:tc>
          <w:tcPr>
            <w:tcW w:w="7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8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5,767</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from</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(536)</w:t>
            </w:r>
          </w:p>
        </w:tc>
        <w:tc>
          <w:tcPr>
            <w:tcW w:w="78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35"/>
                <w:szCs w:val="35"/>
                <w:color w:val="auto"/>
                <w:vertAlign w:val="subscript"/>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19,352</w:t>
            </w:r>
          </w:p>
        </w:tc>
        <w:tc>
          <w:tcPr>
            <w:tcW w:w="78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6.8</w:t>
            </w:r>
            <w:r>
              <w:rPr>
                <w:rFonts w:ascii="Times New Roman" w:cs="Times New Roman" w:eastAsia="Times New Roman" w:hAnsi="Times New Roman"/>
                <w:sz w:val="35"/>
                <w:szCs w:val="35"/>
                <w:color w:val="auto"/>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3,924</w:t>
            </w:r>
          </w:p>
        </w:tc>
        <w:tc>
          <w:tcPr>
            <w:tcW w:w="78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35"/>
                <w:szCs w:val="35"/>
                <w:color w:val="auto"/>
                <w:vertAlign w:val="subscript"/>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 (19,888)</w:t>
            </w:r>
          </w:p>
        </w:tc>
        <w:tc>
          <w:tcPr>
            <w:tcW w:w="102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-102.8</w:t>
            </w:r>
            <w:r>
              <w:rPr>
                <w:rFonts w:ascii="Times New Roman" w:cs="Times New Roman" w:eastAsia="Times New Roman" w:hAnsi="Times New Roman"/>
                <w:sz w:val="35"/>
                <w:szCs w:val="35"/>
                <w:color w:val="auto"/>
                <w:vertAlign w:val="subscript"/>
              </w:rPr>
              <w:t>%</w:t>
            </w: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$ 15,428</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4"/>
        </w:trPr>
        <w:tc>
          <w:tcPr>
            <w:tcW w:w="21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1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at the segment level is considered a Non-GAAP financial measure due to the included effects of intercompany transactions. Refer to the reconciliation of segment results to consolidated results of operations presented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sales by major product category for the fiscal years ended November 25, 2023, November 26, 2022 and November 27, 2021were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Upholstery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134,000</w:t>
            </w:r>
          </w:p>
        </w:tc>
        <w:tc>
          <w:tcPr>
            <w:tcW w:w="3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163,755</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139,527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Bassett Leather</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1,951</w:t>
            </w: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1,707</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Bassett Custom Wood</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36,732</w:t>
            </w:r>
          </w:p>
        </w:tc>
        <w:tc>
          <w:tcPr>
            <w:tcW w:w="3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43,208</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30,931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Bassett Casegoods</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32,252</w:t>
            </w: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40,146</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42,658</w:t>
            </w: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Accessories, mattresses &amp; other (1)</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36,303</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34,485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3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235,940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285,119</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line="210" w:lineRule="exact"/>
              <w:rPr>
                <w:sz w:val="20"/>
                <w:szCs w:val="20"/>
                <w:color w:val="auto"/>
              </w:rPr>
            </w:pPr>
            <w:r>
              <w:rPr>
                <w:rFonts w:ascii="Times New Roman" w:cs="Times New Roman" w:eastAsia="Times New Roman" w:hAnsi="Times New Roman"/>
                <w:sz w:val="14"/>
                <w:szCs w:val="14"/>
                <w:color w:val="auto"/>
              </w:rPr>
              <w:t>100.0</w:t>
            </w:r>
            <w:r>
              <w:rPr>
                <w:rFonts w:ascii="Times New Roman" w:cs="Times New Roman" w:eastAsia="Times New Roman" w:hAnsi="Times New Roman"/>
                <w:sz w:val="24"/>
                <w:szCs w:val="24"/>
                <w:color w:val="auto"/>
                <w:vertAlign w:val="subscript"/>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247,827</w:t>
            </w: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right="10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as Compared to Fiscal 2022</w:t>
      </w:r>
    </w:p>
    <w:p>
      <w:pPr>
        <w:spacing w:after="0" w:line="22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Net sales for the year ended November 25, 2023 decreased $49,179 or approximately 17% from the prior year. Written sales (the value of sales orders taken but not delivered) declined 16% from fiscal 2022. Gross margins for the year ended November 25, 2023 increased by 20 basis points as compared to the prior year period as lower margins from store closure sales in the current year were offset by improved margins on in-line goods and lower unit costs as measured on a LIFO basis. SG&amp;A expenses as a percentage of sales for the year ended November 25, 2023 increased 730 basis points primarily due to decreased leverage of fixed costs from lower sales volumes.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Retail backlog at November 25, 2023 was $30,902 compared to $51,041 at November 26, 2022.</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78"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and Other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Revenues, costs and expenses of corporate and other for the fiscal years ended November 25, 2023, November 26, 2022 and November 27,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Comparative Change</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2022 vs 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7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8,804</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1,802</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1,802</w:t>
            </w: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4,802</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830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478.6%</w:t>
            </w:r>
          </w:p>
        </w:tc>
        <w:tc>
          <w:tcPr>
            <w:tcW w:w="14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830</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34,728</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31,827</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24,829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6,998</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2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Income (loss) from</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(29,926)</w:t>
            </w:r>
          </w:p>
        </w:tc>
        <w:tc>
          <w:tcPr>
            <w:tcW w:w="76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-12.7</w:t>
            </w:r>
            <w:r>
              <w:rPr>
                <w:rFonts w:ascii="Times New Roman" w:cs="Times New Roman" w:eastAsia="Times New Roman" w:hAnsi="Times New Roman"/>
                <w:sz w:val="35"/>
                <w:szCs w:val="35"/>
                <w:color w:val="auto"/>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97"/>
              </w:rPr>
              <w:t>(30,997)</w:t>
            </w:r>
          </w:p>
        </w:tc>
        <w:tc>
          <w:tcPr>
            <w:tcW w:w="74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35"/>
                <w:szCs w:val="35"/>
                <w:color w:val="auto"/>
                <w:vertAlign w:val="subscript"/>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97"/>
              </w:rPr>
              <w:t>(24,829)</w:t>
            </w:r>
          </w:p>
        </w:tc>
        <w:tc>
          <w:tcPr>
            <w:tcW w:w="740" w:type="dxa"/>
            <w:vAlign w:val="bottom"/>
            <w:gridSpan w:val="2"/>
            <w:vMerge w:val="restart"/>
          </w:tcPr>
          <w:p>
            <w:pPr>
              <w:jc w:val="right"/>
              <w:ind w:right="100"/>
              <w:spacing w:after="0" w:line="385" w:lineRule="exact"/>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35"/>
                <w:szCs w:val="35"/>
                <w:color w:val="auto"/>
                <w:vertAlign w:val="subscript"/>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60" w:type="dxa"/>
            <w:vAlign w:val="bottom"/>
            <w:gridSpan w:val="2"/>
            <w:vMerge w:val="restart"/>
          </w:tcPr>
          <w:p>
            <w:pPr>
              <w:jc w:val="right"/>
              <w:ind w:right="120"/>
              <w:spacing w:after="0" w:line="385" w:lineRule="exact"/>
              <w:rPr>
                <w:sz w:val="20"/>
                <w:szCs w:val="20"/>
                <w:color w:val="auto"/>
              </w:rPr>
            </w:pPr>
            <w:r>
              <w:rPr>
                <w:rFonts w:ascii="Times New Roman" w:cs="Times New Roman" w:eastAsia="Times New Roman" w:hAnsi="Times New Roman"/>
                <w:sz w:val="18"/>
                <w:szCs w:val="18"/>
                <w:color w:val="auto"/>
              </w:rPr>
              <w:t>3.5</w:t>
            </w:r>
            <w:r>
              <w:rPr>
                <w:rFonts w:ascii="Times New Roman" w:cs="Times New Roman" w:eastAsia="Times New Roman" w:hAnsi="Times New Roman"/>
                <w:sz w:val="35"/>
                <w:szCs w:val="35"/>
                <w:color w:val="auto"/>
                <w:vertAlign w:val="subscript"/>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(6,168)</w:t>
            </w:r>
          </w:p>
        </w:tc>
        <w:tc>
          <w:tcPr>
            <w:tcW w:w="8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4"/>
        </w:trPr>
        <w:tc>
          <w:tcPr>
            <w:tcW w:w="22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2023 as Compared to Fiscal 2022</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increases in sales and gross profit over the prior year period were due to the acquisition of Noa Home on September 2, 2022. The $2,901 increase in SG&amp;A expenses was primarily due to the addition of Noa Home, partially offset by lower corporate incentive compensation and other corporate overhead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2022 as Compared to Fiscal 2021</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increases in sales and gross profit over the prior year period were due to the acquisition of Noa Home on September 2, 2022. The $6,998 decrease in SG&amp;A expenses was primarily due to higher corporate overhead spending in 2022 including increased employee compensation costs and sales and marketing expenses, along with the fact that there was no SG&amp;A expense associated with Noa Home in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 - Logistical Services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Revenues, operating expenses and income from operations for our logistical services segment were as follows for the fiscal years ended November 25, 2023, November 26, 2022 and November 27,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Comparative Change</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2022 vs 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Logistical services 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16,776</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55,648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(38,872)</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Cost of logistical services</w:t>
            </w:r>
          </w:p>
        </w:tc>
        <w:tc>
          <w:tcPr>
            <w:tcW w:w="460" w:type="dxa"/>
            <w:vAlign w:val="bottom"/>
          </w:tcPr>
          <w:p>
            <w:pPr>
              <w:spacing w:after="0"/>
              <w:rPr>
                <w:sz w:val="18"/>
                <w:szCs w:val="18"/>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8"/>
                <w:szCs w:val="18"/>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15,001</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53,905</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(38,904)</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(260)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197</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9"/>
        </w:trPr>
        <w:tc>
          <w:tcPr>
            <w:tcW w:w="23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from discontinued</w:t>
            </w:r>
          </w:p>
        </w:tc>
        <w:tc>
          <w:tcPr>
            <w:tcW w:w="46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shd w:val="clear" w:color="auto" w:fill="CCEEFF"/>
          </w:tcPr>
          <w:p>
            <w:pPr>
              <w:jc w:val="right"/>
              <w:ind w:right="120"/>
              <w:spacing w:after="0" w:line="391" w:lineRule="exact"/>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35"/>
                <w:szCs w:val="35"/>
                <w:color w:val="auto"/>
                <w:vertAlign w:val="subscript"/>
              </w:rPr>
              <w:t>%</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1,712</w:t>
            </w:r>
          </w:p>
        </w:tc>
        <w:tc>
          <w:tcPr>
            <w:tcW w:w="880" w:type="dxa"/>
            <w:vAlign w:val="bottom"/>
            <w:gridSpan w:val="2"/>
            <w:vMerge w:val="restart"/>
            <w:shd w:val="clear" w:color="auto" w:fill="CCEEFF"/>
          </w:tcPr>
          <w:p>
            <w:pPr>
              <w:jc w:val="right"/>
              <w:ind w:right="120"/>
              <w:spacing w:after="0" w:line="391" w:lineRule="exact"/>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35"/>
                <w:szCs w:val="35"/>
                <w:color w:val="auto"/>
                <w:vertAlign w:val="subscript"/>
              </w:rPr>
              <w:t>%</w:t>
            </w:r>
          </w:p>
        </w:tc>
        <w:tc>
          <w:tcPr>
            <w:tcW w:w="24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1,483</w:t>
            </w:r>
          </w:p>
        </w:tc>
        <w:tc>
          <w:tcPr>
            <w:tcW w:w="880" w:type="dxa"/>
            <w:vAlign w:val="bottom"/>
            <w:gridSpan w:val="2"/>
            <w:vMerge w:val="restart"/>
            <w:shd w:val="clear" w:color="auto" w:fill="CCEEFF"/>
          </w:tcPr>
          <w:p>
            <w:pPr>
              <w:jc w:val="right"/>
              <w:ind w:right="120"/>
              <w:spacing w:after="0" w:line="391" w:lineRule="exact"/>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35"/>
                <w:szCs w:val="35"/>
                <w:color w:val="auto"/>
                <w:vertAlign w:val="subscript"/>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229</w:t>
            </w: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4"/>
        </w:trPr>
        <w:tc>
          <w:tcPr>
            <w:tcW w:w="23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operations</w:t>
            </w:r>
          </w:p>
        </w:tc>
        <w:tc>
          <w:tcPr>
            <w:tcW w:w="4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Analysis of Discontinued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Logistical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shown above represent the results of Zenith’s business transactions with third parties.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Zenith charged Bassett $9,121 for logistical services provided to our wholesale segment during the year ended November 26, 2022, and $31,329 and $26,967 for fiscal 2021 and 2020, respectively. These shipping and handling costs are included in selling, general and administrative expenses in the accompanying condensed consolidated statements of income. We entered into a service agreement with J.B. Hunt for the continuation of these services for a period of seven years following the sale of Zenith. Subsequent to the sale, we have incurred $26,125 and $27,604 of expense for the years ended November 25, 2023 and November 26, 2022, respectively, for the performance of logistical services by J.B. Hunt.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Items Affecting Net Income (Loss)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w w:val="99"/>
              </w:rPr>
              <w:t>Other items affecting net income (loss) for fiscal 2023 and 2022 are as follows:</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4"/>
                <w:szCs w:val="24"/>
                <w:color w:val="auto"/>
              </w:rPr>
            </w:pPr>
          </w:p>
        </w:tc>
      </w:tr>
      <w:tr>
        <w:trPr>
          <w:trHeight w:val="210"/>
        </w:trPr>
        <w:tc>
          <w:tcPr>
            <w:tcW w:w="1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2,528</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(2)</w:t>
            </w:r>
          </w:p>
        </w:tc>
        <w:tc>
          <w:tcPr>
            <w:tcW w:w="9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2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costs (3)</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112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(cost) of company-owned life insurance (4)</w:t>
            </w:r>
          </w:p>
        </w:tc>
        <w:tc>
          <w:tcPr>
            <w:tcW w:w="9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9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112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(729)</w:t>
            </w:r>
          </w:p>
        </w:tc>
      </w:tr>
      <w:tr>
        <w:trPr>
          <w:trHeight w:val="209"/>
        </w:trPr>
        <w:tc>
          <w:tcPr>
            <w:tcW w:w="1120" w:type="dxa"/>
            <w:vAlign w:val="bottom"/>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1120" w:type="dxa"/>
            <w:vAlign w:val="bottom"/>
          </w:tcPr>
          <w:p>
            <w:pPr>
              <w:spacing w:after="0"/>
              <w:rPr>
                <w:sz w:val="20"/>
                <w:szCs w:val="20"/>
                <w:color w:val="auto"/>
              </w:rPr>
            </w:pPr>
          </w:p>
        </w:tc>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loss, net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647</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r>
      <w:tr>
        <w:trPr>
          <w:trHeight w:val="20"/>
        </w:trPr>
        <w:tc>
          <w:tcPr>
            <w:tcW w:w="11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660" w:right="20" w:hanging="328"/>
        <w:spacing w:after="0" w:line="25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income arising from our short-term investments and interest-bearing cash equivalents. The increase in interest income for fiscal 2023 as compared with fiscal 2022 was due primarily to higher interest rates paid on certificates of deposit. See Note 4 to the Consolidated Financial Statements for additional information regarding our investments in certificates of deposit.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in fiscal 2023 and 2022 is attributable to finance leases for computer and office equipment. See Note 15 to the Consolidated Financial Statements for additional information regarding our leases.</w:t>
      </w:r>
    </w:p>
    <w:p>
      <w:pPr>
        <w:ind w:left="660" w:right="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net periodic pension costs not included in income from operations. See Note 10 to the Consolidated Financial Statements for additional information related to our defined benefit pension plans.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gain arising from death benefits from Company-owned life insurance of $1,441 in fiscal 2022.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income tax provision on pre-tax income from continuing operations of $683, $8,702, and $5,836 in fiscal 2023, 2022 and 2021, respectively. Our effective tax rate of (27.5%) for 2023 differs from the federal statutory rate of 21.0% due to the non-taxable goodwill impairment and non-taxable gain on revaluation of contingent consideration both of which are associated with the acquisition of Noa Home, increases in the valuation allowance placed on deferred tax assets resulting from pre-tax losses in foreign tax jurisdictions associated with Noa Home and the effects of state income taxes and various permanent differences. Our effective tax rate of 25.5% for 2022 differs from the federal statutory rate of 21.0% due to the effects of state income taxes and various permanent differences.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net deferred tax assets of $4,645 as of November 25, 2023, which, upon utilization, are expected to reduce our cash outlays for income taxes in future years. It will require approximately $18,000 of future taxable income to utilize our net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committed to maintaining a strong balance sheet in order to weather difficult industry conditions, to allow us to take advantage of opportunities as market conditions improve, and to execute our long-term retail strategies.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operations for the year ended November 25, 2023 was $18,724 compared to cash used in operations of $2,970 for the year ended November 26, 2022, representing an increase of $21,694 in cash flows from operations. Cash provided by the operating activities of our discontinued operations was $1,681 in fiscal 2022. Excluding the decline in operating cash flow from discontinued operations, cash flows from continuing operations increased $23,375 as compared to the prior year period. This increase was primarily the result of reductions in our inventory on hand partially offset by lower income from continuing operations and other changes in working capital.</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November 25, 2023, we spent $17,489 on purchases of property and equipment primarily consisting of expenditures related to our digital transformation project, upfit of the new Tampa, Florida store that opened January 12, 2024, the opening of the Inwood Village store in Dallas, Texas, the remodel of the Austin, Texas store and the remodeling of two other stores in the Dallas, Texas market. We also paid $5,982 in dividends during the year, a $14,180 decrease from 2022 as the prior year included a $1.50 per share special dividend. Finally, we repurchased 252,054 shares spending $4,176 during the current year, a $10,946 decrease compared to the prior period. As of November 25, 2023, $21,823 remains available for future purchases under our stock repurchase plan. With cash and cash equivalents and short-term investments totaling $70,182 on hand at November 25, 2023, expected future operating cash flows and the availability under our credit line noted below, we believe we have sufficient liquidity to fund operations for the foreseeable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and Other Obligations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Credit Facility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bank credit facility provides for a line of credit of up to $25,000. At November 25, 2023, we had $3,731 outstanding under standby letters of credit against our line, leaving availability under our credit line of $21,269. The line bears interest at the One-Month Term Secured Overnight Financing Rate (“One-Month Term SOFR”) plus 1.5% and is unsecured. Our bank charges a fee of 0.25% on the daily unused balance of the line, payable quarterly. Under the terms of the facility, we must maintain the following financial covenants, measured quarterly on a rolling twelve-month basis:</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1.4 times,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lease-adjusted leverage ratio not to exceed 3.0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tangible net worth of $140,000.</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our results of operations in 2023, we were not in compliance with certain of these covenants at the end of the year. Consequently, our bank agreed to reduce the consolidated fixed charge coverage ratio to 1.0 times and increase the consolidated lease-adjusted leverage ratio to 3.75 times, as defined, for the year ended November 25, 2023 and the quarter ended March 2, 2024. We were in compliance with the amended covenants at November 25, 2023 and expect to be in compliance at March 2, 2024. The respective ratios revert back to the previous values for the quarter ended June 1, 2024. We are in negotiations with our bank and plan to have an amended, restated or new agreement with a similar line of credit in place by the end of the second quarter of 2024.</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certain of our licensee-owned stores, and we lease land and buildings at various locations throughout the continental United States for warehouse space used in our retail segment. We also lease local delivery trucks used in our retail segment. The total future minimum lease payments for leases with terms in excess of one year at November 25, 2023 is $140,405 the present value of which is $116,529 and is included in our accompanying consolidated balance sheet at November 25, 2023. We were contingently liable under licensee lease obligation guarantees in the amount of $1,845 at November 25, 2023. The remaining terms under these lease guarantees range from approximately one to five years. See Note 15 to our consolidated financial statements for a schedule of future cash payments on our lease obligations and additional details regarding our leases and lease guarantees.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post-employment benefits to certain current and former executives and management level employees of the Company. Included among these benefits are two defined-benefit plans with a combined projected benefit obligation of $6,979 at November 25, 2023. See Note 10 to our consolidated financial statements for a projection of future benefit payments under these plans from 2024 through 2033. We also have deferred compensation plans with a total liability of $4,316 at November 25, 2023, the current portion of which is $329. See Note 10 to our consolidated financial statements for additional information regarding these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Share Repurchases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2023, we declared and paid four quarterly dividends totaling $5,982, or $0.68 per share. During fiscal 2023, we repurchased 252,054 shares of our stock for $4,176 under our share repurchase program. The weighted-average effect of these share repurchases on basic earnings per share from continuing operations was approximately $0.01 per share. On March 9, 2022, our Board of Directors increased the remaining limit of the repurchase plan to $40,000. The approximate dollar value that may yet be purchased pursuant to our stock repurchase program as of November 25, 2023 was $21,283.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anticipate that total capital expenditures for fiscal 2024 will be between $12 million and $14 million, which will be used for the for remodeling various retail stores and additional investments in information technology, including enhancements to our new website. Our capital expenditure and working capital requirements in the foreseeable future may change depending on many factors, including but not limited to the overall performance of the store program, our rate of growth, our operating results and any adjustments in our operating plan needed in response to industry conditions, competition or unexpected events. We believe that our existing cash, together with cash from operations, will be sufficient to meet our capital expenditure and working capital requirements for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account for items measured at fair value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820’s valuation techniques are based on observable and unobservable inputs. Observable inputs reflect readily obtainable data from independent sources, while unobservable inputs reflect our market assumptions. ASC 820 classifies these inputs into the following hierarchy: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 Inputs</w:t>
      </w:r>
      <w:r>
        <w:rPr>
          <w:rFonts w:ascii="Times New Roman" w:cs="Times New Roman" w:eastAsia="Times New Roman" w:hAnsi="Times New Roman"/>
          <w:sz w:val="18"/>
          <w:szCs w:val="18"/>
          <w:color w:val="auto"/>
        </w:rPr>
        <w:t>– Quoted prices for identical instruments in active markets.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Level 2 Inputs</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Inputs</w:t>
      </w:r>
      <w:r>
        <w:rPr>
          <w:rFonts w:ascii="Times New Roman" w:cs="Times New Roman" w:eastAsia="Times New Roman" w:hAnsi="Times New Roman"/>
          <w:sz w:val="18"/>
          <w:szCs w:val="18"/>
          <w:color w:val="auto"/>
        </w:rPr>
        <w:t>– Instruments with primarily unobservable value drivers.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carrying amounts of our current assets and current liabilities approximate fair value due to the short-term nature of these items. Our primary non-recurring fair value estimates, typically involving the valuation of business acquisitions (see Note 3 to the Consolidated Financial Statements), goodwill impairments (see Note 8 to the Consolidated Financial Statements) and asset impairments (see Note 14 to the Consolidated Financial Statements) have utilized Level 3 inputs.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stand-by letters of credit in the procurement of certain goods in the normal course of business. We lease land and buildings that are primarily used in the operation of our retail BHF stores and distribution facilities as well as certain manufacturing facilities in our upholstery operations. We have guaranteed certain lease obligations of licensee operators as part of our retail strategy. See Note 15 to the Consolidated Financial Statements, included in Item 8 of this Annual Report on Form 10-K, for further discussion of lease guarantees, including descriptions of the terms of such commitments and methods used to mitigate risks associated with these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involved in various claims and litigation as well as environmental matters, which arise in the normal course of business. Although the final outcome of these legal and environmental matters cannot be determined, based on the facts presently known, it is our opinion that the final resolution of these matters will not have a material adverse effect on our financial position or future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conformity with accounting principles generally accepted in the United States of America (“GAAP”) which requires that certain estimates and assumptions be made that affect the amounts and disclosures reported in those financial statements and the related accompanying notes. Actual results could differ from these estimates and assumptions. We use our best judgment in valuing these estimates and may, as warranted, solicit external advice. Estimates are based on current facts and circumstances, prior experience and other assumptions believed to be reasonable. The following critical accounting policies, some of which are impacted significantly by judgments, assumptions and estimates, affect our consolidated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We recognize revenue when we transfer promised goods to our customers in an amount that reflects the consideration that we expect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receive in exchange for those goods. For our wholesale and retail segments, revenue is recognized when the risks and rewards of ownership and title to the product have transferred to the buyer.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wholesale, transfer occurs and revenue is recognized upon the shipment of goods to independent dealers and licensee-owned BHF stores. We offer payment terms varying from 30 to 60 days for wholesale customers. Estimates for returns and allowances have been recorded as a reduction of revenue based on our historical return patterns. The contracts with our licensee store owners do not provide for any royalty or license fee to be paid to us.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retail, transfer occurs and revenue is recognized upon delivery of goods to the customer. We typically collect a significant portion of the purchase price as a customer deposit upon order, with the balance typically collected upon delivery. These deposits are carried on our balance sheet as a current liability until delivery is fulfilled and amounted to $22,788 and $35,963 as of November 25, 2023 and November 26, 2022, respectively. Substantially all of the customer deposits held at November 26, 2022 related to performance obligations satisfied during fiscal 2023 and have therefore been recognized in revenue for the year ended November 25, 2023. Estimates for returns and allowances have been recorded as a reduction of revenue based on our historical return patterns. We also sell furniture protection plans to our retail customers on behalf of a third party which is responsible for the performance obligations under the plans. Revenue from the sale of these plans is recognized upon delivery of the goods net of amounts payable to the third-party service provider.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 We maintain an allowance for credit losses for estimated losses resulting from the inability of our customers to make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Our accounts receivable reserves were $535 and $1,261 at November 25, 2023 and November 26, 2022, respectively, representing 3.7% and 6.6% of our gross accounts receivable balances at those dates, respectively. The allowance for credit losses is based on a review of specifically identified customer accounts in addition to an overall aging analysis which is applied to accounts pooled on the basis of similar risk characteristics. Judgments are made with respect to the collectibility of accounts receivable within each pool based on historical experience, current payment practices and current economic trends based on our expectations over the expected life of the receivables, which is generally ninety days or less. Although actual losses have not differed materially from our previous estimates, future losses could differ from our current estimates. Unforeseen events such as a licensee or customer bankruptcy filing could have a material impact on our results of operations.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accounted for under the first-in, first out (“FIFO”) method are stated at the lower of cost or net realizable value, and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under the last-in, first out method (“LIFO”) is stated at the lower of cost or market. Cost is determined for domestic furniture inventories, excluding outdoor furniture products, using the LIFO method. The cost of imported inventories, domestic outdoor furniture products and Noa Home product inventories is determined on a FIFO basis. We estimate an inventory reserve for excess quantities and obsolete items based on specific identification and historical write-offs, taking into account future demand and market conditions. Our reserves for excess and obsolete inventory were $5,183 and $5,167 at November 25, 2023 and November 26, 2022, respectively, representing 7.6% and 5.8%, respectively, of our inventories on a LIFO basis. If actual demand or market conditions in the future are less favorable than those estimated, additional inventory write-downs may be required.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Goodwill represents the excess of the fair value of consideration given over the fair value of the tangible assets and liabilities and identifiable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of businesses acquired. The acquisition of assets and liabilities and the resulting goodwill is allocated to the respective reporting unit: Wood, Upholstery, Retail – Company-Owned Stores, and Noa Home. We review goodwill at the reporting unit level annually for impairment or more frequently if events or circumstances indicate that assets might be impaired.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&amp; Other,</w:t>
      </w:r>
      <w:r>
        <w:rPr>
          <w:rFonts w:ascii="Times New Roman" w:cs="Times New Roman" w:eastAsia="Times New Roman" w:hAnsi="Times New Roman"/>
          <w:sz w:val="18"/>
          <w:szCs w:val="18"/>
          <w:color w:val="auto"/>
        </w:rPr>
        <w:t xml:space="preserve"> we first assess qualitative factors to determine whether it is more likely than not that the fair value of a reporting unit is less than its carrying amount as a basis for determining whether it is necessary to perform the quantitative goodwill impairment test described in ASC Topic 350 (as amended by Accounting Standards Update No. 2017-04,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and Other (Topic 350):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Simplifying the Test for Goodwill Impairment</w:t>
      </w:r>
      <w:r>
        <w:rPr>
          <w:rFonts w:ascii="Times New Roman" w:cs="Times New Roman" w:eastAsia="Times New Roman" w:hAnsi="Times New Roman"/>
          <w:sz w:val="18"/>
          <w:szCs w:val="18"/>
          <w:color w:val="auto"/>
        </w:rPr>
        <w:t>). The more likely than not threshold is defined as having a likelihood of more than 50 percent. If,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assessing the totality of events or circumstances, we determine that it is not more likely than not that the fair value of a reporting unit is less than its carrying amount, then performing the quantitative impairment test is unnecessary and our goodwill is considered to be unimpaired. However, if based on our qualitative assessment we conclude that it is more likely than not that the fair value of a reporting unit is less than its carrying amount, we will proceed with performing the quantitative evaluation process. For the annual test of goodwill performed as of the beginning of the fourth quarter of fiscal 2023, we performed the qualitative assessment as described above with respect to our upholstery reporting unit and concluded that there was no impairment of the goodwill allocated to that reporting unit as of November 25, 2023. For the annual test of the goodwill performed as of the beginning of the fourth quarter of fiscal 2023 with respect to our Noa Home reporting unit, we proceeded to the quantitative test and concluded that the goodwill allocated to that reporting unit as of November 25, 2023 was fully impaired as the difficult environment for companies selling furniture on the web resulted in Noa Home performing well below initial projections and expectations. For the annual test of goodwill performed as of the beginning of the fourth fiscal quarter of 2022, we performed the qualitative assessment as described above and concluded that there was no impairment of our goodwill as of November 26, 2022.</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charge will be recognized in the amount by which the reporting unit’s carrying amount exceeds its fair value, but not to exceed the total goodwill assigned to the reporting unit. The determination of the fair value of our reporting units is based on a combination of a market approach, that considers benchmark company market multiples,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and, in the case of our retail reporting unit, a cost approach that utilizes estimates of net asset value.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 While we believe such assumptions and estimates are reasonable, the actual results may differ materially from the projected amounts.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 Intangible assets acquired in a business combination and determined to have an indefinite useful life are not amortized but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tested for impairment annually or between annual tests when an impairment indicator exists. The recoverability of indefinite-lived intangible assets is assessed by comparison of the carrying value of the asset to its estimated fair value. If we determine that the carrying value of the asset exceeds its estimated fair value, an impairment loss equal to the excess would be recorded. At November 25, 2023, our indefinite-lived intangible assets other than goodwill consist of trade names acquired in the acquisitions of Lane Venture and Noa Home and have a carrying value of $8,675.</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Definite-lived intangible assets are amortized over their respective estimated useful lives and reviewed for impairment whenever events or changes in circumstances indicate that their carrying amounts may not be recoverable. We estimate the useful lives of our intangible assets and ratably amortize the value over the estimated useful lives of those assets. If the estimates of the useful lives should change, we will amortize the remaining book value over the remaining useful lives or, if an asset is deemed to be impaired, a write-down of the value of the asset may be required at such time. At November 25, 2023 our definite-lived intangible assets consist of customer relationships acquired in the acquisition of Lane Venture with a carrying value of $175.</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We periodically evaluate whether events or circumstances have occurred that indicate long-lived assets may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recoverable or that the remaining useful life may warrant revision. When such events or circumstances are present, we assess the recoverability of long-lived assets by determining whether the carrying value will be recovered through the expected undiscounted future cash flows resulting from the use of the asset. In the event the sum of the expected undiscounted future cash flows is less than the carrying value of the asset, an impairment loss equal to the excess of the asset’s carrying value over its fair value is recorded. When analyzing our real estate properties for potential impairment, we consider such qualitative factors as our experience in leasing and selling real estate properties as well as specific site and local market characteristics. Upon the closure of a Bassett Home Furnishings store, we generally write off all tenant improvements which are only suitable for use in such a store. Right of use assets under operating leases are written down to their estimated fair value. Our estimates of the fair value of the impaired right of use assets include estimates of discounted cash flows based upon current market rents and other inputs which we consider to be Level 3 inputs as specified in the fair value hierarchy in ASC Topic 820, Fair Value Measurement and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regarding the impact or potential impact of recent accounting pronouncements upon our financial position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color w:val="auto"/>
        </w:rPr>
        <w:t>QUANTITATIVE AND QUALITATIVE DISCLOSURES ABOUT MARKET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market risk from changes in the value of foreign currencies. Substantially all of our purchases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2023. We are also exposed to foreign currency market risk through our investment in Noa Home. Our investment in Noa Home is subject to changes in the value of the Canadian dollar versus the U.S. dollar. Additionally, Noa Home is exposed to other local currency fluctuation risk through its operations in Australia, Singapore, the United States and the United Kingdom. The impact of currency fluctuations on our financial position and results of operations since the acquisition of Noa Home on September 2, 2022 has not been significant.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the cost of raw materials used in our manufacturing processes, principally wood, woven fabric, and foam products. The cost of foam products, which are petroleum-based, is sensitive to changes in the price of oil.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potential exposure to market risk related to conditions in the commercial real estate market. Our retail real estate holdings of $24,279 and $21,164 at November 25, 2023 and November 26, 2022, respectively, for Company-owned stores, consisting of eight locations with a total of 203,465 square feet of space, could suffer significant impairment in value if we are forced to close additional stores and sell or lease the related properties during periods of weakness in certain markets. Additionally, if we are required to assume responsibility for payment under the lease obligations of $1,845 and $1,880 which we have guaranteed on behalf of licensees as of November 25, 2023 and November 26, 2022, respectively,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and warehouse facilities. At November 25, 2023, the unamortized balance of such right-of-use assets totaled $100,565. Should we have to close or otherwise abandon one of these leased locations, we could incur additional impairment charges if rental market conditions do not support a fair value for the right of use asset in excess of its carrying value.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color w:val="auto"/>
        </w:rPr>
        <w:t>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Bassett Furniture Industries, Incorporated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Bassett Furniture Industries, Incorporated and Subsidiaries (the Company) as of November 25, 2023 and November 26, 2022, the related consolidated statements of operations, comprehensive income (loss), stockholders' equity and cash flows for each of the three years in the period ended November 25,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November 25, 2023 and November 26, 2022, and the results of its operations and its cash flows for each of the three years in the period ended November 25, 2023,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November 25, 2023, based on criteria established in Internal Control-Integrated Framework issued by the Committee of Sponsoring Organizations of the Treadway Commission (2013 framework), and our report dated January 25,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Measurement of Reserves for Excess and Obsolete Inventories</w:t>
      </w:r>
    </w:p>
    <w:p>
      <w:pPr>
        <w:spacing w:after="0" w:line="2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b w:val="1"/>
          <w:bCs w:val="1"/>
          <w:i w:val="1"/>
          <w:iCs w:val="1"/>
          <w:color w:val="auto"/>
        </w:rPr>
        <w:t>Measurement of Reserves for Excess and Obsolete Inventories</w:t>
      </w:r>
    </w:p>
    <w:p>
      <w:pPr>
        <w:sectPr>
          <w:pgSz w:w="11900" w:h="16838" w:orient="portrait"/>
          <w:cols w:equalWidth="0" w:num="1">
            <w:col w:w="11180"/>
          </w:cols>
          <w:pgMar w:left="320" w:top="576" w:right="399" w:bottom="1440" w:gutter="0" w:footer="0" w:header="0"/>
        </w:sectPr>
      </w:pPr>
    </w:p>
    <w:p>
      <w:pPr>
        <w:spacing w:after="0" w:line="239" w:lineRule="exact"/>
        <w:rPr>
          <w:sz w:val="20"/>
          <w:szCs w:val="20"/>
          <w:color w:val="auto"/>
        </w:rPr>
      </w:pPr>
    </w:p>
    <w:p>
      <w:pPr>
        <w:ind w:left="6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November 25, 2023, the Company’s inventories were $63.0 million. As discussed in Note 2 and Note 6 to the consolidated financial statements, cost for domestic manufactured furniture inventories is determined using the last-in, first-out (“LIFO”) method and are stated at the lower of cost or market. The cost of imported inventories and domestic outdoor furniture products is determined using the first-in, first-out (“FIFO”) method and stated at the lower of cost or net realizable value. Reserves for excess and obsolete inventories are determined based upon historical write-offs, forecasted future demand, market conditions and, for domestic manufactured furniture, the respective valuations at LIFO.</w:t>
      </w:r>
    </w:p>
    <w:p>
      <w:pPr>
        <w:spacing w:after="0" w:line="187" w:lineRule="exact"/>
        <w:rPr>
          <w:sz w:val="20"/>
          <w:szCs w:val="20"/>
          <w:color w:val="auto"/>
        </w:rPr>
      </w:pPr>
    </w:p>
    <w:p>
      <w:pPr>
        <w:sectPr>
          <w:pgSz w:w="11900" w:h="16838" w:orient="portrait"/>
          <w:cols w:equalWidth="0" w:num="2">
            <w:col w:w="1360" w:space="380"/>
            <w:col w:w="9440"/>
          </w:cols>
          <w:pgMar w:left="320" w:top="576" w:right="399" w:bottom="1440" w:gutter="0" w:footer="0" w:header="0"/>
          <w:type w:val="continuous"/>
        </w:sectPr>
      </w:pPr>
    </w:p>
    <w:p>
      <w:pPr>
        <w:ind w:left="1740"/>
        <w:spacing w:after="0" w:line="282" w:lineRule="auto"/>
        <w:rPr>
          <w:sz w:val="20"/>
          <w:szCs w:val="20"/>
          <w:color w:val="auto"/>
        </w:rPr>
      </w:pPr>
      <w:r>
        <w:rPr>
          <w:rFonts w:ascii="Times New Roman" w:cs="Times New Roman" w:eastAsia="Times New Roman" w:hAnsi="Times New Roman"/>
          <w:sz w:val="18"/>
          <w:szCs w:val="18"/>
          <w:color w:val="auto"/>
        </w:rPr>
        <w:t>Auditing management’s lower of cost or net realizable value or market determination for excess or obsolete inventories was complex due to the highly judgmental nature and estimation uncertainty in determining future demand and market conditions.</w:t>
      </w:r>
    </w:p>
    <w:p>
      <w:pPr>
        <w:sectPr>
          <w:pgSz w:w="11900" w:h="16838" w:orient="portrait"/>
          <w:cols w:equalWidth="0" w:num="1">
            <w:col w:w="11180"/>
          </w:cols>
          <w:pgMar w:left="320" w:top="576" w:right="399" w:bottom="1440" w:gutter="0" w:footer="0" w:header="0"/>
          <w:type w:val="continuous"/>
        </w:sectPr>
      </w:pPr>
    </w:p>
    <w:p>
      <w:pPr>
        <w:spacing w:after="0" w:line="160" w:lineRule="exact"/>
        <w:rPr>
          <w:sz w:val="20"/>
          <w:szCs w:val="20"/>
          <w:color w:val="auto"/>
        </w:rPr>
      </w:pPr>
    </w:p>
    <w:p>
      <w:pPr>
        <w:ind w:left="60"/>
        <w:spacing w:after="0" w:line="290"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determination of the reserves for excess and obsolete inventories. For example, we tested controls over management’s review of the calculation of reserves for excess and obsolete inventories which included their review of the significant assumptions described above.</w:t>
      </w:r>
    </w:p>
    <w:p>
      <w:pPr>
        <w:spacing w:after="0" w:line="180" w:lineRule="exact"/>
        <w:rPr>
          <w:sz w:val="20"/>
          <w:szCs w:val="20"/>
          <w:color w:val="auto"/>
        </w:rPr>
      </w:pPr>
    </w:p>
    <w:p>
      <w:pPr>
        <w:sectPr>
          <w:pgSz w:w="11900" w:h="16838" w:orient="portrait"/>
          <w:cols w:equalWidth="0" w:num="2">
            <w:col w:w="1460" w:space="280"/>
            <w:col w:w="9440"/>
          </w:cols>
          <w:pgMar w:left="320" w:top="576" w:right="399" w:bottom="1440" w:gutter="0" w:footer="0" w:header="0"/>
          <w:type w:val="continuous"/>
        </w:sectPr>
      </w:pPr>
    </w:p>
    <w:p>
      <w:pPr>
        <w:jc w:val="both"/>
        <w:ind w:left="1740"/>
        <w:spacing w:after="0" w:line="255" w:lineRule="auto"/>
        <w:rPr>
          <w:sz w:val="20"/>
          <w:szCs w:val="20"/>
          <w:color w:val="auto"/>
        </w:rPr>
      </w:pPr>
      <w:r>
        <w:rPr>
          <w:rFonts w:ascii="Times New Roman" w:cs="Times New Roman" w:eastAsia="Times New Roman" w:hAnsi="Times New Roman"/>
          <w:sz w:val="18"/>
          <w:szCs w:val="18"/>
          <w:color w:val="auto"/>
        </w:rPr>
        <w:t>Our audit procedures to test the reserves for excess and obsolete inventories included, among others, testing the completeness and accuracy of the underlying data used in management’s analyses. We evaluated the reasonableness of management’s assumptions by performing a retrospective review of the prior year assumptions to actual activity, including write-off history. We held discussions with senior financial and operational management to determine whether any strategic or operational changes in the business would impact expected demand for or related carrying value of inventory. We also performed sensitivity analyses of significant assumptions to evaluate the impact that changes would have on the inventory reserves. We searched for and evaluated information that corroborated or contradicted the Company’s assumptions.</w:t>
      </w:r>
    </w:p>
    <w:p>
      <w:pPr>
        <w:sectPr>
          <w:pgSz w:w="11900" w:h="16838" w:orient="portrait"/>
          <w:cols w:equalWidth="0" w:num="1">
            <w:col w:w="11180"/>
          </w:cols>
          <w:pgMar w:left="320" w:top="576" w:right="399"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25, 2023 and November 26,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169"/>
        </w:trPr>
        <w:tc>
          <w:tcPr>
            <w:tcW w:w="80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61,625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17,715</w:t>
            </w:r>
          </w:p>
        </w:tc>
      </w:tr>
      <w:tr>
        <w:trPr>
          <w:trHeight w:val="198"/>
        </w:trPr>
        <w:tc>
          <w:tcPr>
            <w:tcW w:w="80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$535 and $1,261 as of November 25, 2023 and</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November 26, 2022, respectively</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17,838</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85,477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00" w:type="dxa"/>
            <w:vAlign w:val="bottom"/>
          </w:tcPr>
          <w:p>
            <w:pPr>
              <w:spacing w:after="0"/>
              <w:rPr>
                <w:sz w:val="18"/>
                <w:szCs w:val="18"/>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196,495</w:t>
            </w: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77,001</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99,472</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long-term assets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132,777</w:t>
            </w:r>
          </w:p>
        </w:tc>
        <w:tc>
          <w:tcPr>
            <w:tcW w:w="100" w:type="dxa"/>
            <w:vAlign w:val="bottom"/>
          </w:tcPr>
          <w:p>
            <w:pPr>
              <w:spacing w:after="0"/>
              <w:rPr>
                <w:sz w:val="18"/>
                <w:szCs w:val="18"/>
                <w:color w:val="auto"/>
              </w:rPr>
            </w:pPr>
          </w:p>
        </w:tc>
      </w:tr>
      <w:tr>
        <w:trPr>
          <w:trHeight w:val="24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370,424</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406,273</w:t>
            </w:r>
          </w:p>
        </w:tc>
      </w:tr>
      <w:tr>
        <w:trPr>
          <w:trHeight w:val="197"/>
        </w:trPr>
        <w:tc>
          <w:tcPr>
            <w:tcW w:w="48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20,359</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12,921</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18,819</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100,827</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9,954</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97,477</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109,093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109,837</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$5 par value; 50,000,000 shares authorized; issued and outstanding 8,768,221 at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November 25, 2023 and 8,951,839 at November 26, 2022</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43,842</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44,759</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139,354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150,800</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370,424</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406,273</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November 25, 2023, November 26, 2022, and November 27,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r>
      <w:tr>
        <w:trPr>
          <w:trHeight w:val="209"/>
        </w:trPr>
        <w:tc>
          <w:tcPr>
            <w:tcW w:w="5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390,136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485,601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430,886</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183,648</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237,262</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209,799</w:t>
            </w:r>
          </w:p>
        </w:tc>
      </w:tr>
      <w:tr>
        <w:trPr>
          <w:trHeight w:val="20"/>
        </w:trPr>
        <w:tc>
          <w:tcPr>
            <w:tcW w:w="5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206,488</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248,339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221,087</w:t>
            </w:r>
          </w:p>
        </w:tc>
      </w:tr>
      <w:tr>
        <w:trPr>
          <w:trHeight w:val="216"/>
        </w:trPr>
        <w:tc>
          <w:tcPr>
            <w:tcW w:w="5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205,227</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218,069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196,830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5,409</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4,595</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(3,135)</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34,865</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24,257</w:t>
            </w:r>
          </w:p>
        </w:tc>
      </w:tr>
      <w:tr>
        <w:trPr>
          <w:trHeight w:val="216"/>
        </w:trPr>
        <w:tc>
          <w:tcPr>
            <w:tcW w:w="5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2,528</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(1,859)</w:t>
            </w:r>
          </w:p>
        </w:tc>
        <w:tc>
          <w:tcPr>
            <w:tcW w:w="3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(1,067)</w:t>
            </w: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(1,515)</w:t>
            </w:r>
          </w:p>
        </w:tc>
      </w:tr>
      <w:tr>
        <w:trPr>
          <w:trHeight w:val="209"/>
        </w:trPr>
        <w:tc>
          <w:tcPr>
            <w:tcW w:w="5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(2,488)</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34,062</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22,757</w:t>
            </w:r>
          </w:p>
        </w:tc>
      </w:tr>
      <w:tr>
        <w:trPr>
          <w:trHeight w:val="216"/>
        </w:trPr>
        <w:tc>
          <w:tcPr>
            <w:tcW w:w="5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8,702</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5,836</w:t>
            </w:r>
          </w:p>
        </w:tc>
      </w:tr>
      <w:tr>
        <w:trPr>
          <w:trHeight w:val="209"/>
        </w:trPr>
        <w:tc>
          <w:tcPr>
            <w:tcW w:w="5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25,360</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16,921</w:t>
            </w:r>
          </w:p>
        </w:tc>
      </w:tr>
      <w:tr>
        <w:trPr>
          <w:trHeight w:val="216"/>
        </w:trPr>
        <w:tc>
          <w:tcPr>
            <w:tcW w:w="5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 of logistical services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1,483</w:t>
            </w: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52,534</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14,261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r>
      <w:tr>
        <w:trPr>
          <w:trHeight w:val="210"/>
        </w:trPr>
        <w:tc>
          <w:tcPr>
            <w:tcW w:w="5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39,985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1,121</w:t>
            </w:r>
          </w:p>
        </w:tc>
      </w:tr>
      <w:tr>
        <w:trPr>
          <w:trHeight w:val="210"/>
        </w:trPr>
        <w:tc>
          <w:tcPr>
            <w:tcW w:w="54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5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65,345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18,042</w:t>
            </w:r>
          </w:p>
        </w:tc>
      </w:tr>
      <w:tr>
        <w:trPr>
          <w:trHeight w:val="197"/>
        </w:trPr>
        <w:tc>
          <w:tcPr>
            <w:tcW w:w="54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54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5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5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r>
      <w:tr>
        <w:trPr>
          <w:trHeight w:val="197"/>
        </w:trPr>
        <w:tc>
          <w:tcPr>
            <w:tcW w:w="54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Regular dividends</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5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44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Special dividend</w:t>
            </w:r>
          </w:p>
        </w:tc>
        <w:tc>
          <w:tcPr>
            <w:tcW w:w="112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0.25</w:t>
            </w: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3" w:name="page34"/>
    <w:bookmarkEnd w:id="33"/>
    <w:p>
      <w:pPr>
        <w:jc w:val="center"/>
        <w:ind w:left="340" w:right="2360"/>
        <w:spacing w:after="0" w:line="265" w:lineRule="auto"/>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Bassett Furniture Industries, Incorporated and Subsidiaries For the years ended November 25, 2023, November 26, 2022, and November 27, 2021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65,345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18,042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foreign currency translation adjustments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adjustment to Long Term Cash Awards (LTCA)</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associated with LTCA</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related to LTCA</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Actuarial adjustment to supplemental executive retirement defined benefit plan</w:t>
            </w: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(SERP)</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associated with SERP</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related to SERP</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09"/>
        </w:trPr>
        <w:tc>
          <w:tcPr>
            <w:tcW w:w="6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r>
      <w:tr>
        <w:trPr>
          <w:trHeight w:val="210"/>
        </w:trPr>
        <w:tc>
          <w:tcPr>
            <w:tcW w:w="6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960" w:type="dxa"/>
            <w:vAlign w:val="bottom"/>
            <w:gridSpan w:val="2"/>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(3,069)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67,218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17,614</w:t>
            </w: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00" w:type="dxa"/>
            <w:vAlign w:val="bottom"/>
            <w:gridSpan w:val="9"/>
          </w:tcPr>
          <w:p>
            <w:pPr>
              <w:ind w:left="198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November 25, 2023, November 26, 2022, and November 27,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65,345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18,042</w:t>
            </w: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14,597</w:t>
            </w:r>
          </w:p>
        </w:tc>
      </w:tr>
      <w:tr>
        <w:trPr>
          <w:trHeight w:val="216"/>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goodwill impairment charge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 (gain) on disposals of property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2,969</w:t>
            </w: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w:t>
            </w:r>
          </w:p>
        </w:tc>
      </w:tr>
      <w:tr>
        <w:trPr>
          <w:trHeight w:val="216"/>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(5,828)</w:t>
            </w:r>
          </w:p>
        </w:tc>
      </w:tr>
      <w:tr>
        <w:trPr>
          <w:trHeight w:val="216"/>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(26,087)</w:t>
            </w:r>
          </w:p>
        </w:tc>
      </w:tr>
      <w:tr>
        <w:trPr>
          <w:trHeight w:val="216"/>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(2,241)</w:t>
            </w:r>
          </w:p>
        </w:tc>
      </w:tr>
      <w:tr>
        <w:trPr>
          <w:trHeight w:val="216"/>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26,243</w:t>
            </w:r>
          </w:p>
        </w:tc>
      </w:tr>
      <w:tr>
        <w:trPr>
          <w:trHeight w:val="216"/>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Customer deposits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(13,175)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11,730</w:t>
            </w:r>
          </w:p>
        </w:tc>
      </w:tr>
      <w:tr>
        <w:trPr>
          <w:trHeight w:val="216"/>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(9,188)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2,153</w:t>
            </w:r>
          </w:p>
        </w:tc>
      </w:tr>
      <w:tr>
        <w:trPr>
          <w:trHeight w:val="216"/>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(20,196)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(28,921)</w:t>
            </w: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14,563</w:t>
            </w:r>
          </w:p>
        </w:tc>
      </w:tr>
      <w:tr>
        <w:trPr>
          <w:trHeight w:val="209"/>
        </w:trPr>
        <w:tc>
          <w:tcPr>
            <w:tcW w:w="6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(17,489)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(10,750)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business acquisitions, net of cash acquired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disposition of discontinued operations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(1,203)</w:t>
            </w: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(17,763)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(11,571)</w:t>
            </w:r>
          </w:p>
        </w:tc>
      </w:tr>
      <w:tr>
        <w:trPr>
          <w:trHeight w:val="210"/>
        </w:trPr>
        <w:tc>
          <w:tcPr>
            <w:tcW w:w="6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(5,982)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(4,176)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(5,566)</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(1,348)</w:t>
            </w: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(14,417)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exchenge rate changes on cash and cash equivalents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(9,218)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(11,425)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45,799</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61,625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34,374</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5" w:name="page36"/>
    <w:bookmarkEnd w:id="35"/>
    <w:p>
      <w:pPr>
        <w:jc w:val="center"/>
        <w:ind w:left="340" w:right="2360"/>
        <w:spacing w:after="0" w:line="265"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Bassett Furniture Industries, Incorporated and Subsidiaries For the years ended November 25, 2023, November 26, 2022, and November 27, 2021 (In thousands, except share and per share data)</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19"/>
                <w:szCs w:val="19"/>
                <w:color w:val="auto"/>
              </w:rPr>
            </w:pPr>
          </w:p>
        </w:tc>
        <w:tc>
          <w:tcPr>
            <w:tcW w:w="244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20" w:type="dxa"/>
            <w:vAlign w:val="bottom"/>
          </w:tcPr>
          <w:p>
            <w:pPr>
              <w:spacing w:after="0"/>
              <w:rPr>
                <w:sz w:val="19"/>
                <w:szCs w:val="19"/>
                <w:color w:val="auto"/>
              </w:rPr>
            </w:pPr>
          </w:p>
        </w:tc>
        <w:tc>
          <w:tcPr>
            <w:tcW w:w="244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4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20" w:type="dxa"/>
            <w:vAlign w:val="bottom"/>
          </w:tcPr>
          <w:p>
            <w:pPr>
              <w:spacing w:after="0"/>
              <w:rPr>
                <w:sz w:val="18"/>
                <w:szCs w:val="18"/>
                <w:color w:val="auto"/>
              </w:rPr>
            </w:pPr>
          </w:p>
        </w:tc>
        <w:tc>
          <w:tcPr>
            <w:tcW w:w="122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1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28, 2020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9,942,787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109,710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158,030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18,042</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18,042</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defined benefit plan costs, net of</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3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Actuarial adjustments to defined benefit plans, net</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tax</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dividends ($0.53 per share)</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Special dividend ($0.25 per share)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(215,564)</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(4,432)</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(5,785)</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27, 2021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9,762,125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48,811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115,631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162,732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65,345</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65,345</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adjustments, net of</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198"/>
        </w:trPr>
        <w:tc>
          <w:tcPr>
            <w:tcW w:w="3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defined benefit plan costs, net of</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Actuarial adjustments to defined benefit plans, net</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tax</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1,885</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198"/>
        </w:trPr>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Cumulative effect of a change in accounting</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principle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dividends ($0.60 per share)</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(5,668)</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Special dividend ($1.50 per share)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(14,494)</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(14,494)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59,024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(869,310)</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(4,347)</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(10,014)</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26, 2022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8,951,839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44,759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195,609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(3,171)</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adjustments, net of</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198"/>
        </w:trPr>
        <w:tc>
          <w:tcPr>
            <w:tcW w:w="39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Amortization of defined benefit plan costs, net of</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8"/>
        </w:trPr>
        <w:tc>
          <w:tcPr>
            <w:tcW w:w="3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Actuarial adjustments to defined benefit plans, net</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tax</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 ($0.68 per share)</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(5,982)</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(258,039)</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November 25, 2023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8,768,221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139,354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183,441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140" w:type="dxa"/>
            <w:vAlign w:val="bottom"/>
            <w:gridSpan w:val="15"/>
          </w:tcPr>
          <w:p>
            <w:pPr>
              <w:jc w:val="center"/>
              <w:ind w:left="1010"/>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36" w:name="page37"/>
    <w:bookmarkEnd w:id="36"/>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Bassett Furniture Industries, Incorporated (together with its consolidated subsidiaries, “Bassett”, “we”, “our”, the “Company”) based in Bassett, Virginia, is a leading manufacturer, marketer and retailer of branded home furnishings. Bassett’s full range of furniture products and accessories, designed to provide quality, style and value, are sold through an exclusive nation-wide network of 87 retail stores known as Bassett Home Furnishings (referred to as “BHF”). Of the 87 stores, the Company owns and operates 56 stores (“Company-owned retail stores”) with the other 31 being independently owned (“licensee operated”). We also distribute our products through other multi-line furniture stores, many of which feature Bassett galleries or design centers. Products can also be purchased by the end consumer directly from our website.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sourced approximately 23% of our wholesale products from various foreign countries, with the remaining volume produced at our five domestic manufacturing facilities.</w:t>
      </w:r>
    </w:p>
    <w:p>
      <w:pPr>
        <w:spacing w:after="0" w:line="200" w:lineRule="exact"/>
        <w:rPr>
          <w:sz w:val="20"/>
          <w:szCs w:val="20"/>
          <w:color w:val="auto"/>
        </w:rPr>
      </w:pPr>
    </w:p>
    <w:p>
      <w:pPr>
        <w:spacing w:after="0" w:line="201"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 and Principles of Consolidation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Bassett Furniture Industries, Incorporated and our majority-owned subsidiaries in which we have a controlling interest. All significant intercompany balances and transactions are eliminated in consolidation. The financial statements have been prepared in accordance with generally accepted accounting principles in the United States ("GAAP"). Unless otherwise indicated, references in the Consolidated Financial Statements to fiscal 2023, 2022 and 2021 are to Bassett's fiscal year ended November 25, 2023, November 26, 2022 and November 27, 2021, respectively. References to the “ASC” included hereinafter refer to the Accounting Standards Codification established by the Financial Accounting Standards Board as the source of authoritative GAAP.</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analyzed our licensees under the requirements for variable interest entities (“VIEs”). All of these licensees operate as BHF stores and are furniture retailers. We sell furniture to these licensees, and in some cases have extended credit beyond normal terms, made lease guarantees, guaranteed loans, or loaned directly to the licensees. We have recorded reserves for potential exposures related to these licensees. See Note 15 for disclosure of leases and lease guarantees. Based on financial projections and best available information, all licensees have sufficient equity to carry out their principal operating activities without subordinated financial support. Furthermore, we believe that the power to direct the activities that most significantly impact the licensees’ operating performance continues to lie with the ownership of the licensee dealers. Our rights to assume control over or otherwise influence the licensees’ significant activities only exist pursuant to our license and security agreements and are in the nature of protective rights as contemplated under ASC Topic</w:t>
      </w:r>
    </w:p>
    <w:p>
      <w:pPr>
        <w:spacing w:after="0" w:line="3" w:lineRule="exact"/>
        <w:rPr>
          <w:sz w:val="20"/>
          <w:szCs w:val="20"/>
          <w:color w:val="auto"/>
        </w:rPr>
      </w:pPr>
    </w:p>
    <w:p>
      <w:pPr>
        <w:ind w:right="20" w:firstLine="8"/>
        <w:spacing w:after="0" w:line="260" w:lineRule="auto"/>
        <w:tabs>
          <w:tab w:leader="none" w:pos="3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our assessment for other potential VIEs and concluded that there were none. We will continue to reassess the status of potential VIEs including when facts and circumstances surrounding each potential VIE change.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and third quarters of fiscal 2022, we were the primary beneficiary of one VIE by virtue of our control over the activities that most significantly impacted the entity’s economic performance. This VIE was created to affect a Section 1031 like-kind exchange involving the purchase of real property in the state of Florida and the sale of real property in the state of Texas (see Note 14). Subsequent to the completion of the exchange transactions during the third quarter of fiscal 2022, the sole equity interest in the VIE was transferred to Bassett and the entity is now consolidated as a wholly owned subsidiary.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2022, we entered into a definitive agreement to sell substantially all of the assets of our wholly-owned subsidiary, Zenith Freight Lines, LLC (“Zenith”) to J.B. Hunt Transport Services, Inc. (“J.B. Hunt”). The sale was completed on February 28, 2022. Accordingly, the operations of our logistical services segment as well as the gain realized upon disposal are presented in the accompanying condensed consolidated statements of income as discontinued operations. See Note 18 for additional information. Costs incurred by Bassett for logistical services performed for Bassett by Zenith are included in selling, general and administrative 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 2022, we acquired 100% of the capital stock of Noa Home Inc. (“Noa Home”), a mid-priced e-commerce furniture retailer headquartered in Montreal, Canada. Noa Home has operations in Canada, Australia, Singapore and the United Kingdom. Since acquisition, Noa Home has been consolidated as a wholly-owned subsidiary. See Note 3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Estimates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liabilities at the date of the financial statements and the reported amounts of revenues and expenses during the reporting period. Some of the more significant estimates include allowances for doubtful accounts, calculation of inventory reserves, the valuation of our reporting units for the purpose of testing the carrying value of goodwill, and the valuation of our right of use assets. We also utilize estimates in determining the valuation of income tax reserves, lease guarantees, insurance reserves, and assumptions related to our post-employment benefit obligations. Actual results could differ from those estimates.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Topic 606, Revenue from Contracts with Customers, requires a company to recognize revenue when it transfers promised goods or services to customers in an amount that reflects the consideration the company expects to receive in exchange for those goods or services. For our wholesale and retail segments, revenue is recognized when the risks and rewards of ownership and title to the product have transferred to the buyer.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wholesale, transfer occurs and revenue is recognized upon the shipment of goods to independent dealers and licensee-owned BHF stores. We offer payment terms varying from 30 to 60 days for wholesale customers. Estimates for returns and allowances have been recorded as a reduction of revenue based on our historical return patterns. The contracts with our licensee store owners do not provide for any royalty or license fee to be paid to 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retail, transfer occurs and revenue is recognized upon delivery of goods to the customer. We typically collect a significant portion of the purchase price as a customer deposit upon order, with the balance typically collected upon delivery. These deposits are carried on our balance sheet as a current liability until delivery is fulfilled and amounted to $22,788 and $35,963 as of November 25, 2023 and November 26, 2022, respectively. Substantially all of the customer deposits held at November 26, 2022 related to performance obligations were satisfied during fiscal 2023 and have therefore been recognized in revenue for the year ended November 25, 2023. Estimates for returns and allowances have been recorded as a reduction of revenue based on our historical return patterns. The estimate for returns and allowances was $4,883 and $6,559 at November 25, 2023 and November 26, 2022, respectively, and is included with other accrued liabilities in the accompanying balance sheets. We also sell furniture protection plans to our retail customers on behalf of a third party which is responsible for the performance obligations under the plans. Revenue from the sale of these plans is recognized upon delivery of the goods net of amounts payable to the third-party service provider.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November 25, 2023 and November 26, 2022, our balance of prepaid commissions included in other current assets was $2,245 and $3,768,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accounting and reporting under ASC 606, we apply the following policy elections and practical expedients:</w:t>
      </w:r>
    </w:p>
    <w:p>
      <w:pPr>
        <w:spacing w:after="0" w:line="2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exclude from revenue amounts collected from customers for sales tax.</w:t>
      </w:r>
    </w:p>
    <w:p>
      <w:pPr>
        <w:spacing w:after="0" w:line="17"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adjust the promised amount of consideration for the effects of a significant financing component since the period of time between transfer of our goods or services and the collection of consideration from the customer is less than one year.</w:t>
      </w:r>
    </w:p>
    <w:p>
      <w:pPr>
        <w:ind w:left="660" w:hanging="328"/>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disclose the value of unsatisfied performance obligations because the transfer of goods or services is made within one year of the placement of customer orders.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20 for disaggregated revenue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and Short-Term Investments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cash on hand, demand deposits in banks and all highly liquid investments with an original maturity of three months or less to be cash and cash equivalents. Our short-term investments consist of certificates of deposit that have original maturities of twelve months or less but greater than three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trade accounts receivable is due from customers located within the United States. 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collectibility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Concentrations of Credit Risk and Major Customers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subject us to credit risk consist primarily of investments, accounts and notes receivable and financial guarantees. Investments are managed within established guidelines to mitigate risks. Accounts and notes receivable and financial guarantees subject us to credit risk partially due to the concentration of amounts due from and guaranteed on behalf of independent licensee customers. At November 25, 2023 and November 26, 2022, our aggregate exposure from receivables and guarantees related to customers consisted of the following:</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of allowances (Note 5)</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17,838</w:t>
            </w:r>
          </w:p>
        </w:tc>
      </w:tr>
      <w:tr>
        <w:trPr>
          <w:trHeight w:val="198"/>
        </w:trPr>
        <w:tc>
          <w:tcPr>
            <w:tcW w:w="5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Contingent obligations under lease and loan guarantees, less amounts</w:t>
            </w: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recognized (Note 15)</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1,828</w:t>
            </w:r>
          </w:p>
        </w:tc>
      </w:tr>
      <w:tr>
        <w:trPr>
          <w:trHeight w:val="216"/>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credit risk exposure related to customers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19,709</w:t>
            </w:r>
          </w:p>
        </w:tc>
      </w:tr>
      <w:tr>
        <w:trPr>
          <w:trHeight w:val="20"/>
        </w:trPr>
        <w:tc>
          <w:tcPr>
            <w:tcW w:w="5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November 25, 2023 and November 26, 2022, approximately 35% and 31%, respectively, of the aggregate risk exposure, net of reserves, shown above was attributable to five customers. In fiscal 2023, 2022 and 2021, no customer accounted for more than 10% of total consolidated net sales.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foreign manufacturing operations. We define export sales from our wholesale segment as sales to any country or territory other than the United States or its territories or possessions. Our wholesale export sales were approximately $406, $731, and $488 in fiscal 2023, 2022, and 2021, respectively. All of our export sales are invoiced and settled in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Inventories (retail merchandise, finished goods, work in process and raw materials) accounted for under the first-in, first out (“FIFO”) method are stated at the lower of cost or net realizable value or, in the case of inventory accounted for under the last-in, first out (“LIFO”) method, at the lower of cost or market. Cost is determined for domestic manufactured furniture inventories using the LIFO method because we believe this methodology provides better matching of revenue and expenses. The cost of imported inventories as well as Lane Venture, Bassett Outdoor and Noa Home product inventories are determined on a first-in, first-out (“FIFO”) basis. Inventories accounted for under the LIFO method represented 51% and 46% of total inventory before reserves at November 25, 2023 and November 26, 2022, respectively. We estimate inventory reserves for excess quantities and obsolete items based on specific identification and historical write-offs, taking into account future demand and market conditions. If actual demand or market conditions in the future are less favorable than those estimated, additional inventory write-downs may be required.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is comprised of all land, buildings and leasehold improvements and machinery and equipment used in the manufacturing and warehousing of furniture, our Company-owned retail operations, our logistical services operations, and corporate administration. This property and equipment is stated at cost less accumulated depreciation. Depreciation is computed over the estimated useful lives of the respective assets utilizing the straight-line method. Buildings and improvements are generally depreciated over a period of 10 to 39 years. Machinery and equipment are generally depreciated over a period of 5 to 10 years. Leasehold improvements are amortized based on the underlying lease term, or the asset’s estimated useful life, whichever is shorter.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fair value of consideration given over the fair value of the tangible assets and liabilities and identifiable intangible assets of businesses acquired. The acquisition of assets and liabilities and the resulting goodwill is allocated to the respective reporting unit: Wood, Upholstery, Retail or Noa Home. We review goodwill at the reporting unit level annually for impairment or more frequently if events or circumstances indicate that assets might be impaired.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Goodwill &amp; Other,</w:t>
      </w:r>
      <w:r>
        <w:rPr>
          <w:rFonts w:ascii="Times New Roman" w:cs="Times New Roman" w:eastAsia="Times New Roman" w:hAnsi="Times New Roman"/>
          <w:sz w:val="18"/>
          <w:szCs w:val="18"/>
          <w:color w:val="auto"/>
        </w:rPr>
        <w:t xml:space="preserve"> we first assess qualitative factors to determine whether it is more likely than not that the fair value of a reporting unit is less than its carrying amount as a basis for determining whether it is necessary to perform the quantitative goodwill impairment test described in ASC Topic 350. The more likely than not threshold is defined as having a likelihood of more than 50 percent. If, after assessing the totality of events or circumstances, we determine that it is not more likely than not that the fair value of a reporting unit is less than its carrying amount, then performing the quantitative impairment test is unnecessary and our goodwill is considered to be unimpaired. However, if based on our qualitative assessment we conclude that it is more likely than not that the fair value of a reporting unit is less than its carrying amount, we will proceed with performing the quantitative evaluation process. For the annual test of goodwill performed as of the beginning of the fourth quarter of fiscal 2023, we performed the qualitative assessment as described above with respect to our upholstery reporting unit and concluded that there was no impairment of the goodwill allocated to that reporting unit as of November 25, 2023. For the annual test of the goodwill performed as of the beginning of the fourth quarter of fiscal 2023 with respect to our Noa Home reporting unit, we proceeded to the quantitative test and concluded that the goodwill allocated to that reporting unit as of November 25, 2023 was fully impaired. For the annual tests of goodwill performed as of the beginning of the fourth fiscal quarters of 2022 and 2021, we performed the qualitative assessment as described above and concluded that there was no impairment of our goodwill as of November 26, 2022 or November 27, 2021.</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charge will be recognized in the amount by which the reporting unit’s carrying amount exceeds its fair value, but not to exceed the total goodwill assigned to the reporting unit. The determination of the fair value of our reporting units is based on a combination of a market approach, that considers benchmark company market multiples,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xml:space="preserve"> (see Note 4), and, in the case of our retail reporting unit, a cost approach that utilizes estimates of net asset value.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 While we believe such assumptions and estimates are reasonable, the actual results may differ materially from the projected amounts. See Note 8 for additional information regarding the results of our goodwill impairment test performed as of the beginning of the fourth quarter of fiscal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as of the beginning of fiscal 2020, we adopted ASU 2016-02, Leases (Topic 842) and all related amendments. The guidance requires lessees to recognize substantially all leases on their balance sheet as a right-of-use (“ROU”) asset and a lease liability.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land and buildings that are used in the operation of our Company-owned retail stores as well as in the operation of certain of our licensee-owned stores, and we lease land and buildings at various locations throughout the continental United States for warehouse space used in our retail segment. We also lease local delivery trucks used in our retail segment. We determine if a contract contains a lease at inception based on our right to control the use of an identified asset and our right to obtain substantially all of the economic benefits from the use of that identified asset. Our real estate lease terms range from one to 15 years and generally have renewal options of between five and 15 years. We assess these options to determine if we are reasonably certain of exercising these options based on all relevant economic and financial factors. Any options that meet this criteria are included in the lease term at lease commencement.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leases do not have an interest rate implicit in the lease. As a result, for purposes of measuring our ROU asset and lease liability, we determine our incremental borrowing rate by applying a spread above the U.S. Treasury borrowing rates. In the case an interest rate is implicit in a lease we will use that rate as the discount rate for that lease. Some of our leases contain variable rent payments based on a Consumer Price Index or percentage of sales. Due to the variable nature of these costs, they are not included in the measurement of the ROU asset and lease liability.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adopted the standard utilizing the transition election to not restate comparative periods for the impact of adopting the standard and recognizing the cumulative impact of adoption in the opening balance of retained earnings. We elected the package of transition expedients available for expired or existing contracts, which allowed the carry-forward of historical assessments of (1) whether contracts are or contain leases, (2) lease classification and (3) initial direct costs. In addition, we have elected the practical expedient to not separate lease and non-lease components when determining the ROU asset and lease liability and have elected the practical expedient related to land easements, allowing us to carry forward our accounting treatment for land easements on existing agreements. We have also elected the hindsight practical expedient to determine the lease term for existing leases. In our application of hindsight, we evaluated the performance of the leased stores and the associated markets in relation to our overall real estate strategies, which resulted in the determination that most renewal options would not be reasonably certain in determining the expected lease term. We have made an accounting policy election to not recognize ROU assets and lease liabilities on the balance sheet for those leases with initial terms of one year or less and instead such lease obligations will be expensed on a straight-line basis over the lease term.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See Note 15 for additional information regarding our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acquired in a business combination and determined to have an indefinite useful life are not amortized but are tested for impairment annually or between annual tests when an impairment indicator exists. The recoverability of indefinite-lived intangible assets is assessed by comparison of the carrying value of the asset to its estimated fair value. If we determine that the carrying value of the asset exceeds its estimated fair value, an impairment loss equal to the excess would be recorded.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Definite-lived intangible assets are amortized over their respective estimated useful lives and reviewed for impairment whenever events or changes in circumstances indicate that their carrying amounts may not be recoverable. We estimate the useful lives of our intangible assets and ratably amortize the value over the estimated useful lives of those assets. If the estimates of the useful lives should change, we will amortize the remaining book value over the remaining useful lives or, if an asset is deemed to be impaired, a write-down of the value of the asset may be required at such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Long Lived Assets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periodically evaluate whether events or circumstances have occurred that indicate long-lived assets may not be recoverable or that the remaining useful life may warrant revision. When such events or circumstances are present, we assess the recoverability of long-lived assets by determining whether the carrying value will be recovered through the expected undiscounted future cash flows resulting from the use and eventual disposition of the asset. In the event the sum of the expected undiscounted future cash flows is less than the carrying value of the asset, an impairment loss equal to the excess of the asset’s carrying value over its fair value is recorded. Fair value is determined based on discounted cash flows or appraised values depending on the nature of the assets. The long-term nature of these assets requires the estimation of cash inflows and outflows several years into the future.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analyzing our real estate properties for potential impairment, we consider such qualitative factors as our experience in leasing and selling real estate properties as well as specific site and local market characteristics. Upon the closure of a Bassett Home Furnishings store, we generally write off all tenant improvements which are only suitable for use in such a store. ROU assets under operating leases are written down to their estimated fair value. Our estimates of the fair value of the impaired ROU assets included estimates of discounted cash flows based upon current market rents and other inputs which we consider to be Level 3 inputs as specified in the fair value hierarchy in ASC Topic 820, Fair Value Measurement and Disclosure (see Note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liability method which requires that we recognize deferred tax assets and liabilities for the future tax consequences attributable to differences between the financial statement carrying amount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Despite our belief that our liability for unrecognized tax benefits is adequate, it is often difficult to predict the final outcome or the timing of the resolution of any particular tax matters. We may adjust these liabilities as relevant circumstances evolve, such as guidance from the relevant tax authority or our tax advisors, or resolution of issues in the courts. These adjustments are recognized as a component of income tax expense in the period in which they are identified.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our deferred income tax assets to determine if valuation allowances are required or should be adjusted. A valuation allowance is established against our deferred tax assets based on consideration of all available evidence, both positive and negative, using a “more likely than not” standard. This assessment considers, among other matters, the nature, frequency and severity of recent losses, forecasts of future profitability, the duration of statutory carryforward or carryback periods, our experience with tax attributes expiring unused and tax planning alternatives. In making such judgments, significant weight is given to evidence that can be objectively verified. See Note 13 for additional information regarding our income taxes.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Shipping and Handling Costs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incurred to deliver wholesale merchandise to customers are recorded in selling, general and administrative expense and totaled $26,125, $33,029, and $27,122 for fiscal 2023, 2022 and 2021, respectively. The amounts for fiscal 2022 and 2021 have been revised for comparability with the fiscal 2023 presentation of wholesale shipping and handling costs, which reflects a broader scope of such items. Costs incurred to deliver retail merchandise to customers, including the cost of operating regional distribution warehouses, are also recorded in selling, general and administrative expense and totaled $23,399, $23,812, and $22,494 for fiscal 2023, 2022 and 2021,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incurred for producing and distributing advertising and advertising materials are expensed when incurred and are included in selling, general and administrative expenses. Advertising costs totaled $19,106, $16,698, and $15,228 in fiscal 2023, 2022, and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Reserves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self-funded insurance programs in place to cover workers’ compensation and health insurance. These insurance programs are subject to various stop-loss limitations. We accrue estimated losses using historical loss experience. Although we believe that the insurance reserves are adequate, the reserve estimates are based on historical experience, which may not be indicative of current and future losses. We adjust insurance reserves, as needed, in the event that future loss experience differs from historical loss patterns.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supplemental lease disclosures in Note 15 for cash flow impacts of leasing transactions during fiscal 2023, 2022 and 2021. Otherwise, there were no material non-cash investing or financing activities during fiscal 2023, 2022 or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Pronouncements Not Yet Adopted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2021, the FASB issued Accounting Standards Update No. 2021-08– Business Combinations (Topic 805) Accounting for Contract Assets and Contract Liabilities from Contracts with Customers, to improve the accounting for acquired revenue contracts with customers in a business combination by addressing diversity in practice and inconsistency related to the recognition of an acquired contract liability and to payment terms and their effect on subsequent revenue recognized by the acquirer. The amendments in ASU 2021-08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amendments in ASU 2021-08 will become effective for us as of the beginning of our 2024 fiscal year. Early adoption is permitted, including adoption in any interim period. We do not expect that this guidance will have a material impact upon our financial position and results of operations.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2022, the FASB issued Accounting Standards Update No. 2022-02 – Financial Instruments – Credit Losses (Topic 326): Troubled Debt Restructurings and Vintage Disclosures, to address certain concerns identified in the Post-Implementation Review process for ASU Topic 326. The amendments in ASU 2022-02 eliminate the accounting guidance for troubled debt restructurings by creditors in ASC Subtopic 310-40, Receivables – Troubled Debt Restructurings by Creditors, while enhancing disclosure requirements for certain loan refinancings and restructurings by creditors when a borrower is experiencing financial difficulty. In addition, for public business entities, the amendments in ASU 2022-02 require that an entity disclose current-period gross write-offs by year of origination for financing receivables and net investments in leases within the scope of ASC Subtopic 326-20, Financial Instruments – Credit Losses – Measured at Amortized Cost. The amendments in ASU 2022-02 will become effective for us as of the beginning of our 2024 fiscal year. Early adoption is permitted. We expect that the adoption of this standard will primarily impact our disclosures but do not expect that this guidance will have a material impact upon our financial position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18"/>
          <w:szCs w:val="18"/>
          <w:color w:val="auto"/>
        </w:rPr>
        <w:t>In June 2022, the FASB issued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The amendments in ASU 2022-03 will become effective for us as of the beginning of our 2025 fiscal year. Early adoption is permitted. As of November 25, 2023 we do not hold any investments in equity securities, therefore we do not currently expect that this guidance will have a material impact upon our financial position and results of operations.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2022-03 will become effective for us as of the beginning of our 2026 fiscal year. Early adoption is permitted for annual financial statements that have not yet been issued or made available for issuance. We do not expect that this guidance will have a material impact upon our financial position and results of operations.</w:t>
      </w:r>
    </w:p>
    <w:p>
      <w:pPr>
        <w:spacing w:after="0" w:line="200" w:lineRule="exact"/>
        <w:rPr>
          <w:sz w:val="20"/>
          <w:szCs w:val="20"/>
          <w:color w:val="auto"/>
        </w:rPr>
      </w:pPr>
    </w:p>
    <w:p>
      <w:pPr>
        <w:spacing w:after="0" w:line="226"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 2022, we acquired 100% of the capital stock of Noa Home, a mid-priced e-commerce furniture retailer headquartered in Montreal, Canada. Noa Home has operations in Canada, Australia, Singapore and the United Kingdom. The initial purchase price (denominated in Canadian dollars) of approximately C$7,700 included cash payments of C$2,000 paid to the co-founders of Noa Home and approximately C$5,700 for the repayment of existing debt owed by Noa Home. Per the terms of the agreement at the acquisition date, the Noa Home co-founders also had the opportunity to receive additional cash payments totaling approximately C$1,330 per year for the three fiscal years following the year of acquisition based on established increases in net revenues and achieving certain internal EBITDA goals.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acquisition method of accounting, the fair value of the consideration transferred was allocated to the tangible and intangible assets acquired and the liabilities assumed based on their estimated fair values as of the acquisition date with the remaining unallocated amount recorded as goodwill. The allocation of the purchase price (translated into U.S. dollars as of the acquisition date)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 in exchange for 100% of Noa Home:</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8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5,878</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of contingent consideration payable</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w:t>
            </w:r>
          </w:p>
        </w:tc>
        <w:tc>
          <w:tcPr>
            <w:tcW w:w="10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fair value of consideration paid or payable</w:t>
            </w:r>
          </w:p>
        </w:tc>
        <w:tc>
          <w:tcPr>
            <w:tcW w:w="12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7,253</w:t>
            </w:r>
          </w:p>
        </w:tc>
        <w:tc>
          <w:tcPr>
            <w:tcW w:w="10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67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Allocation of the fair value of consideration transferred:</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 acquired:</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8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&amp; equipment</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 - trade name</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1,929</w:t>
            </w:r>
          </w:p>
        </w:tc>
        <w:tc>
          <w:tcPr>
            <w:tcW w:w="10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4,282</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(1,227)</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c>
          <w:tcPr>
            <w:tcW w:w="10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(2,744)</w:t>
            </w:r>
          </w:p>
        </w:tc>
        <w:tc>
          <w:tcPr>
            <w:tcW w:w="10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1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1,538</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5,715</w:t>
            </w:r>
          </w:p>
        </w:tc>
        <w:tc>
          <w:tcPr>
            <w:tcW w:w="10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49"/>
        </w:trPr>
        <w:tc>
          <w:tcPr>
            <w:tcW w:w="660" w:type="dxa"/>
            <w:vAlign w:val="bottom"/>
          </w:tcPr>
          <w:p>
            <w:pPr>
              <w:spacing w:after="0"/>
              <w:rPr>
                <w:sz w:val="21"/>
                <w:szCs w:val="21"/>
                <w:color w:val="auto"/>
              </w:rPr>
            </w:pPr>
          </w:p>
        </w:tc>
        <w:tc>
          <w:tcPr>
            <w:tcW w:w="6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12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7,253</w:t>
            </w:r>
          </w:p>
        </w:tc>
        <w:tc>
          <w:tcPr>
            <w:tcW w:w="104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6740" w:type="dxa"/>
            <w:vAlign w:val="bottom"/>
            <w:tcBorders>
              <w:top w:val="single" w:sz="8" w:color="CCEEFF"/>
            </w:tcBorders>
          </w:tcPr>
          <w:p>
            <w:pPr>
              <w:ind w:left="4880"/>
              <w:spacing w:after="0"/>
              <w:rPr>
                <w:sz w:val="20"/>
                <w:szCs w:val="20"/>
                <w:color w:val="auto"/>
              </w:rPr>
            </w:pPr>
            <w:r>
              <w:rPr>
                <w:rFonts w:ascii="Times New Roman" w:cs="Times New Roman" w:eastAsia="Times New Roman" w:hAnsi="Times New Roman"/>
                <w:sz w:val="18"/>
                <w:szCs w:val="18"/>
                <w:color w:val="auto"/>
              </w:rPr>
              <w:t>39</w:t>
            </w:r>
          </w:p>
        </w:tc>
        <w:tc>
          <w:tcPr>
            <w:tcW w:w="12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67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Goodwill was determined based on the residual difference between the fair value of the consideration transferred and the value assigned to the tangible and intangible assets and liabilities recognized in connection with the acquisition and is deductible for US tax purposes. Among the factors that contributed to a purchase price resulting in the recognition of goodwill were the expected synergies arising from combining the Company’s manufacturing and distribution capabilities with Noa Home’s position in the international e-commerce market for home furnishings and accessories. As part of our annual test for impairment of goodwill as of the beginning of the fourth quarter of fiscal 2023, all of the goodwill recognized at acquisition was fully impaired. See Note 8 for additional information regarding the impairment.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the fair value of the consideration transferred in the amount of $1,929 has been assigned to the identifiable intangible asset associated with the Noa Home trade name. This intangible asset is considered to have an indefinite life. The indefinite-lived intangible asset and goodwill are not amortized but will be tested for impairment annually or between annual tests if an indicator of impairment exists.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fair values of consideration transferred and net assets acquired were determined using a combination of Level 2 and Level 3 inputs as specified in the fair value hierarchy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See Note 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acquisition date, the parties concluded that the targets originally set forth by which the Noa Home co-founders were to earn the contingent consideration would likely not be met within the initially anticipated time frame. Therefore, we have agreed to replace the contingent consideration with two fixed payments of C$200 each, the first of which was paid in June of 2023 with the second to be paid in December of 2024. As a result of the write-down of the contingent consideration payable that was recognized at the acquisition date, we recorded a gain of $1,013 during fiscal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costs related to the Noa Home acquisition totaled $87 during the year ended November 26, 2022, and are included in selling, general and administrative expenses in the consolidated statements of income. The acquisition costs are primarily related to legal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revenues and results of operations of Noa Home since September 2, 2022 were not material. The pro forma impact of the acquisition has not been presented because it was not material to our consolidated results of operations for the three fiscal years ended November 26,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Investments and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short-term investments in certificates of deposit, accounts receivable, accounts payable and long-term debt. Because of their short maturities, the carrying amounts of cash and cash equivalents, short-term investments in certificates of deposit, accounts receivable, and accounts payable approximate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short-term investments of $17,775 and $17,715 at November 25, 2023 and November 26, 2022 consisted of certificates of deposit (CDs) with original terms of six to twelve months, bearing interest at rates ranging from 0.7% to 5.45%. At November 25, 2023, the weighted average remaining time to maturity of the CDs was approximately three months and the weighted average yield of the CDs was approximately 5.1%. Each CD is placed with a federally insured financial institution and all deposits are within Federal deposit insurance limits. As the CDs mature, we expect to reinvest them in CDs of similar maturities of up to one year. Due to the nature of these investments and their relatively short maturities, the carrying amount of the short-term investments at November 25, 2023 and November 26, 2022 approximates their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items measured at fair value in accordance with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820’s valuation techniques are based on observable and unobservable inputs. Observable inputs reflect readily obtainable data from independent sources, while unobservable inputs reflect our market assumptions. ASC 820 classifies these inputs into the following hierarchy: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 Inputs</w:t>
      </w:r>
      <w:r>
        <w:rPr>
          <w:rFonts w:ascii="Times New Roman" w:cs="Times New Roman" w:eastAsia="Times New Roman" w:hAnsi="Times New Roman"/>
          <w:sz w:val="18"/>
          <w:szCs w:val="18"/>
          <w:color w:val="auto"/>
        </w:rPr>
        <w:t>– Quoted prices for identical instruments in active markets.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Level 2 Inputs</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Inputs</w:t>
      </w:r>
      <w:r>
        <w:rPr>
          <w:rFonts w:ascii="Times New Roman" w:cs="Times New Roman" w:eastAsia="Times New Roman" w:hAnsi="Times New Roman"/>
          <w:sz w:val="18"/>
          <w:szCs w:val="18"/>
          <w:color w:val="auto"/>
        </w:rPr>
        <w:t>– Instruments with primarily unobservable value drivers.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the carrying amounts of our current assets and current liabilities approximate fair value due to the short-term nature of these items. Our primary non-recurring fair value estimates typically involve the following: business acquisitions (Note 3) which involve a combination of Level 2 and Level 3 inputs to determine the fair value of contingent consideration and net assets acquired, including identified intangible assets; goodwill impairment testing (Note 8), which involves Level 3 inputs; and asset impairments (Note 14) which utilize Level 3 inputs.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consists of the following:</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November 26, 2022</w:t>
            </w:r>
          </w:p>
        </w:tc>
        <w:tc>
          <w:tcPr>
            <w:tcW w:w="8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19,099</w:t>
            </w:r>
          </w:p>
        </w:tc>
      </w:tr>
      <w:tr>
        <w:trPr>
          <w:trHeight w:val="216"/>
        </w:trPr>
        <w:tc>
          <w:tcPr>
            <w:tcW w:w="6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(1,261)</w:t>
            </w:r>
          </w:p>
        </w:tc>
      </w:tr>
      <w:tr>
        <w:trPr>
          <w:trHeight w:val="20"/>
        </w:trPr>
        <w:tc>
          <w:tcPr>
            <w:tcW w:w="6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accounts receivable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17,838</w:t>
            </w:r>
          </w:p>
        </w:tc>
      </w:tr>
      <w:tr>
        <w:trPr>
          <w:trHeight w:val="20"/>
        </w:trPr>
        <w:tc>
          <w:tcPr>
            <w:tcW w:w="660" w:type="dxa"/>
            <w:vAlign w:val="bottom"/>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in the allowance for credit losses was as follows:</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the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6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Additions (recoveries) charged to expense</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6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to allowance, net</w:t>
            </w:r>
          </w:p>
        </w:tc>
        <w:tc>
          <w:tcPr>
            <w:tcW w:w="80" w:type="dxa"/>
            <w:vAlign w:val="bottom"/>
            <w:shd w:val="clear" w:color="auto" w:fill="CCEEFF"/>
          </w:tcPr>
          <w:p>
            <w:pPr>
              <w:spacing w:after="0"/>
              <w:rPr>
                <w:sz w:val="18"/>
                <w:szCs w:val="18"/>
                <w:color w:val="auto"/>
              </w:rPr>
            </w:pPr>
          </w:p>
        </w:tc>
        <w:tc>
          <w:tcPr>
            <w:tcW w:w="17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66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the year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1,261</w:t>
            </w:r>
          </w:p>
        </w:tc>
      </w:tr>
      <w:tr>
        <w:trPr>
          <w:trHeight w:val="20"/>
        </w:trPr>
        <w:tc>
          <w:tcPr>
            <w:tcW w:w="6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Measurements and Disclosures</w:t>
      </w:r>
      <w:r>
        <w:rPr>
          <w:rFonts w:ascii="Times New Roman" w:cs="Times New Roman" w:eastAsia="Times New Roman" w:hAnsi="Times New Roman"/>
          <w:sz w:val="18"/>
          <w:szCs w:val="18"/>
          <w:color w:val="auto"/>
        </w:rPr>
        <w:t>. See Note 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8"/>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25, 2023</w:t>
            </w:r>
          </w:p>
        </w:tc>
        <w:tc>
          <w:tcPr>
            <w:tcW w:w="200" w:type="dxa"/>
            <w:vAlign w:val="bottom"/>
          </w:tcPr>
          <w:p>
            <w:pPr>
              <w:spacing w:after="0"/>
              <w:rPr>
                <w:sz w:val="24"/>
                <w:szCs w:val="24"/>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November 26, 2022</w:t>
            </w: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 finished goods</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46,607</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22,859</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Retail merchandise</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33,090</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32,974</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 on first-in, first-out method</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103,060</w:t>
            </w:r>
          </w:p>
        </w:tc>
      </w:tr>
      <w:tr>
        <w:trPr>
          <w:trHeight w:val="216"/>
        </w:trPr>
        <w:tc>
          <w:tcPr>
            <w:tcW w:w="66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LIFO adjustment</w:t>
            </w:r>
          </w:p>
        </w:tc>
        <w:tc>
          <w:tcPr>
            <w:tcW w:w="5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(11,738)</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(12,416)</w:t>
            </w:r>
          </w:p>
        </w:tc>
      </w:tr>
      <w:tr>
        <w:trPr>
          <w:trHeight w:val="216"/>
        </w:trPr>
        <w:tc>
          <w:tcPr>
            <w:tcW w:w="66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(5,183)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(5,167)</w:t>
            </w:r>
          </w:p>
        </w:tc>
      </w:tr>
      <w:tr>
        <w:trPr>
          <w:trHeight w:val="210"/>
        </w:trPr>
        <w:tc>
          <w:tcPr>
            <w:tcW w:w="660" w:type="dxa"/>
            <w:vAlign w:val="bottom"/>
          </w:tcPr>
          <w:p>
            <w:pPr>
              <w:spacing w:after="0"/>
              <w:rPr>
                <w:sz w:val="18"/>
                <w:szCs w:val="18"/>
                <w:color w:val="auto"/>
              </w:rPr>
            </w:pPr>
          </w:p>
        </w:tc>
        <w:tc>
          <w:tcPr>
            <w:tcW w:w="678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62,982</w:t>
            </w: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85,477</w:t>
            </w:r>
          </w:p>
        </w:tc>
        <w:tc>
          <w:tcPr>
            <w:tcW w:w="100" w:type="dxa"/>
            <w:vAlign w:val="bottom"/>
            <w:tcBorders>
              <w:top w:val="single" w:sz="8" w:color="CCEEFF"/>
            </w:tcBorders>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We source a significant amount of our wholesale product from other countries. During 2023, 2022 and 2021, purchases from our three largest vendors located in Vietnam and China were $13,498, $33,253 and $34,658 respectively.</w:t>
      </w:r>
    </w:p>
    <w:p>
      <w:pPr>
        <w:spacing w:after="0" w:line="162"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reserves for excess quantities and obsolete inventory by segment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Wholesale Segment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Retail Segment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27, 2021</w:t>
            </w:r>
          </w:p>
        </w:tc>
        <w:tc>
          <w:tcPr>
            <w:tcW w:w="262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2,577</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(3,297)</w:t>
            </w:r>
          </w:p>
        </w:tc>
      </w:tr>
      <w:tr>
        <w:trPr>
          <w:trHeight w:val="20"/>
        </w:trPr>
        <w:tc>
          <w:tcPr>
            <w:tcW w:w="66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November 26, 2022</w:t>
            </w: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4,103</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charged to expense</w:t>
            </w:r>
          </w:p>
        </w:tc>
        <w:tc>
          <w:tcPr>
            <w:tcW w:w="2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2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(3,834)</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(4,610)</w:t>
            </w:r>
          </w:p>
        </w:tc>
      </w:tr>
      <w:tr>
        <w:trPr>
          <w:trHeight w:val="20"/>
        </w:trPr>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25, 2023</w:t>
            </w:r>
          </w:p>
        </w:tc>
        <w:tc>
          <w:tcPr>
            <w:tcW w:w="262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100" w:type="dxa"/>
            <w:vAlign w:val="bottom"/>
            <w:tcBorders>
              <w:left w:val="single" w:sz="8" w:color="CCEEFF"/>
            </w:tcBorders>
            <w:shd w:val="clear" w:color="auto" w:fill="CCEEFF"/>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360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bl>
    <w:p>
      <w:pPr>
        <w:sectPr>
          <w:pgSz w:w="11900" w:h="16838" w:orient="portrait"/>
          <w:cols w:equalWidth="0" w:num="1">
            <w:col w:w="11320"/>
          </w:cols>
          <w:pgMar w:left="320" w:top="819" w:right="25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November 25,</w:t>
            </w: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November 26,</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116,418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228,437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(158,788)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(151,436)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6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83,981</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77,001</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net book value of our property and equipment by reportable segment is a follows: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6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November 25,</w:t>
            </w:r>
          </w:p>
        </w:tc>
        <w:tc>
          <w:tcPr>
            <w:tcW w:w="16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November 26,</w:t>
            </w: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23,205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Retail - Company-owned stores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40,361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77,001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associated with the property and equipment shown above was included in income from operations in our consolidated statements of operations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(wholesale segment)</w:t>
            </w:r>
          </w:p>
        </w:tc>
        <w:tc>
          <w:tcPr>
            <w:tcW w:w="12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2,124</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adminstrative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Wholesale segment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segment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5,738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6,580</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1,895</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included in selling, general and adminstrative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7,960</w:t>
            </w: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7,904</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8,112</w:t>
            </w:r>
          </w:p>
        </w:tc>
        <w:tc>
          <w:tcPr>
            <w:tcW w:w="4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depreciation expense included in income from operations</w:t>
            </w:r>
          </w:p>
        </w:tc>
        <w:tc>
          <w:tcPr>
            <w:tcW w:w="12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10,084</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9,986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9,909</w:t>
            </w:r>
          </w:p>
        </w:tc>
        <w:tc>
          <w:tcPr>
            <w:tcW w:w="48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47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9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7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Goodwill and other 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subject to amortization: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subject to amortization:</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Intangibles not subject to amortization:</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goodwill and other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November 25,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left="15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1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0" w:type="dxa"/>
            <w:vAlign w:val="bottom"/>
          </w:tcPr>
          <w:p>
            <w:pPr>
              <w:spacing w:after="0"/>
              <w:rPr>
                <w:sz w:val="1"/>
                <w:szCs w:val="1"/>
                <w:color w:val="auto"/>
              </w:rPr>
            </w:pPr>
          </w:p>
        </w:tc>
      </w:tr>
      <w:tr>
        <w:trPr>
          <w:trHeight w:val="238"/>
        </w:trPr>
        <w:tc>
          <w:tcPr>
            <w:tcW w:w="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Assets, Net</w:t>
            </w:r>
          </w:p>
        </w:tc>
        <w:tc>
          <w:tcPr>
            <w:tcW w:w="0" w:type="dxa"/>
            <w:vAlign w:val="bottom"/>
          </w:tcPr>
          <w:p>
            <w:pPr>
              <w:spacing w:after="0"/>
              <w:rPr>
                <w:sz w:val="1"/>
                <w:szCs w:val="1"/>
                <w:color w:val="auto"/>
              </w:rPr>
            </w:pPr>
          </w:p>
        </w:tc>
      </w:tr>
      <w:tr>
        <w:trPr>
          <w:trHeight w:val="425"/>
        </w:trPr>
        <w:tc>
          <w:tcPr>
            <w:tcW w:w="1200" w:type="dxa"/>
            <w:vAlign w:val="bottom"/>
            <w:gridSpan w:val="2"/>
          </w:tcPr>
          <w:p>
            <w:pPr>
              <w:jc w:val="right"/>
              <w:ind w:right="1030"/>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0" w:type="dxa"/>
            <w:vAlign w:val="bottom"/>
          </w:tcPr>
          <w:p>
            <w:pPr>
              <w:spacing w:after="0" w:line="20" w:lineRule="exact"/>
              <w:rPr>
                <w:sz w:val="1"/>
                <w:szCs w:val="1"/>
                <w:color w:val="auto"/>
              </w:rPr>
            </w:pPr>
          </w:p>
        </w:tc>
      </w:tr>
      <w:tr>
        <w:trPr>
          <w:trHeight w:val="826"/>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November 26, 2022</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140" w:type="dxa"/>
            <w:vAlign w:val="bottom"/>
          </w:tcPr>
          <w:p>
            <w:pPr>
              <w:jc w:val="center"/>
              <w:ind w:left="27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114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11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Assets, Net</w:t>
            </w:r>
          </w:p>
        </w:tc>
        <w:tc>
          <w:tcPr>
            <w:tcW w:w="0" w:type="dxa"/>
            <w:vAlign w:val="bottom"/>
          </w:tcPr>
          <w:p>
            <w:pPr>
              <w:spacing w:after="0"/>
              <w:rPr>
                <w:sz w:val="1"/>
                <w:szCs w:val="1"/>
                <w:color w:val="auto"/>
              </w:rPr>
            </w:pPr>
          </w:p>
        </w:tc>
      </w:tr>
      <w:tr>
        <w:trPr>
          <w:trHeight w:val="425"/>
        </w:trPr>
        <w:tc>
          <w:tcPr>
            <w:tcW w:w="120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0" w:type="dxa"/>
            <w:vAlign w:val="bottom"/>
          </w:tcPr>
          <w:p>
            <w:pPr>
              <w:spacing w:after="0" w:line="20" w:lineRule="exact"/>
              <w:rPr>
                <w:sz w:val="1"/>
                <w:szCs w:val="1"/>
                <w:color w:val="auto"/>
              </w:rPr>
            </w:pPr>
          </w:p>
        </w:tc>
      </w:tr>
      <w:tr>
        <w:trPr>
          <w:trHeight w:val="610"/>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-3154045</wp:posOffset>
            </wp:positionV>
            <wp:extent cx="641223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-2853690</wp:posOffset>
            </wp:positionV>
            <wp:extent cx="641223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-2579370</wp:posOffset>
            </wp:positionV>
            <wp:extent cx="641223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-2305685</wp:posOffset>
            </wp:positionV>
            <wp:extent cx="641223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-2022475</wp:posOffset>
            </wp:positionV>
            <wp:extent cx="6412230"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-1156970</wp:posOffset>
            </wp:positionV>
            <wp:extent cx="641223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-856615</wp:posOffset>
            </wp:positionV>
            <wp:extent cx="641223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-582295</wp:posOffset>
            </wp:positionV>
            <wp:extent cx="641223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-299720</wp:posOffset>
            </wp:positionV>
            <wp:extent cx="641223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00" w:space="480"/>
            <w:col w:w="6160"/>
          </w:cols>
          <w:pgMar w:left="320" w:top="819" w:right="33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performed the annual test for impairment of the carrying value of our goodwill as of the beginning of the fourth quarter of fiscal 2023. Based on the initial qualitative analysis performed under ASC Topic 350, we concluded that is was not more likely than not that the carrying value of our upholstery reporting unit within our wholesale segment exceeded its fair value. However, due to the actual and expected future underperformance of our Noa Home reporting unit relative to management's original expectations, we performed a strategic review of the operations as of the beginning of the fourth quarter and concluded that Noa should exit the Australian market and focus more on the North American market. Coupled with the financial underperformance and the planned exit of Australia, we performed a quantitative test of the carrying value of the goodwill recognized as part of the 2022 acquisition of Noa Home and concluded that it was necessary to fully impair the carrying value of the Noa Home goodwill, resulting in a non-cash impairment charge of $5,409 in fiscal 2023.</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determination of the fair value of our reporting units is based on a combination of a market approach, that considers benchmark company market multiples and comparable transactions occurring within the last two years, and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xml:space="preserve"> (see Note 4). The valuation of the Noa Home reporting unit was primarily based on the market approach due to signficant uncertainty in the future cash flows of Noa Home. Under the income approach, we determine fair value based on the present value of the most recent cash flow projections for each reporting unit as of the date of the analysis and calculate a terminal value utilizing a terminal growth rate. The significant assumptions under this approach include, among others: income projections, which are dependent on future sales, new product introductions, customer behavior, competitor pricing, operating expenses, the discount rate, and the terminal growth rate.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Changes in the carrying amounts of goodwill by reportable segment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Wholesale</w:t>
            </w:r>
          </w:p>
        </w:tc>
        <w:tc>
          <w:tcPr>
            <w:tcW w:w="10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November 27, 2021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c>
          <w:tcPr>
            <w:tcW w:w="10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Noa Home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5,715</w:t>
            </w: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r>
      <w:tr>
        <w:trPr>
          <w:trHeight w:val="209"/>
        </w:trPr>
        <w:tc>
          <w:tcPr>
            <w:tcW w:w="44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November 26, 2022</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12,771</w:t>
            </w:r>
          </w:p>
        </w:tc>
      </w:tr>
      <w:tr>
        <w:trPr>
          <w:trHeight w:val="216"/>
        </w:trPr>
        <w:tc>
          <w:tcPr>
            <w:tcW w:w="4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Full impairment of Noa Home goodwill</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(5,409)</w:t>
            </w:r>
          </w:p>
        </w:tc>
      </w:tr>
      <w:tr>
        <w:trPr>
          <w:trHeight w:val="209"/>
        </w:trPr>
        <w:tc>
          <w:tcPr>
            <w:tcW w:w="44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3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November 25, 2023</w:t>
            </w: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c>
          <w:tcPr>
            <w:tcW w:w="10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7,217</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impairment losses were $9,306, $3,897 and $3,897 at November 25, 2023, November 26, 2022 and November 27, 2021,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useful lives of our finite-lived intangible assets and remaining amortization periods as of November 25, 2023 are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6"/>
        </w:trPr>
        <w:tc>
          <w:tcPr>
            <w:tcW w:w="5840" w:type="dxa"/>
            <w:vAlign w:val="bottom"/>
          </w:tcPr>
          <w:p>
            <w:pPr>
              <w:spacing w:after="0"/>
              <w:rPr>
                <w:sz w:val="18"/>
                <w:szCs w:val="18"/>
                <w:color w:val="auto"/>
              </w:rPr>
            </w:pPr>
          </w:p>
        </w:tc>
        <w:tc>
          <w:tcPr>
            <w:tcW w:w="14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Period in</w:t>
            </w:r>
          </w:p>
        </w:tc>
      </w:tr>
      <w:tr>
        <w:trPr>
          <w:trHeight w:val="238"/>
        </w:trPr>
        <w:tc>
          <w:tcPr>
            <w:tcW w:w="5840" w:type="dxa"/>
            <w:vAlign w:val="bottom"/>
          </w:tcPr>
          <w:p>
            <w:pPr>
              <w:spacing w:after="0"/>
              <w:rPr>
                <w:sz w:val="20"/>
                <w:szCs w:val="20"/>
                <w:color w:val="auto"/>
              </w:rPr>
            </w:pPr>
          </w:p>
        </w:tc>
        <w:tc>
          <w:tcPr>
            <w:tcW w:w="14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Years</w:t>
            </w:r>
          </w:p>
        </w:tc>
      </w:tr>
      <w:tr>
        <w:trPr>
          <w:trHeight w:val="209"/>
        </w:trPr>
        <w:tc>
          <w:tcPr>
            <w:tcW w:w="584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trade name intangible assets are associated with Noa Home and Lane Venture. Because it is our intention to maintain and grow those brands, they are considered to be indefinite-lived intangible assets. The amortization expense associated with finite-lived intangible assets during fiscal 2023, 2022 and 2021 was $57 each year and is included in selling, general and administrative expense in our consolidated statement of operations. All expense arising from the amortization of intangible assets is associated with our wholesale segment. Estimated future amortization expense for intangible assets that exist at November 25, 2023 is as follows:</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6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6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Bank Credit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Credit Facility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bank credit facility provides for a line of credit of up to $25,000. At November 25, 2023, we had $3,731 outstanding under standby letters of credit against our line, leaving availability under our credit line of $21,269. The line bears interest at the One-Month Term Secured Overnight Financing Rate (“One-Month Term SOFR”) plus 1.5% and is unsecured. Our bank charges a fee of 0.25% on the daily unused balance of the line, payable quarterly. Under the terms of the facility, we must maintain the following financial covenants, measured quarterly on a rolling twelve-month basis:</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fixed charge coverage ratio of not less than 1.4 times,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lease-adjusted leverage ratio not to exceed 3.0 times,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tangible net worth of $140,000.</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Due to our results of operations in 2023, we were not in compliance with certain of these covenants at the end of the year. Consequently, our bank agreed to reduce the consolidated fixed charge coverage ratio to 1.0 times and increase the consolidated lease-adjusted leverage ratio to 3.75 times, as defined, for the year ended November 25, 2023 and the quarter ended March 2, 2024. We were in compliance with the amended covenants at November 25, 2023 and expect to be in compliance at March 2, 2024. The respective ratios revert back to the previous values for the quarter ended June 1, 2024. We are in negotiations with our bank and plan to have an amended, restated or new agreement with a similar line of credit in place by the end of the second quarter of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interest paid during fiscal 2023, 2022 and 2021 was not material.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10. Post-Employment Benefit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Savings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 2017, our Board of Directors, upon the recommendation of the Organization, Compensation and Nominating Committee (the “Committee”), adopted the Bassett Furniture Industries, Incorporated Management Savings Plan (the “Plan”). The Plan is an unfunded, nonqualified deferred compensation plan maintained for the benefit of certain highly compensated or management level employees.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is an account-based plan under which (i) participants may defer voluntarily the payment of current compensation to future years (“participant deferrals”) and (ii) the Company may make annual awards to participants payable in future years (“Company contributions”). The Plan permits each participant to defer up to 75% of base salary and up to 100% of any incentive compensation or other bonus, which amounts would be credited to a deferral account established for the participant. Such deferrals will be fully vested at the time of the deferral. Participant deferrals will be indexed to one or more deemed investment alternatives chosen by the participant from a range of alternatives made available under the Plan. Each participant’s account will be adjusted to reflect gains and losses based on the performance of the selected investment alternatives. A participant may receive distributions from the Plan:</w:t>
      </w:r>
    </w:p>
    <w:p>
      <w:pPr>
        <w:spacing w:after="0" w:line="5" w:lineRule="exact"/>
        <w:rPr>
          <w:sz w:val="20"/>
          <w:szCs w:val="20"/>
          <w:color w:val="auto"/>
        </w:rPr>
      </w:pPr>
    </w:p>
    <w:p>
      <w:pPr>
        <w:jc w:val="both"/>
        <w:ind w:firstLine="8"/>
        <w:spacing w:after="0" w:line="251" w:lineRule="auto"/>
        <w:tabs>
          <w:tab w:leader="none" w:pos="2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separation from service, in either a lump sum or annual installment payments over up to a 15 year period, as elected by the participant, (2) upon death or disability, in a lump sum, or (3) on a date or dates specified by the participant (“scheduled distributions”) with such scheduled payments made in either a lump sum or substantially equal annual installments over a period of up to five years, as elected by the participant. Participant contributions commenced during the third quarter of fiscal 2017. Company contributions will vest in full (1) on the third anniversary of the date such amounts are credited to the participant’s account, (2) the date that the participant reaches age 63 or (3) upon death or disability. Company contributions are subject to the same rules described above regarding the crediting of gains or losses from deemed investments and the timing of distributions. Expense (credits) associated with deferred compensation under the Plan was $46, $(16) and $338 for fiscal 2023, 2022 and 2021, respectively. Our liability for Company contributions and participant deferrals at November 25, 2023 and November 26, 2022 was $2,661 and $2,070, respectively, and is included in post-employment benefit obligations in our consolidated balance sheets.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 2017, we made Long Term Cash Awards (“LTC Awards”) totaling $2,000 under the Plan to certain management employees in the amount of $400 each. The LTC Awards vest in full on the first anniversary of the date of the award if the participant has reached age 63 by that time, or, if later, on the date the participant reaches age 63, provided in either instance that the participant is still employed by the Company at that time. If not previously vested, the awards will also vest immediately upon the death or disability of the participant prior to the participant’s separation from service. The awards will be payable in 10 equal annual installments following the participant’s death, disability or separation from service. We are accounting for the LTC Awards as a defined benefit pension plan. During fiscal 2023, 2022 and 2021, we invested $1,019, $853 and $647 in life insurance policies covering all participants in the Plan. At November 25, 2023, these policies have a net death benefit of $15,020 for which the Company is the sole beneficiary. These policies are intended to provide a potential source of funds to meet the obligations arising from the deferred compensation and LTC Awards under the Plan and serve as an economic hedge of the financial impact of changes in the liabilities. They are held in an irrevocable trust but are subject to claims of creditors in the event of the Company’s insolvency.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Retirement Income Plan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an unfunded Supplemental Retirement Income Plan (the “Supplemental Plan”) that covers one current and certain former executives. Upon retirement, the Supplemental Plan provides for lifetime monthly payments in an amount equal to 65% of the participant’s final average compensation as defined in the Supplemental Plan, which is reduced by certain social security benefits to be received and other benefits provided by us. The Supplemental Plan also provides a death benefit that is calculated as (a) prior to retirement death, which pays the beneficiary 50% of final average annual compensation for a period of 120 months, or (b) post-retirement death, which pays the beneficiary 200% of final average compensation in a single payment. We own life insurance policies on these executives with a current net death benefit of $1,504 at November 25, 2023 and we expect to substantially fund this death benefit through the proceeds received upon the death of the executive. Funding for the remaining cash flows is expected to be provided through operations. There are no benefits payable as a result of a termination of employment for any reason other than death or retirement, other than a change of control provision which provides for the immediate vesting and payment of the retirement benefit under the Supplemental Plan in the event of an employment termination resulting from a change of control.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Aggregated summarized information for the Supplemental Plan and the LTC Awards, measured as of the end of each year presented,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Projected benefit obligation at beginning of year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280" w:type="dxa"/>
            <w:vAlign w:val="bottom"/>
          </w:tcPr>
          <w:p>
            <w:pPr>
              <w:spacing w:after="0"/>
              <w:rPr>
                <w:sz w:val="18"/>
                <w:szCs w:val="18"/>
                <w:color w:val="auto"/>
              </w:rPr>
            </w:pP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(gains) and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5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 at end of year</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7,262</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32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80" w:type="dxa"/>
            <w:vAlign w:val="bottom"/>
            <w:tcBorders>
              <w:left w:val="single" w:sz="8" w:color="CCEEFF"/>
              <w:right w:val="single" w:sz="8" w:color="CCEEFF"/>
            </w:tcBorders>
            <w:shd w:val="clear" w:color="auto" w:fill="CCEEFF"/>
          </w:tcPr>
          <w:p>
            <w:pPr>
              <w:spacing w:after="0"/>
              <w:rPr>
                <w:sz w:val="22"/>
                <w:szCs w:val="22"/>
                <w:color w:val="auto"/>
              </w:rPr>
            </w:pP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7,262</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8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Discount rate used to value the ending benefit obligations: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tcPr>
          <w:p>
            <w:pPr>
              <w:spacing w:after="0"/>
              <w:rPr>
                <w:sz w:val="18"/>
                <w:szCs w:val="18"/>
                <w:color w:val="auto"/>
              </w:rPr>
            </w:pP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6,564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amounts recognized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80" w:type="dxa"/>
            <w:vAlign w:val="bottom"/>
          </w:tcPr>
          <w:p>
            <w:pPr>
              <w:spacing w:after="0"/>
              <w:rPr>
                <w:sz w:val="18"/>
                <w:szCs w:val="18"/>
                <w:color w:val="auto"/>
              </w:rPr>
            </w:pP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w:t>
            </w:r>
          </w:p>
        </w:tc>
        <w:tc>
          <w:tcPr>
            <w:tcW w:w="1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8"/>
                <w:szCs w:val="18"/>
                <w:color w:val="auto"/>
              </w:rPr>
            </w:pP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60" w:type="dxa"/>
            <w:vAlign w:val="bottom"/>
            <w:gridSpan w:val="3"/>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72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recognized in net periodic benefit cost and accumulated other comprehensive</w:t>
            </w:r>
          </w:p>
        </w:tc>
        <w:tc>
          <w:tcPr>
            <w:tcW w:w="320" w:type="dxa"/>
            <w:vAlign w:val="bottom"/>
            <w:vMerge w:val="restart"/>
          </w:tcPr>
          <w:p>
            <w:pPr>
              <w:jc w:val="right"/>
              <w:ind w:right="198"/>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(2,236)</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9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income: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Pension Cost: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5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other loss</w:t>
            </w: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w:t>
            </w:r>
          </w:p>
        </w:tc>
        <w:tc>
          <w:tcPr>
            <w:tcW w:w="32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526</w:t>
            </w:r>
          </w:p>
        </w:tc>
        <w:tc>
          <w:tcPr>
            <w:tcW w:w="52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Assumptions used to determine net periodic pension cost: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4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32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future compensation levels</w:t>
            </w:r>
          </w:p>
        </w:tc>
        <w:tc>
          <w:tcPr>
            <w:tcW w:w="34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5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 (with mortality):</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2024</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Fiscal 2025</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2026</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Fiscal 2027</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2028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Fiscal 2029 through 2033</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the $862 net gain recognized in accumulated other comprehensive income at November 26, 2022, amounts expected to be recognized as components of net periodic pension cost during fiscal 2024 are as follows: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6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74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expected to be amortized to net periodic pension cost in 2024</w:t>
            </w: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loss, net in our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Compensation Plan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unfunded Deferred Compensation Plan that covers one current and certain former executives and provides for voluntary deferral of compensation. This plan has been frozen with no additional participants or benefits permitted. We recognized expense of $204, $154, and $204 in fiscal 2023, 2022, and 2021, respectively, associated with the plan. Our liability under this plan was $1,655 and $1,616 as of November 25, 2023 and November 26, 2022, respectively. The non-current portion of this obligation is included in post-employment benefit obligations in our consolidated balance sheets, with the current portion included in accrued compensation and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Contribution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qualified defined contribution plan (Employee Savings/Retirement Plan) that covers substantially all employees who elect to participate and have fulfilled the necessary service requirements. Employee contributions to the Plan are matched at the rate of 25% of up to 8% of gross pay, regardless of years of service. Expense for employer matching contributions was $998, $1,108 and $1,040 during fiscal 2023, 2022 and 2021,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Accumulated Other Comprehensive Income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activity in accumulated other comprehensive income (loss) for the fiscal years ended November 25, 2023 and November 26, 2022, which is comprised of post-retirement benefit costs related to our SERP and LTC Awards as well as cumulative translation adjustments arising from our investment in Noa Home,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27, 2021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gains</w:t>
            </w:r>
          </w:p>
        </w:tc>
        <w:tc>
          <w:tcPr>
            <w:tcW w:w="5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2,503</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pension amortization reclassified from accumulated other comprehensive loss</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November 26, 2022</w:t>
            </w:r>
          </w:p>
        </w:tc>
        <w:tc>
          <w:tcPr>
            <w:tcW w:w="5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gains</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pension amortization reclassified from accumulated other comprehensive loss</w:t>
            </w:r>
          </w:p>
        </w:tc>
        <w:tc>
          <w:tcPr>
            <w:tcW w:w="5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49"/>
        </w:trPr>
        <w:tc>
          <w:tcPr>
            <w:tcW w:w="1120" w:type="dxa"/>
            <w:vAlign w:val="bottom"/>
          </w:tcPr>
          <w:p>
            <w:pPr>
              <w:spacing w:after="0"/>
              <w:rPr>
                <w:sz w:val="21"/>
                <w:szCs w:val="21"/>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25, 2023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w:t>
            </w:r>
          </w:p>
        </w:tc>
        <w:tc>
          <w:tcPr>
            <w:tcW w:w="1140" w:type="dxa"/>
            <w:vAlign w:val="bottom"/>
          </w:tcPr>
          <w:p>
            <w:pPr>
              <w:spacing w:after="0"/>
              <w:rPr>
                <w:sz w:val="21"/>
                <w:szCs w:val="21"/>
                <w:color w:val="auto"/>
              </w:rPr>
            </w:pPr>
          </w:p>
        </w:tc>
      </w:tr>
      <w:tr>
        <w:trPr>
          <w:trHeight w:val="413"/>
        </w:trPr>
        <w:tc>
          <w:tcPr>
            <w:tcW w:w="1120" w:type="dxa"/>
            <w:vAlign w:val="bottom"/>
          </w:tcPr>
          <w:p>
            <w:pPr>
              <w:spacing w:after="0"/>
              <w:rPr>
                <w:sz w:val="24"/>
                <w:szCs w:val="24"/>
                <w:color w:val="auto"/>
              </w:rPr>
            </w:pPr>
          </w:p>
        </w:tc>
        <w:tc>
          <w:tcPr>
            <w:tcW w:w="7380" w:type="dxa"/>
            <w:vAlign w:val="bottom"/>
            <w:tcBorders>
              <w:top w:val="single" w:sz="8" w:color="CCEEFF"/>
            </w:tcBorders>
          </w:tcPr>
          <w:p>
            <w:pPr>
              <w:ind w:left="4420"/>
              <w:spacing w:after="0"/>
              <w:rPr>
                <w:sz w:val="20"/>
                <w:szCs w:val="20"/>
                <w:color w:val="auto"/>
              </w:rPr>
            </w:pPr>
            <w:r>
              <w:rPr>
                <w:rFonts w:ascii="Times New Roman" w:cs="Times New Roman" w:eastAsia="Times New Roman" w:hAnsi="Times New Roman"/>
                <w:sz w:val="18"/>
                <w:szCs w:val="18"/>
                <w:color w:val="auto"/>
              </w:rPr>
              <w:t>48</w:t>
            </w:r>
          </w:p>
        </w:tc>
        <w:tc>
          <w:tcPr>
            <w:tcW w:w="5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12. Capital Stock and Stock Compensation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account for our stock-based employee and director compensation plans in accordance with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ASC 718 requires recognition of the cost of employee services received in exchange for an award of equity instruments in the financial statements over the period the employee is required to perform the services in exchange for the award (presumptively the vesting period) which we recognize on a straight-line basis. Compensation expense related to restricted stock and stock options included in selling, general and administrative expenses in our consolidated statements of operations for fiscal 2023, 2022 and 2021 was as follows: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3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8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849</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Compensation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10, 2021, our shareholders approved the Bassett Furniture Industries, Incorporated 2021 Stock Incentive Plan (the “2021 Plan”). All present and future non-employee directors, key employees and outside consultants for the Company are eligible to receive incentive awards under the 2021 Plan. Our Organization, Compensation and Nominating Committee (the “OCN Committee”) selects eligible key employees and outside consultants to receive awards under the 2021 Plan in its discretion. Our Board of Directors or any committee designated by the Board of Directors selects eligible non-employee directors to receive awards under the 2021 Plan in its discretion. Five hundred thousand (500,000) shares of common stock are reserved for issuance under the 2021 Plan. Participants may receive the following types of incentive awards under the 2021 Plan: stock options, stock appreciation rights, payment shares, restricted stock, restricted stock units and performance shares. Stock options may be incentive stock options or non-qualified stock options. Stock appreciation rights may be granted in tandem with stock options or as a freestanding award. Non-employee directors and outside consultants are eligible to receive restricted stock and restricted stock units only. The full terms of the 2021 Plan have been filed as an exhibit to our Schedule 14A filed with the United States Securities and Exchange Commission on February 8,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2010 Plan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14, 2010, our shareholders approved the Bassett Furniture Industries, Incorporated 2010 Stock Incentive Plan which was amended and restated effective January 13, 2016 (the “2010 Plan”). All non-employee directors, key employees and outside consultants for the Company were eligible to receive incentive awards under the 2010 Plan. The 2010 Plan expired in April of 2020 and no additional grants can be awarded under the plan. All remaining unexpired options granted under the 2010 Plan were exercised during fiscal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was estimated on the date of grant using the Black-Scholes option pricing model. The risk free rate is based on the U.S. Treasury rate for the expected life at the time of grant, volatility is based on the average long-term implied volatilities of peer companies, the expected life is based on the estimated average of the life of options using the simplified method. Forfeitures are recognized as they occur. We utilized the simplified method to determine the expected life of our options due to insufficient exercise activity during recent years as a basis from which to estimate future exercise patterns.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Grants of non-vested restricted shares are measured at fair value as if the shares were vested and issued on the grant date. Forfeitures are recognized as they occur. We recognize compensation cost for awards with service only conditions with a graded vesting schedule on a straight-line basis over the longest vesting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grants of options made in 2023, 2022 or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activity in our stock options during fiscal 2023, 2022 and 2021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intrinsic value of options exercised</w:t>
            </w:r>
          </w:p>
        </w:tc>
        <w:tc>
          <w:tcPr>
            <w:tcW w:w="136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cash received from the exercise of options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benefits recognized in income tax expense upon the exercise of options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6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Restricted Shares</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7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Changes in the outstanding non-vested restricted shares during the year ended November 25, 2023 were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Fair Value Per</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209"/>
        </w:trPr>
        <w:tc>
          <w:tcPr>
            <w:tcW w:w="58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shares outstanding at November 26,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6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restricted shares outstanding at November 25, 2023</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2023, 32,899 restricted shares were vested and released, of which 17,100 shares had been granted to employees and 15,799 shares had been granted to directors. During fiscal 2023, 2022 and 2021, 5,985 shares, 1,225 shares and 10,850 shares, respectively, were withheld to cover withholding taxes of $109, $19 and $219, respectively, arising from the vesting of restricted shares. During fiscal 2023, 2022 and 2021, excess tax benefits (expense) of $10, $1 and $(133), respectively, were recognized within income tax expense upon the release of vested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our outstanding non-vested restricted shares at November 25, 2023 is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 Value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Restriction</w:t>
            </w:r>
          </w:p>
        </w:tc>
      </w:tr>
      <w:tr>
        <w:trPr>
          <w:trHeight w:val="216"/>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0" w:type="dxa"/>
            <w:vAlign w:val="bottom"/>
          </w:tcPr>
          <w:p>
            <w:pPr>
              <w:spacing w:after="0"/>
              <w:rPr>
                <w:sz w:val="18"/>
                <w:szCs w:val="18"/>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at Grant Date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3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(Years)</w:t>
            </w:r>
          </w:p>
        </w:tc>
      </w:tr>
      <w:tr>
        <w:trPr>
          <w:trHeight w:val="426"/>
        </w:trPr>
        <w:tc>
          <w:tcPr>
            <w:tcW w:w="3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12, 2022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11, 2023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17.55</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8, 2023</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18.53</w:t>
            </w:r>
          </w:p>
        </w:tc>
        <w:tc>
          <w:tcPr>
            <w:tcW w:w="1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r>
      <w:tr>
        <w:trPr>
          <w:trHeight w:val="209"/>
        </w:trPr>
        <w:tc>
          <w:tcPr>
            <w:tcW w:w="38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cost related to these non-vested restricted shares at November 26, 2022 is $867, all of which is expected to be recognized in fiscal 2024 and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Stock Purchase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of 2017 we adopted and implemented the 2017 Employee Stock Purchase Plan (“2017 ESPP”) that allows eligible employees to purchase a limited number of shares of our stock at 85% of market value. Under the 2017 ESPP we sold 28,063, 30,074 and 22,547 shares to employees during fiscal 2023, 2022 and 2021, respectively, which resulted in an immaterial amount of compensation expense. There are 74,397 shares remaining available for sale under the 2017 ESPP at November 25,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income tax provision from continuing operations are as follows: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4,507</w:t>
            </w:r>
          </w:p>
        </w:tc>
      </w:tr>
      <w:tr>
        <w:trPr>
          <w:trHeight w:val="216"/>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2,154</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w:t>
            </w:r>
          </w:p>
        </w:tc>
      </w:tr>
      <w:tr>
        <w:trPr>
          <w:trHeight w:val="20"/>
        </w:trPr>
        <w:tc>
          <w:tcPr>
            <w:tcW w:w="50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5,836</w:t>
            </w:r>
          </w:p>
        </w:tc>
      </w:tr>
      <w:tr>
        <w:trPr>
          <w:trHeight w:val="20"/>
        </w:trPr>
        <w:tc>
          <w:tcPr>
            <w:tcW w:w="50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and the effective income tax rate, as a percentage of income before income taxes, is as follows:</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r>
      <w:tr>
        <w:trPr>
          <w:trHeight w:val="209"/>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w:t>
            </w: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w:t>
            </w:r>
          </w:p>
        </w:tc>
        <w:tc>
          <w:tcPr>
            <w:tcW w:w="10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goodwill</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(45.7)</w:t>
            </w: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r>
      <w:tr>
        <w:trPr>
          <w:trHeight w:val="198"/>
        </w:trPr>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Nontaxable gain on revaluation of contingent</w:t>
            </w: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8.6</w:t>
            </w:r>
          </w:p>
        </w:tc>
        <w:tc>
          <w:tcPr>
            <w:tcW w:w="1080" w:type="dxa"/>
            <w:vAlign w:val="bottom"/>
          </w:tcPr>
          <w:p>
            <w:pPr>
              <w:spacing w:after="0"/>
              <w:rPr>
                <w:sz w:val="20"/>
                <w:szCs w:val="20"/>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10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(27.5)%</w:t>
            </w:r>
          </w:p>
        </w:tc>
        <w:tc>
          <w:tcPr>
            <w:tcW w:w="10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4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Excess tax benefits (expense) in the amount of $10, $1 and $(133) were recognized as a component of income tax expense during fiscal 2023, 2022 and 2021, respectively, resulting from the exercise of stock options and the release of restricted shares. The fiscal 2023 adjustment for impairment of non-deductible goodwill reflect the fact that there was no tax basis related to the impaired goodwill.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income tax effects of temporary differences and carryforwards, which give rise to significant portions of the deferred income tax assets and deferred income tax liabilities, are as follows:</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November 25,</w:t>
            </w: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November 26,</w:t>
            </w:r>
          </w:p>
        </w:tc>
      </w:tr>
      <w:tr>
        <w:trPr>
          <w:trHeight w:val="238"/>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3,782</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2,734</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29,423</w:t>
            </w:r>
          </w:p>
        </w:tc>
      </w:tr>
      <w:tr>
        <w:trPr>
          <w:trHeight w:val="216"/>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39,315</w:t>
            </w: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(1,339)</w:t>
            </w:r>
          </w:p>
        </w:tc>
      </w:tr>
      <w:tr>
        <w:trPr>
          <w:trHeight w:val="210"/>
        </w:trPr>
        <w:tc>
          <w:tcPr>
            <w:tcW w:w="67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37,261</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80" w:type="dxa"/>
            <w:vAlign w:val="bottom"/>
            <w:tcBorders>
              <w:top w:val="single" w:sz="8" w:color="CCEEFF"/>
            </w:tcBorders>
          </w:tcPr>
          <w:p>
            <w:pPr>
              <w:spacing w:after="0"/>
              <w:rPr>
                <w:sz w:val="18"/>
                <w:szCs w:val="18"/>
                <w:color w:val="auto"/>
              </w:rPr>
            </w:pPr>
          </w:p>
        </w:tc>
      </w:tr>
      <w:tr>
        <w:trPr>
          <w:trHeight w:val="216"/>
        </w:trPr>
        <w:tc>
          <w:tcPr>
            <w:tcW w:w="6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5,532</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25,166</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1,024</w:t>
            </w:r>
          </w:p>
        </w:tc>
      </w:tr>
      <w:tr>
        <w:trPr>
          <w:trHeight w:val="209"/>
        </w:trPr>
        <w:tc>
          <w:tcPr>
            <w:tcW w:w="6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32,448</w:t>
            </w:r>
          </w:p>
        </w:tc>
      </w:tr>
      <w:tr>
        <w:trPr>
          <w:trHeight w:val="210"/>
        </w:trPr>
        <w:tc>
          <w:tcPr>
            <w:tcW w:w="6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5,528</w:t>
            </w:r>
          </w:p>
        </w:tc>
      </w:tr>
      <w:tr>
        <w:trPr>
          <w:trHeight w:val="20"/>
        </w:trPr>
        <w:tc>
          <w:tcPr>
            <w:tcW w:w="6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foreign net operating loss carryforwards attributable to Noa Home (see Note 3) of $7,511 resulting in a deferred tax asset of $1,791 upon which we have placed a full valuation allowance.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refunds received, net of taxes paid, during fiscal 2023 was $263. Income taxes paid, net of refunds received, during fiscal 2022 and 2021 were $20,176, and $3,092,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regularly evaluate, assess and adjust our accrued liabilities for unrecognized tax benefits in light of changing facts and circumstances, which could cause the effective tax rate to fluctuate from period to period. Our liabilities for uncertain tax positions are not material.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evaluating the Company's federal and state tax positions and in the determination of its tax provision. Despite our belief that the liability for unrecognized tax benefits is adequate, it is often difficult to predict the final outcome or the timing of the resolution of any particular tax matter. We may adjust these liabilities as relevant circumstances evolve, such as guidance from the relevant tax authority, or resolution of issues in the courts. These adjustments are recognized as a component of income tax expense in the period in which they are identified. The Company also cannot predict when or if any other future tax payments related to these tax positions may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subject to examination for tax years 2020 through 2023 for all of our major tax jurisdictions.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14. Other Gains and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Charge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regarding the $5,409 non-cash charge to impair goodwill associated with Noa Home.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Revaluation of Contingent Consideration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regarding a $1,013 gain resulting from the revaluation of contingent consideration owed to the former owners of Noa Home.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Gains on Dispositions of Retail Store Locations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2022, we sold one of our Company-owned store locations in Houston, Texas for $8,217 net of closing costs, resulting in a gain of $4,595 during the year ended November 26, 2022.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sale, together with our purchase of real property in Tampa, Florida for $7,668 in cash during the second quarter of fiscal 2022 will be treated as an exchange of like-kind property under Section 1031 of the Internal Revenue Code of 1986, as amended, for the purpose of deferring approximately $4,300 of the taxable gain arising from the sale of the Houston property. A VIE was established during the second quarter of fiscal 2022 for purposes of acquiring the Tampa, Florida property, of which the Company was the primary beneficiary by virtue of our control over the activities that most significantly impact the entity's economic performance. Subsequent to the completion of the exchange transactions during the third quarter of fiscal 2022, the sole equity interest in the VIE was transferred to Bassett and the entity is now consolidated as a wholly owned subsidiary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loss, net for the fiscal 2022 includes a gain of $1,441 arising from death benefits from Company-owned life insurance.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 and Lease Guarantees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“Leases” under Note 2 for a discussion of our accounting policies and elections under Topic 842.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our leases as of November 25, 2023 and November 26, 2022 is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November 25, 2023</w:t>
            </w:r>
          </w:p>
        </w:tc>
        <w:tc>
          <w:tcPr>
            <w:tcW w:w="2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November 26, 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use assets</w:t>
            </w:r>
          </w:p>
        </w:tc>
        <w:tc>
          <w:tcPr>
            <w:tcW w:w="274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100,888</w:t>
            </w: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liabilties, short-term</w:t>
            </w: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liabilties, long-term</w:t>
            </w:r>
          </w:p>
        </w:tc>
        <w:tc>
          <w:tcPr>
            <w:tcW w:w="2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 of use assets (1)</w:t>
            </w:r>
          </w:p>
        </w:tc>
        <w:tc>
          <w:tcPr>
            <w:tcW w:w="27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7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liabilties, short-term (2)</w:t>
            </w:r>
          </w:p>
        </w:tc>
        <w:tc>
          <w:tcPr>
            <w:tcW w:w="2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liabilties, long-term (3)</w:t>
            </w:r>
          </w:p>
        </w:tc>
        <w:tc>
          <w:tcPr>
            <w:tcW w:w="2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80" w:hanging="26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&amp; equipment, net in our consolidated balance sheet.</w:t>
      </w:r>
    </w:p>
    <w:p>
      <w:pPr>
        <w:spacing w:after="0" w:line="27"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current liabilites and accrued expenses in our consolidated balance sheet.</w:t>
      </w:r>
    </w:p>
    <w:p>
      <w:pPr>
        <w:spacing w:after="0" w:line="9"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liabilites and accrued expenses in our consolidated balance sheet.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Our right-of-use assets under operating leases by segment as of November 25, 2023 and November 26, 2022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November 25, 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November 26, 2022</w:t>
            </w:r>
          </w:p>
        </w:tc>
        <w:tc>
          <w:tcPr>
            <w:tcW w:w="6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4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right of use assets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100,888</w:t>
            </w:r>
          </w:p>
        </w:tc>
        <w:tc>
          <w:tcPr>
            <w:tcW w:w="80" w:type="dxa"/>
            <w:vAlign w:val="bottom"/>
          </w:tcPr>
          <w:p>
            <w:pPr>
              <w:spacing w:after="0"/>
              <w:rPr>
                <w:sz w:val="18"/>
                <w:szCs w:val="18"/>
                <w:color w:val="auto"/>
              </w:rPr>
            </w:pPr>
          </w:p>
        </w:tc>
        <w:tc>
          <w:tcPr>
            <w:tcW w:w="5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our lease cost for 2023, 2022 and 2021 were as follows:</w:t>
            </w: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3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24,287</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24,399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24,367</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cost: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278</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401</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 (net of abatements received)</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(1,093)</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8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24,155</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24,390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23,849</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lease disclosures as of November 25, 2023, November 26, 2022 and November 27, 2021 and for the fiscal years then ended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Financing</w:t>
            </w:r>
          </w:p>
        </w:tc>
      </w:tr>
      <w:tr>
        <w:trPr>
          <w:trHeight w:val="209"/>
        </w:trPr>
        <w:tc>
          <w:tcPr>
            <w:tcW w:w="5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November 27, 2021:</w:t>
            </w: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4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26,842</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new right-of-use assets</w:t>
            </w:r>
          </w:p>
        </w:tc>
        <w:tc>
          <w:tcPr>
            <w:tcW w:w="4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15,678</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5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November 26, 2022:</w:t>
            </w: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4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26,913</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new right-of-use assets</w:t>
            </w:r>
          </w:p>
        </w:tc>
        <w:tc>
          <w:tcPr>
            <w:tcW w:w="4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23,171</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November 25, 2023:</w:t>
            </w: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4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26,854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new right-of-use assets</w:t>
            </w:r>
          </w:p>
        </w:tc>
        <w:tc>
          <w:tcPr>
            <w:tcW w:w="4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21,921</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November 27, 2021:</w:t>
            </w: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terms (years)</w:t>
            </w:r>
          </w:p>
        </w:tc>
        <w:tc>
          <w:tcPr>
            <w:tcW w:w="4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4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5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November 26, 2022:</w:t>
            </w: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terms (years)</w:t>
            </w:r>
          </w:p>
        </w:tc>
        <w:tc>
          <w:tcPr>
            <w:tcW w:w="4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4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5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November 25, 2023:</w:t>
            </w:r>
          </w:p>
        </w:tc>
        <w:tc>
          <w:tcPr>
            <w:tcW w:w="2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remaining lease terms (years)</w:t>
            </w:r>
          </w:p>
        </w:tc>
        <w:tc>
          <w:tcPr>
            <w:tcW w:w="4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5.5</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discount rates</w:t>
            </w:r>
          </w:p>
        </w:tc>
        <w:tc>
          <w:tcPr>
            <w:tcW w:w="4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r>
      <w:tr>
        <w:trPr>
          <w:trHeight w:val="432"/>
        </w:trPr>
        <w:tc>
          <w:tcPr>
            <w:tcW w:w="5420" w:type="dxa"/>
            <w:vAlign w:val="bottom"/>
          </w:tcPr>
          <w:p>
            <w:pPr>
              <w:spacing w:after="0"/>
              <w:rPr>
                <w:sz w:val="24"/>
                <w:szCs w:val="24"/>
                <w:color w:val="auto"/>
              </w:rPr>
            </w:pPr>
          </w:p>
        </w:tc>
        <w:tc>
          <w:tcPr>
            <w:tcW w:w="250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54</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54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Future payments under our leases and the present value of the obligations as of November 25, 2023 are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Financing Leases</w:t>
            </w:r>
          </w:p>
        </w:tc>
      </w:tr>
      <w:tr>
        <w:trPr>
          <w:trHeight w:val="210"/>
        </w:trPr>
        <w:tc>
          <w:tcPr>
            <w:tcW w:w="6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26,003</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24,213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20,850</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16,872</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26,841</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140,048</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23,864</w:t>
            </w:r>
          </w:p>
        </w:tc>
        <w:tc>
          <w:tcPr>
            <w:tcW w:w="12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obligations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sublease a small number of our leased locations to certain of our licensees for operation as BHF network stores. The terms of these leases generally match those of the lease we have with the lessor. In addition, we sublease space in certain closed store locations that are still under lease. Minimum future lease payments due to us under these subleases are as follows: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future rental income</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2,599</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strategy for our store program, we have guaranteed certain lease obligations of licensee operators. Lease guarantees range from one to five years. We were contingently liable under licensee lease obligation guarantees in the amount of $1,845 and $1,880 at November 25, 2023 and November 26, 2022,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default by an independent dealer under the guaranteed lease, we believe that the risk of loss is mitigated through a combination of options that include, but are not limited to, arranging for a replacement dealer, liquidating the collateral, and pursuing payment under the personal guarantees of the independent dealer. The proceeds of the above options are estimated to cover the maximum amount of our future payments under the guarantee obligations, net of reserves. The fair value of lease guarantees (an estimate of the cost to the Company to perform on these guarantees) at November 25, 2023 and November 26, 2022, were not material.</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various claims and actions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Earnings (Loss) Per Share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share:</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 continuing operations: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25,360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16,921</w:t>
            </w:r>
          </w:p>
        </w:tc>
        <w:tc>
          <w:tcPr>
            <w:tcW w:w="0" w:type="dxa"/>
            <w:vAlign w:val="bottom"/>
          </w:tcPr>
          <w:p>
            <w:pPr>
              <w:spacing w:after="0"/>
              <w:rPr>
                <w:sz w:val="1"/>
                <w:szCs w:val="1"/>
                <w:color w:val="auto"/>
              </w:rPr>
            </w:pPr>
          </w:p>
        </w:tc>
      </w:tr>
      <w:tr>
        <w:trPr>
          <w:trHeight w:val="197"/>
        </w:trPr>
        <w:tc>
          <w:tcPr>
            <w:tcW w:w="6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Denominator for basic income per share - weighted average shares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8,784,759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9,394,873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9,835,829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7,945</w:t>
            </w:r>
          </w:p>
        </w:tc>
        <w:tc>
          <w:tcPr>
            <w:tcW w:w="0" w:type="dxa"/>
            <w:vAlign w:val="bottom"/>
          </w:tcPr>
          <w:p>
            <w:pPr>
              <w:spacing w:after="0"/>
              <w:rPr>
                <w:sz w:val="1"/>
                <w:szCs w:val="1"/>
                <w:color w:val="auto"/>
              </w:rPr>
            </w:pPr>
          </w:p>
        </w:tc>
      </w:tr>
      <w:tr>
        <w:trPr>
          <w:trHeight w:val="20"/>
        </w:trPr>
        <w:tc>
          <w:tcPr>
            <w:tcW w:w="6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160" w:type="dxa"/>
            <w:vAlign w:val="bottom"/>
          </w:tcPr>
          <w:p>
            <w:pPr>
              <w:ind w:left="660"/>
              <w:spacing w:after="0" w:line="191" w:lineRule="exact"/>
              <w:rPr>
                <w:sz w:val="20"/>
                <w:szCs w:val="20"/>
                <w:color w:val="auto"/>
              </w:rPr>
            </w:pPr>
            <w:r>
              <w:rPr>
                <w:rFonts w:ascii="Times New Roman" w:cs="Times New Roman" w:eastAsia="Times New Roman" w:hAnsi="Times New Roman"/>
                <w:sz w:val="18"/>
                <w:szCs w:val="18"/>
                <w:color w:val="auto"/>
              </w:rPr>
              <w:t>Denominator for diluted income per share — weighted average shares and</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8,784,759</w:t>
            </w:r>
          </w:p>
        </w:tc>
        <w:tc>
          <w:tcPr>
            <w:tcW w:w="320" w:type="dxa"/>
            <w:vAlign w:val="bottom"/>
          </w:tcPr>
          <w:p>
            <w:pPr>
              <w:spacing w:after="0"/>
              <w:rPr>
                <w:sz w:val="16"/>
                <w:szCs w:val="16"/>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9,402,980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9,843,774</w:t>
            </w:r>
          </w:p>
        </w:tc>
        <w:tc>
          <w:tcPr>
            <w:tcW w:w="0" w:type="dxa"/>
            <w:vAlign w:val="bottom"/>
          </w:tcPr>
          <w:p>
            <w:pPr>
              <w:spacing w:after="0"/>
              <w:rPr>
                <w:sz w:val="1"/>
                <w:szCs w:val="1"/>
                <w:color w:val="auto"/>
              </w:rPr>
            </w:pPr>
          </w:p>
        </w:tc>
      </w:tr>
      <w:tr>
        <w:trPr>
          <w:trHeight w:val="194"/>
        </w:trPr>
        <w:tc>
          <w:tcPr>
            <w:tcW w:w="6160" w:type="dxa"/>
            <w:vAlign w:val="bottom"/>
          </w:tcPr>
          <w:p>
            <w:pPr>
              <w:ind w:left="820"/>
              <w:spacing w:after="0" w:line="194" w:lineRule="exact"/>
              <w:rPr>
                <w:sz w:val="20"/>
                <w:szCs w:val="20"/>
                <w:color w:val="auto"/>
              </w:rPr>
            </w:pPr>
            <w:r>
              <w:rPr>
                <w:rFonts w:ascii="Times New Roman" w:cs="Times New Roman" w:eastAsia="Times New Roman" w:hAnsi="Times New Roman"/>
                <w:sz w:val="18"/>
                <w:szCs w:val="18"/>
                <w:color w:val="auto"/>
              </w:rPr>
              <w:t>assumed conversions</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 income (loss) per share - continuing operations:</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 income (loss) per share - continuing operations</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 discontinued operations: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39,985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Denominator for basic income per share - weighted average shares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8,784,759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9,394,873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9,835,829</w:t>
            </w:r>
          </w:p>
        </w:tc>
        <w:tc>
          <w:tcPr>
            <w:tcW w:w="0" w:type="dxa"/>
            <w:vAlign w:val="bottom"/>
          </w:tcPr>
          <w:p>
            <w:pPr>
              <w:spacing w:after="0"/>
              <w:rPr>
                <w:sz w:val="1"/>
                <w:szCs w:val="1"/>
                <w:color w:val="auto"/>
              </w:rPr>
            </w:pPr>
          </w:p>
        </w:tc>
      </w:tr>
      <w:tr>
        <w:trPr>
          <w:trHeight w:val="216"/>
        </w:trPr>
        <w:tc>
          <w:tcPr>
            <w:tcW w:w="6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160" w:type="dxa"/>
            <w:vAlign w:val="bottom"/>
            <w:shd w:val="clear" w:color="auto" w:fill="CCEEFF"/>
          </w:tcPr>
          <w:p>
            <w:pPr>
              <w:ind w:left="660"/>
              <w:spacing w:after="0" w:line="191" w:lineRule="exact"/>
              <w:rPr>
                <w:sz w:val="20"/>
                <w:szCs w:val="20"/>
                <w:color w:val="auto"/>
              </w:rPr>
            </w:pPr>
            <w:r>
              <w:rPr>
                <w:rFonts w:ascii="Times New Roman" w:cs="Times New Roman" w:eastAsia="Times New Roman" w:hAnsi="Times New Roman"/>
                <w:sz w:val="18"/>
                <w:szCs w:val="18"/>
                <w:color w:val="auto"/>
              </w:rPr>
              <w:t>Denominator for diluted income per share — weighted average shares and</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8,784,759</w:t>
            </w:r>
          </w:p>
        </w:tc>
        <w:tc>
          <w:tcPr>
            <w:tcW w:w="3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9,402,980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9,835,829</w:t>
            </w:r>
          </w:p>
        </w:tc>
        <w:tc>
          <w:tcPr>
            <w:tcW w:w="0" w:type="dxa"/>
            <w:vAlign w:val="bottom"/>
          </w:tcPr>
          <w:p>
            <w:pPr>
              <w:spacing w:after="0"/>
              <w:rPr>
                <w:sz w:val="1"/>
                <w:szCs w:val="1"/>
                <w:color w:val="auto"/>
              </w:rPr>
            </w:pPr>
          </w:p>
        </w:tc>
      </w:tr>
      <w:tr>
        <w:trPr>
          <w:trHeight w:val="234"/>
        </w:trPr>
        <w:tc>
          <w:tcPr>
            <w:tcW w:w="6160" w:type="dxa"/>
            <w:vAlign w:val="bottom"/>
            <w:shd w:val="clear" w:color="auto" w:fill="CCEEFF"/>
          </w:tcPr>
          <w:p>
            <w:pPr>
              <w:ind w:left="820"/>
              <w:spacing w:after="0" w:line="194" w:lineRule="exact"/>
              <w:rPr>
                <w:sz w:val="20"/>
                <w:szCs w:val="20"/>
                <w:color w:val="auto"/>
              </w:rPr>
            </w:pPr>
            <w:r>
              <w:rPr>
                <w:rFonts w:ascii="Times New Roman" w:cs="Times New Roman" w:eastAsia="Times New Roman" w:hAnsi="Times New Roman"/>
                <w:sz w:val="18"/>
                <w:szCs w:val="18"/>
                <w:color w:val="auto"/>
              </w:rPr>
              <w:t>assumed conversions</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 income per share - discontinued operations</w:t>
            </w: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197"/>
        </w:trPr>
        <w:tc>
          <w:tcPr>
            <w:tcW w:w="6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 income per share - discontinued operations</w:t>
            </w: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*Due to the net loss in 2023, the potentially dilutive securities would have been anti-dilutive and are therefore excluded.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2023, 2022 and 2021, the following potentially dilutive shares were excluded from the computations as their effect was anti-dilutive: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620" w:type="dxa"/>
            <w:vAlign w:val="bottom"/>
            <w:gridSpan w:val="2"/>
            <w:shd w:val="clear" w:color="auto" w:fill="CCEEFF"/>
          </w:tcPr>
          <w:p>
            <w:pPr>
              <w:jc w:val="right"/>
              <w:ind w:right="4650"/>
              <w:spacing w:after="0"/>
              <w:rPr>
                <w:sz w:val="20"/>
                <w:szCs w:val="20"/>
                <w:color w:val="auto"/>
              </w:rPr>
            </w:pPr>
            <w:r>
              <w:rPr>
                <w:rFonts w:ascii="Times New Roman" w:cs="Times New Roman" w:eastAsia="Times New Roman" w:hAnsi="Times New Roman"/>
                <w:sz w:val="18"/>
                <w:szCs w:val="18"/>
                <w:color w:val="auto"/>
                <w:w w:val="98"/>
              </w:rPr>
              <w:t>Unvested restricted shares</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92,313</w:t>
            </w:r>
          </w:p>
        </w:tc>
        <w:tc>
          <w:tcPr>
            <w:tcW w:w="1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56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18. Discontinued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31, 2022, we entered into a definitive agreement to sell substantially all of the assets of Zenith to J.B. Hunt. The sale was completed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2022, at which time we received the following net proceeds: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price prior to post-closing working capital adjustment</w:t>
            </w:r>
          </w:p>
        </w:tc>
        <w:tc>
          <w:tcPr>
            <w:tcW w:w="16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 held in escrow for contingencies related to representations and warranties (1)</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Seller expenses paid at closing</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Working capital adjustment paid to buyer</w:t>
            </w:r>
          </w:p>
        </w:tc>
        <w:tc>
          <w:tcPr>
            <w:tcW w:w="10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4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the sale</w:t>
            </w:r>
          </w:p>
        </w:tc>
        <w:tc>
          <w:tcPr>
            <w:tcW w:w="10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was held in escrow until the first anniversary of the sale, at which time the full amount was released to the Company on March 2, 2023. This amount was included in other current assets in the accompanying condensed consolidated balance sheet at November 26,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sales price was subject to customary post-closing working capital adjustments which were paid during the second half of fiscal 2022 and resulted in a pre-tax gain from the sale of Zenith of $52,534.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operations of our logistical services segment, which consisted entirely of the operations of Zenith, are presented in the accompanying consolidated statements of operations as discontinued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sale of Zenith, certain of Zenith’s liabilities primarily representing reserves and accrued liabilities for pre-disposal workers’ compensation, health insurance and auto liability claims were retained by Bassett. The remaining balance of these reserves and accruals totaled $358 and $639 at November 25, 2023 and November 26, 2022, respectively, and are included in other current liabilities and accrued expenses in the accompanying condensed consolidated balance sheet.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classes of line items constituting income of the discontinued operations, as reported in the consolidated statements of operations for fiscal 2023,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7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Major line items constituting pretax income of discontinued operations:</w:t>
            </w:r>
          </w:p>
        </w:tc>
        <w:tc>
          <w:tcPr>
            <w:tcW w:w="6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Logistical services revenue</w:t>
            </w:r>
          </w:p>
        </w:tc>
        <w:tc>
          <w:tcPr>
            <w:tcW w:w="17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16,776</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55,648</w:t>
            </w:r>
          </w:p>
        </w:tc>
      </w:tr>
      <w:tr>
        <w:trPr>
          <w:trHeight w:val="216"/>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logistical services</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53,905</w:t>
            </w: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loss, net</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r>
      <w:tr>
        <w:trPr>
          <w:trHeight w:val="210"/>
        </w:trPr>
        <w:tc>
          <w:tcPr>
            <w:tcW w:w="5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 of logistical services</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r>
      <w:tr>
        <w:trPr>
          <w:trHeight w:val="216"/>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w:t>
            </w:r>
          </w:p>
        </w:tc>
        <w:tc>
          <w:tcPr>
            <w:tcW w:w="6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Pretax income of discontinued operations</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1,483</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10"/>
        </w:trPr>
        <w:tc>
          <w:tcPr>
            <w:tcW w:w="57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amounts for revenue and costs of logistical services shown above represent the results of Zenith’s business transactions with third parties. Zenith also charged Bassett for logistical services provided to our wholesale segment in the amount of $9,121 during 2022 prior to disposal, and $31,329 for all of 2021. We have entered into a service agreement with J.B. Hunt for the continuation of these services for a period of seven years following the sale of Zenith. Subsequent to the sale, we incurred $26,125 and $27,604 of expense during 2023 and 2022, respectively, for the performance of logistical services.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other loss, net, is interest arising from finance leases assumed by J.B. Hunt as part of the transaction. Such interest amounted to $78 and $289 for 2022 and 2021,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The following table summarizes the cash flows generated by discontinued operations during 2023,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 (1)</w:t>
            </w:r>
          </w:p>
        </w:tc>
        <w:tc>
          <w:tcPr>
            <w:tcW w:w="2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 (1)</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40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1,681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4,082</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(4,508)</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(1,259)</w:t>
            </w:r>
          </w:p>
        </w:tc>
      </w:tr>
      <w:tr>
        <w:trPr>
          <w:trHeight w:val="209"/>
        </w:trPr>
        <w:tc>
          <w:tcPr>
            <w:tcW w:w="51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discontinued operations</w:t>
            </w:r>
          </w:p>
        </w:tc>
        <w:tc>
          <w:tcPr>
            <w:tcW w:w="240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1,229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(1,685)</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80" w:hanging="324"/>
        <w:spacing w:after="0"/>
        <w:tabs>
          <w:tab w:leader="none" w:pos="9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net proceeds from the sale of Zenith.</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 of the beginning of fiscal 2023 we have strategically aligned our business into three reportable segments as defined in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and as described below:</w:t>
      </w:r>
    </w:p>
    <w:p>
      <w:pPr>
        <w:spacing w:after="0" w:line="156" w:lineRule="exact"/>
        <w:rPr>
          <w:sz w:val="20"/>
          <w:szCs w:val="20"/>
          <w:color w:val="auto"/>
        </w:rPr>
      </w:pPr>
    </w:p>
    <w:p>
      <w:pPr>
        <w:jc w:val="both"/>
        <w:ind w:left="660" w:right="20" w:hanging="328"/>
        <w:spacing w:after="0" w:line="26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Wholesale. </w:t>
      </w:r>
      <w:r>
        <w:rPr>
          <w:rFonts w:ascii="Times New Roman" w:cs="Times New Roman" w:eastAsia="Times New Roman" w:hAnsi="Times New Roman"/>
          <w:sz w:val="18"/>
          <w:szCs w:val="18"/>
          <w:color w:val="auto"/>
        </w:rPr>
        <w:t>The wholesale home furnishings segment is involved principally in the design, manufacture, sourcing, sale and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furniture products to a network of Bassett stores (Company-owned and licensee-owned retail stores) and independent furniture retailers. Our wholesale segment includes our wood and upholstery operations, which includes Lane Venture.</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Company-owned stores. </w:t>
      </w:r>
      <w:r>
        <w:rPr>
          <w:rFonts w:ascii="Times New Roman" w:cs="Times New Roman" w:eastAsia="Times New Roman" w:hAnsi="Times New Roman"/>
          <w:sz w:val="18"/>
          <w:szCs w:val="18"/>
          <w:color w:val="auto"/>
        </w:rPr>
        <w:t>Our retail segment consists of Company-owned stores and includes the revenues, expenses,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capital expenditures directly related to these stores and the Company-owned distribution network utilized to deliver products to our retail customers.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and other </w:t>
      </w:r>
      <w:r>
        <w:rPr>
          <w:rFonts w:ascii="Times New Roman" w:cs="Times New Roman" w:eastAsia="Times New Roman" w:hAnsi="Times New Roman"/>
          <w:sz w:val="18"/>
          <w:szCs w:val="18"/>
          <w:color w:val="auto"/>
        </w:rPr>
        <w:t>– Corporate and other includes the shared costs of corporate functions such as treasury and finance, information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our other insignificant operating segment, the recently acquired Noa Home (see Note 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beginning of fiscal 2023, the functions included in Corporate and other were included in our wholesale reportable segment, and Noa Home was included in our retail reportable segment for the fourth quarter of fiscal 2022 following its acquisition on September 2, 2022. We believe that the new alignment of our reporting segments provides our chief operating decision maker with clearer information with which to assess the operating results of our wholesale segment. Noa Home does not meet the requirements to be a separate reportable segment as it is below the thresholds of the revenue, income and asset tests. The segment information presented below for fiscal 2022 and 2021 has been restated to reflect the new alignment of our reportable segments.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former logistical services segment which represented the operations of Zenith is now presented as a discontinued operation in the accompanying condensed consolidated balances sheets and statements of operations (see Note 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The following table presents segment information for each of the last three fiscal years: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248,911</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324,569</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(103,519)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(125,889)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(112,270)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0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145,392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198,680</w:t>
            </w: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183,059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285,119</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Corporate &amp; Other</w:t>
            </w:r>
          </w:p>
        </w:tc>
        <w:tc>
          <w:tcPr>
            <w:tcW w:w="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390,136</w:t>
            </w:r>
          </w:p>
        </w:tc>
        <w:tc>
          <w:tcPr>
            <w:tcW w:w="1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485,601</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430,886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Continuing Operations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Wholesale</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30,699</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41,979</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expenses - Corporate and other</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(30,997)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Inter-company elimination</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5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income (loss) from continuing operations</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(3,135)</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34,865</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Wholesale</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5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Wholesale</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5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21,296</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Wholesale</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99,004</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125,433</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and Other</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118,618</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5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370,424</w:t>
            </w:r>
          </w:p>
        </w:tc>
        <w:tc>
          <w:tcPr>
            <w:tcW w:w="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406,273</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421,660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 20 for disaggregated revenue information regarding sales of furniture and accessories by product type for the wholesale and retail segments.</w:t>
      </w:r>
    </w:p>
    <w:p>
      <w:pPr>
        <w:spacing w:after="0" w:line="22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580" w:right="7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20. Revenue Recognition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Disaggregated revenue information for sales of furniture and accessories by product category for fiscal years 2023, 2022 and 2021, excluding intercompany transactions between our segments,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gridSpan w:val="2"/>
          </w:tcPr>
          <w:p>
            <w:pPr>
              <w:jc w:val="center"/>
              <w:ind w:left="49"/>
              <w:spacing w:after="0" w:line="119" w:lineRule="exact"/>
              <w:rPr>
                <w:sz w:val="20"/>
                <w:szCs w:val="20"/>
                <w:color w:val="auto"/>
              </w:rPr>
            </w:pPr>
            <w:r>
              <w:rPr>
                <w:rFonts w:ascii="Times New Roman" w:cs="Times New Roman" w:eastAsia="Times New Roman" w:hAnsi="Times New Roman"/>
                <w:sz w:val="13"/>
                <w:szCs w:val="13"/>
                <w:color w:val="auto"/>
              </w:rPr>
              <w:t>Corporate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gridSpan w:val="2"/>
          </w:tcPr>
          <w:p>
            <w:pPr>
              <w:jc w:val="center"/>
              <w:spacing w:after="0" w:line="119" w:lineRule="exact"/>
              <w:rPr>
                <w:sz w:val="20"/>
                <w:szCs w:val="20"/>
                <w:color w:val="auto"/>
              </w:rPr>
            </w:pPr>
            <w:r>
              <w:rPr>
                <w:rFonts w:ascii="Times New Roman" w:cs="Times New Roman" w:eastAsia="Times New Roman" w:hAnsi="Times New Roman"/>
                <w:sz w:val="13"/>
                <w:szCs w:val="13"/>
                <w:color w:val="auto"/>
              </w:rPr>
              <w:t>Corporate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Corporate</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Wholesale</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2"/>
                <w:szCs w:val="12"/>
                <w:color w:val="auto"/>
              </w:rPr>
            </w:pPr>
          </w:p>
        </w:tc>
        <w:tc>
          <w:tcPr>
            <w:tcW w:w="6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&amp; Other</w:t>
            </w: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Wholesale</w:t>
            </w:r>
          </w:p>
        </w:tc>
        <w:tc>
          <w:tcPr>
            <w:tcW w:w="8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Retail</w:t>
            </w:r>
          </w:p>
        </w:tc>
        <w:tc>
          <w:tcPr>
            <w:tcW w:w="200" w:type="dxa"/>
            <w:vAlign w:val="bottom"/>
          </w:tcPr>
          <w:p>
            <w:pPr>
              <w:spacing w:after="0"/>
              <w:rPr>
                <w:sz w:val="12"/>
                <w:szCs w:val="12"/>
                <w:color w:val="auto"/>
              </w:rPr>
            </w:pPr>
          </w:p>
        </w:tc>
        <w:tc>
          <w:tcPr>
            <w:tcW w:w="6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&amp; Other</w:t>
            </w:r>
          </w:p>
        </w:tc>
        <w:tc>
          <w:tcPr>
            <w:tcW w:w="68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color w:val="auto"/>
                <w:w w:val="94"/>
              </w:rPr>
              <w:t>Total</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Wholesale</w:t>
            </w:r>
          </w:p>
        </w:tc>
        <w:tc>
          <w:tcPr>
            <w:tcW w:w="9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Retail</w:t>
            </w:r>
          </w:p>
        </w:tc>
        <w:tc>
          <w:tcPr>
            <w:tcW w:w="640" w:type="dxa"/>
            <w:vAlign w:val="bottom"/>
            <w:gridSpan w:val="2"/>
            <w:vMerge w:val="continue"/>
          </w:tcPr>
          <w:p>
            <w:pPr>
              <w:spacing w:after="0"/>
              <w:rPr>
                <w:sz w:val="12"/>
                <w:szCs w:val="12"/>
                <w:color w:val="auto"/>
              </w:rPr>
            </w:pP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(2)</w:t>
            </w: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w w:val="97"/>
              </w:rPr>
              <w:t>(2)</w:t>
            </w:r>
          </w:p>
        </w:tc>
        <w:tc>
          <w:tcPr>
            <w:tcW w:w="6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99"/>
              </w:rPr>
              <w:t>&amp; Other</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Bassett Custom Upholstery</w:t>
            </w:r>
          </w:p>
        </w:tc>
        <w:tc>
          <w:tcPr>
            <w:tcW w:w="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89,005</w:t>
            </w: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$ 134,000</w:t>
            </w:r>
          </w:p>
        </w:tc>
        <w:tc>
          <w:tcPr>
            <w:tcW w:w="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$ 223,005</w:t>
            </w:r>
          </w:p>
        </w:tc>
        <w:tc>
          <w:tcPr>
            <w:tcW w:w="32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124,565</w:t>
            </w:r>
          </w:p>
        </w:tc>
        <w:tc>
          <w:tcPr>
            <w:tcW w:w="8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$ 163,755</w:t>
            </w: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$ 288,320</w:t>
            </w:r>
          </w:p>
        </w:tc>
        <w:tc>
          <w:tcPr>
            <w:tcW w:w="20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105,445</w:t>
            </w:r>
          </w:p>
        </w:tc>
        <w:tc>
          <w:tcPr>
            <w:tcW w:w="900" w:type="dxa"/>
            <w:vAlign w:val="bottom"/>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$ 139,527</w:t>
            </w:r>
          </w:p>
        </w:tc>
        <w:tc>
          <w:tcPr>
            <w:tcW w:w="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$ 244,972</w:t>
            </w: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Bassett Leather</w:t>
            </w:r>
          </w:p>
        </w:tc>
        <w:tc>
          <w:tcPr>
            <w:tcW w:w="10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26,701</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1,951</w:t>
            </w:r>
          </w:p>
        </w:tc>
        <w:tc>
          <w:tcPr>
            <w:tcW w:w="30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28,652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35,953</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1,707</w:t>
            </w:r>
          </w:p>
        </w:tc>
        <w:tc>
          <w:tcPr>
            <w:tcW w:w="20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37,660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36,157</w:t>
            </w:r>
          </w:p>
        </w:tc>
        <w:tc>
          <w:tcPr>
            <w:tcW w:w="9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5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36,383</w:t>
            </w:r>
          </w:p>
        </w:tc>
        <w:tc>
          <w:tcPr>
            <w:tcW w:w="0" w:type="dxa"/>
            <w:vAlign w:val="bottom"/>
          </w:tcPr>
          <w:p>
            <w:pPr>
              <w:spacing w:after="0"/>
              <w:rPr>
                <w:sz w:val="1"/>
                <w:szCs w:val="1"/>
                <w:color w:val="auto"/>
              </w:rPr>
            </w:pPr>
          </w:p>
        </w:tc>
      </w:tr>
      <w:tr>
        <w:trPr>
          <w:trHeight w:val="148"/>
        </w:trPr>
        <w:tc>
          <w:tcPr>
            <w:tcW w:w="1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Bassett Custom Wood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17,357</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36,732</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54,089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22,534</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43,208</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65,742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24,079</w:t>
            </w:r>
          </w:p>
        </w:tc>
        <w:tc>
          <w:tcPr>
            <w:tcW w:w="900" w:type="dxa"/>
            <w:vAlign w:val="bottom"/>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30,931</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55,010</w:t>
            </w:r>
          </w:p>
        </w:tc>
        <w:tc>
          <w:tcPr>
            <w:tcW w:w="0" w:type="dxa"/>
            <w:vAlign w:val="bottom"/>
          </w:tcPr>
          <w:p>
            <w:pPr>
              <w:spacing w:after="0"/>
              <w:rPr>
                <w:sz w:val="1"/>
                <w:szCs w:val="1"/>
                <w:color w:val="auto"/>
              </w:rPr>
            </w:pPr>
          </w:p>
        </w:tc>
      </w:tr>
      <w:tr>
        <w:trPr>
          <w:trHeight w:val="148"/>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Bassett Casegoods</w:t>
            </w:r>
          </w:p>
        </w:tc>
        <w:tc>
          <w:tcPr>
            <w:tcW w:w="100" w:type="dxa"/>
            <w:vAlign w:val="bottom"/>
          </w:tcPr>
          <w:p>
            <w:pPr>
              <w:spacing w:after="0"/>
              <w:rPr>
                <w:sz w:val="12"/>
                <w:szCs w:val="12"/>
                <w:color w:val="auto"/>
              </w:rPr>
            </w:pPr>
          </w:p>
        </w:tc>
        <w:tc>
          <w:tcPr>
            <w:tcW w:w="6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12,329</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32,252</w:t>
            </w:r>
          </w:p>
        </w:tc>
        <w:tc>
          <w:tcPr>
            <w:tcW w:w="30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44,581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15,628</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40,146</w:t>
            </w:r>
          </w:p>
        </w:tc>
        <w:tc>
          <w:tcPr>
            <w:tcW w:w="200" w:type="dxa"/>
            <w:vAlign w:val="bottom"/>
          </w:tcPr>
          <w:p>
            <w:pPr>
              <w:spacing w:after="0"/>
              <w:rPr>
                <w:sz w:val="12"/>
                <w:szCs w:val="12"/>
                <w:color w:val="auto"/>
              </w:rPr>
            </w:pP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55,774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17,378</w:t>
            </w:r>
          </w:p>
        </w:tc>
        <w:tc>
          <w:tcPr>
            <w:tcW w:w="9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42,658</w:t>
            </w:r>
          </w:p>
        </w:tc>
        <w:tc>
          <w:tcPr>
            <w:tcW w:w="5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60,036</w:t>
            </w:r>
          </w:p>
        </w:tc>
        <w:tc>
          <w:tcPr>
            <w:tcW w:w="0" w:type="dxa"/>
            <w:vAlign w:val="bottom"/>
          </w:tcPr>
          <w:p>
            <w:pPr>
              <w:spacing w:after="0"/>
              <w:rPr>
                <w:sz w:val="1"/>
                <w:szCs w:val="1"/>
                <w:color w:val="auto"/>
              </w:rPr>
            </w:pPr>
          </w:p>
        </w:tc>
      </w:tr>
      <w:tr>
        <w:trPr>
          <w:trHeight w:val="126"/>
        </w:trPr>
        <w:tc>
          <w:tcPr>
            <w:tcW w:w="17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Accessories, mattresses and</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31,005</w:t>
            </w:r>
          </w:p>
        </w:tc>
        <w:tc>
          <w:tcPr>
            <w:tcW w:w="3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8,804</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39,809</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36,303</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1,802</w:t>
            </w: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38,105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34,485</w:t>
            </w:r>
          </w:p>
        </w:tc>
        <w:tc>
          <w:tcPr>
            <w:tcW w:w="5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34,485</w:t>
            </w:r>
          </w:p>
        </w:tc>
        <w:tc>
          <w:tcPr>
            <w:tcW w:w="0" w:type="dxa"/>
            <w:vAlign w:val="bottom"/>
          </w:tcPr>
          <w:p>
            <w:pPr>
              <w:spacing w:after="0"/>
              <w:rPr>
                <w:sz w:val="1"/>
                <w:szCs w:val="1"/>
                <w:color w:val="auto"/>
              </w:rPr>
            </w:pPr>
          </w:p>
        </w:tc>
      </w:tr>
      <w:tr>
        <w:trPr>
          <w:trHeight w:val="158"/>
        </w:trPr>
        <w:tc>
          <w:tcPr>
            <w:tcW w:w="172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other (1)</w:t>
            </w: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720" w:type="dxa"/>
            <w:vAlign w:val="bottom"/>
            <w:tcBorders>
              <w:top w:val="single" w:sz="8" w:color="CCEEFF"/>
            </w:tcBorders>
          </w:tcPr>
          <w:p>
            <w:pPr>
              <w:spacing w:after="0" w:line="119" w:lineRule="exact"/>
              <w:rPr>
                <w:sz w:val="20"/>
                <w:szCs w:val="20"/>
                <w:color w:val="auto"/>
              </w:rPr>
            </w:pPr>
            <w:r>
              <w:rPr>
                <w:rFonts w:ascii="Times New Roman" w:cs="Times New Roman" w:eastAsia="Times New Roman" w:hAnsi="Times New Roman"/>
                <w:sz w:val="13"/>
                <w:szCs w:val="13"/>
                <w:color w:val="auto"/>
              </w:rPr>
              <w:t>Consolidated Furniture and</w:t>
            </w: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145,392</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$ 235,940</w:t>
            </w: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8,804</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$ 390,136</w:t>
            </w:r>
          </w:p>
        </w:tc>
        <w:tc>
          <w:tcPr>
            <w:tcW w:w="2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198,680</w:t>
            </w:r>
          </w:p>
        </w:tc>
        <w:tc>
          <w:tcPr>
            <w:tcW w:w="8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$ 285,119</w:t>
            </w: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1,802</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$ 485,601</w:t>
            </w: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183,059</w:t>
            </w:r>
          </w:p>
        </w:tc>
        <w:tc>
          <w:tcPr>
            <w:tcW w:w="90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$ 247,827</w:t>
            </w:r>
          </w:p>
        </w:tc>
        <w:tc>
          <w:tcPr>
            <w:tcW w:w="5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$ 430,886</w:t>
            </w:r>
          </w:p>
        </w:tc>
        <w:tc>
          <w:tcPr>
            <w:tcW w:w="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20" w:type="dxa"/>
            <w:vAlign w:val="bottom"/>
          </w:tcPr>
          <w:p>
            <w:pPr>
              <w:ind w:left="180"/>
              <w:spacing w:after="0" w:line="125" w:lineRule="exact"/>
              <w:rPr>
                <w:sz w:val="20"/>
                <w:szCs w:val="20"/>
                <w:color w:val="auto"/>
              </w:rPr>
            </w:pPr>
            <w:r>
              <w:rPr>
                <w:rFonts w:ascii="Times New Roman" w:cs="Times New Roman" w:eastAsia="Times New Roman" w:hAnsi="Times New Roman"/>
                <w:sz w:val="14"/>
                <w:szCs w:val="14"/>
                <w:color w:val="auto"/>
              </w:rPr>
              <w:t>Accessories revenue</w:t>
            </w:r>
          </w:p>
        </w:tc>
        <w:tc>
          <w:tcPr>
            <w:tcW w:w="10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sale of goods other than Bassett-branded products, such as accessories and bedding, and also includes the sale of furniture protection plans.</w:t>
      </w:r>
    </w:p>
    <w:p>
      <w:pPr>
        <w:ind w:left="660" w:hanging="328"/>
        <w:spacing w:after="0" w:line="26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fourth quarter of fiscal 2022, our Corporate and other segment includes the sales of Noa Home, which was acquired on September 2, 2022 (see Note 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color w:val="auto"/>
        </w:rPr>
        <w:t>CONTROLS AND PROCEDURES</w:t>
      </w:r>
    </w:p>
    <w:p>
      <w:pPr>
        <w:spacing w:after="0" w:line="22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our principal executive officer and principal financial officer have evaluated the effectiveness of our “disclosure controls and procedures” (“Disclosure Controls”). Disclosure Controls, as defined in Rule 13a-15(e) of the Securities Exchange Act of 1934, as amended (the “Exchange Act”), are procedures that are designed to provide reasonable assurance that information required to be disclosed in our reports filed under the Exchange Act, such as this Annual Report, is recorded, processed, summarized and reported within the time periods specified in the Securities and Exchange Commission’s rules and forms. Disclosure Controls are also designed with the objective of ensuring that such information is accumulated and communicated to our management, including the CEO and CFO, as appropriate to allow timely decisions regarding required disclosure. Our management, including the CEO and CFO, does not expect that our Disclosure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their controls evaluation, our CEO and CFO have concluded that our Disclosure Controls are effective at a reasonable assurance level.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in accordance with Exchange Act Rule 13a-</w:t>
      </w:r>
    </w:p>
    <w:p>
      <w:pPr>
        <w:spacing w:after="0" w:line="27" w:lineRule="exact"/>
        <w:rPr>
          <w:sz w:val="20"/>
          <w:szCs w:val="20"/>
          <w:color w:val="auto"/>
        </w:rPr>
      </w:pPr>
    </w:p>
    <w:p>
      <w:pPr>
        <w:jc w:val="both"/>
        <w:ind w:left="660" w:hanging="4"/>
        <w:spacing w:after="0" w:line="25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participation of our CEO and CFO, our management conducted an evaluation of the effectiveness of our internal control over financial reporting as of November 25, 2023 based on the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our internal control over financial reporting was effective as of November 25, 2023, based on those criteria.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18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Ernst &amp; Young LLP, the Company’s independent registered public accounting firm, has issued an attestation report on the effectiveness of the Company’s internal control over financial reporting.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during our fourth fiscal quarter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Bassett Furniture Industries, Incorporated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Bassett Furniture Industries, Incorporated and Subsidiaries’ internal control over financial reporting as of November 25, 2023, based on criteria established in Internal Control—Integrated Framework issued by the Committee of Sponsoring Organizations of the Treadway Commission (2013 framework) (the COSO criteria). In our opinion, Bassett Furniture Industries, Incorporated and Subsidiaries (the Company) maintained, in all material respects, effective internal control over financial reporting as of November 25, 2023,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November 25, 2023 and November 26, 2022, the related consolidated statements of operations, comprehensive income (loss), stockholders' equity, and cash flows for each of the three years in the period ended November 25, 2023, and the related notes and schedule and our report dated January 25, 2024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color w:val="auto"/>
        </w:rPr>
        <w:t>.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color w:val="auto"/>
        </w:rPr>
        <w:t>DIRECTORS AND EXECUTIVE OFFICERS OF THE REGISTRANT</w:t>
      </w:r>
    </w:p>
    <w:p>
      <w:pPr>
        <w:spacing w:after="0" w:line="22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captions “Election of Directors” and “Board and Board Committee Information,” is incorporated herein by reference thereto. Please see section entitled “Information about our Executive Officers” in Item 4B of Part I of this report for information concerning executive officers.</w:t>
      </w:r>
    </w:p>
    <w:p>
      <w:pPr>
        <w:spacing w:after="0" w:line="176"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Registrant has a code of ethics that applies to all of its employees, officers and directors. The code of ethics is available on the Registrant’s website at www.bassettfurniture.com and the Registrant will post any amendments to, or waivers, from, the code of ethics on that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color w:val="auto"/>
        </w:rPr>
        <w:t>EXECUTIVE COMPENSATION</w:t>
      </w:r>
    </w:p>
    <w:p>
      <w:pPr>
        <w:spacing w:after="0" w:line="229"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captions “Organization, Compensation and Nominating Committee Report,” “Compensation Discussion and Analysis,” “Executive Compensation,” and “Director Compensation”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color w:val="auto"/>
        </w:rPr>
        <w:t>SECURITY OWNERSHIP OF CERTAIN BENEFICIAL OWNERS AND MANAGEMENT AND RELATED STOCKHOLDER MATTERS</w:t>
      </w:r>
    </w:p>
    <w:p>
      <w:pPr>
        <w:spacing w:after="0" w:line="229"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headings “Principal Stockholders and Holdings of Management” and “Equity Compensation Plan Information”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color w:val="auto"/>
        </w:rPr>
        <w:t>CERTAIN RELATIONSHIPS AND RELATED TRANSACTIONS</w:t>
      </w:r>
    </w:p>
    <w:p>
      <w:pPr>
        <w:spacing w:after="0" w:line="229"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information to be contained in the Proxy Statement under the captions “Board and Board Committee Information” and “Other Transactions”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color w:val="auto"/>
        </w:rPr>
        <w:t>PRINCIPAL ACCOUNTING FEES AND SERVICES</w:t>
      </w:r>
    </w:p>
    <w:p>
      <w:pPr>
        <w:spacing w:after="0" w:line="2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information to be contained in the Proxy Statement under the caption “Audit and Other Fees” is incorporated herein by reference thereto.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color w:val="auto"/>
        </w:rPr>
        <w:t>EXHIBITS, FINANCIAL STATEMENT SCHEDULES</w:t>
      </w:r>
    </w:p>
    <w:p>
      <w:pPr>
        <w:spacing w:after="0" w:line="229" w:lineRule="exact"/>
        <w:rPr>
          <w:sz w:val="20"/>
          <w:szCs w:val="20"/>
          <w:color w:val="auto"/>
        </w:rPr>
      </w:pPr>
    </w:p>
    <w:p>
      <w:pPr>
        <w:ind w:left="680" w:hanging="672"/>
        <w:spacing w:after="0" w:line="266" w:lineRule="auto"/>
        <w:tabs>
          <w:tab w:leader="none" w:pos="3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Bassett Furniture Industries, Incorporated and Subsidiaries Audited Consolidated Financial Statements for the years ended November 25, 2023, November 26, 2022 and November 27, 2021; Report of Ernst &amp; Young LLP, Independent Registered Public Accounting Firm (PCAOB ID 42); Report of Ernst &amp; Young LLP, Independent Registered Public Accounting Firm, on Internal Control Over Financial Reporting (PCAOB ID 42).</w:t>
      </w:r>
    </w:p>
    <w:p>
      <w:pPr>
        <w:spacing w:after="0" w:line="17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225"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Schedule II- Analysis of Valuation and Qualifying Accounts for the years ended November 25, 2023, November 26, 2022 and November 27, 2021</w:t>
      </w:r>
    </w:p>
    <w:p>
      <w:pPr>
        <w:spacing w:after="0" w:line="236"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of Exhibits</w:t>
      </w:r>
    </w:p>
    <w:p>
      <w:pPr>
        <w:spacing w:after="0" w:line="225" w:lineRule="exact"/>
        <w:rPr>
          <w:sz w:val="20"/>
          <w:szCs w:val="20"/>
          <w:color w:val="auto"/>
        </w:rPr>
      </w:pPr>
    </w:p>
    <w:p>
      <w:pPr>
        <w:ind w:left="1400"/>
        <w:spacing w:after="0"/>
        <w:tabs>
          <w:tab w:leader="none" w:pos="2140" w:val="left"/>
        </w:tabs>
        <w:rPr>
          <w:sz w:val="20"/>
          <w:szCs w:val="20"/>
          <w:color w:val="auto"/>
        </w:rPr>
      </w:pPr>
      <w:r>
        <w:rPr>
          <w:rFonts w:ascii="Times New Roman" w:cs="Times New Roman" w:eastAsia="Times New Roman" w:hAnsi="Times New Roman"/>
          <w:sz w:val="18"/>
          <w:szCs w:val="18"/>
          <w:color w:val="auto"/>
        </w:rPr>
        <w:t>3A.</w:t>
      </w:r>
      <w:r>
        <w:rPr>
          <w:sz w:val="20"/>
          <w:szCs w:val="20"/>
          <w:color w:val="auto"/>
        </w:rPr>
        <w:tab/>
      </w:r>
      <w:r>
        <w:rPr>
          <w:rFonts w:ascii="Times New Roman" w:cs="Times New Roman" w:eastAsia="Times New Roman" w:hAnsi="Times New Roman"/>
          <w:sz w:val="18"/>
          <w:szCs w:val="18"/>
          <w:color w:val="auto"/>
        </w:rPr>
        <w:t>Articles of Incorporation as amended are incorporated herein by reference to Form 10-Q for the fiscal quarter ended February</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28, 1994.</w:t>
      </w:r>
    </w:p>
    <w:p>
      <w:pPr>
        <w:spacing w:after="0" w:line="207" w:lineRule="exact"/>
        <w:rPr>
          <w:sz w:val="20"/>
          <w:szCs w:val="20"/>
          <w:color w:val="auto"/>
        </w:rPr>
      </w:pPr>
    </w:p>
    <w:p>
      <w:pPr>
        <w:ind w:left="1400"/>
        <w:spacing w:after="0"/>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3B.</w:t>
      </w:r>
      <w:r>
        <w:rPr>
          <w:sz w:val="20"/>
          <w:szCs w:val="20"/>
          <w:color w:val="auto"/>
        </w:rPr>
        <w:tab/>
      </w:r>
      <w:hyperlink r:id="rId72">
        <w:r>
          <w:rPr>
            <w:rFonts w:ascii="Times New Roman" w:cs="Times New Roman" w:eastAsia="Times New Roman" w:hAnsi="Times New Roman"/>
            <w:sz w:val="18"/>
            <w:szCs w:val="18"/>
            <w:u w:val="single" w:color="auto"/>
            <w:color w:val="0000EE"/>
          </w:rPr>
          <w:t>By-laws as amended to date are incorporated herein by reference to Exhibit 3.1 to Form 8-K filed with the SEC on January</w:t>
        </w:r>
      </w:hyperlink>
    </w:p>
    <w:p>
      <w:pPr>
        <w:spacing w:after="0" w:line="27" w:lineRule="exact"/>
        <w:rPr>
          <w:sz w:val="20"/>
          <w:szCs w:val="20"/>
          <w:color w:val="auto"/>
        </w:rPr>
      </w:pPr>
    </w:p>
    <w:p>
      <w:pPr>
        <w:ind w:left="2160"/>
        <w:spacing w:after="0"/>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16, 2024.</w:t>
        </w:r>
      </w:hyperlink>
    </w:p>
    <w:p>
      <w:pPr>
        <w:spacing w:after="0" w:line="207" w:lineRule="exact"/>
        <w:rPr>
          <w:sz w:val="20"/>
          <w:szCs w:val="20"/>
          <w:color w:val="auto"/>
        </w:rPr>
      </w:pPr>
    </w:p>
    <w:p>
      <w:pPr>
        <w:jc w:val="both"/>
        <w:ind w:left="2160" w:hanging="759"/>
        <w:spacing w:after="0" w:line="266" w:lineRule="auto"/>
        <w:tabs>
          <w:tab w:leader="none" w:pos="2140" w:val="left"/>
        </w:tabs>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4A.</w:t>
      </w:r>
      <w:r>
        <w:rPr>
          <w:sz w:val="20"/>
          <w:szCs w:val="20"/>
          <w:color w:val="auto"/>
        </w:rPr>
        <w:tab/>
      </w:r>
      <w:hyperlink r:id="rId73">
        <w:r>
          <w:rPr>
            <w:rFonts w:ascii="Times New Roman" w:cs="Times New Roman" w:eastAsia="Times New Roman" w:hAnsi="Times New Roman"/>
            <w:sz w:val="18"/>
            <w:szCs w:val="18"/>
            <w:u w:val="single" w:color="auto"/>
            <w:color w:val="0000EE"/>
          </w:rPr>
          <w:t>Seventh Amended and Restated Credit Agreement with Truist Bank dated January 27, 2022 is incorporated herein by</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reference to Exhibit 4A to Form 10-K filed with the SEC on January 31,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Registrant hereby agrees to furnish the SEC,</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upon request, other instruments defining the rights of holders of long-term debt of the Registrant.</w:t>
      </w:r>
    </w:p>
    <w:p>
      <w:pPr>
        <w:spacing w:after="0" w:line="176" w:lineRule="exact"/>
        <w:rPr>
          <w:sz w:val="20"/>
          <w:szCs w:val="20"/>
          <w:color w:val="auto"/>
        </w:rPr>
      </w:pPr>
    </w:p>
    <w:p>
      <w:pPr>
        <w:jc w:val="both"/>
        <w:ind w:left="2160" w:hanging="759"/>
        <w:spacing w:after="0" w:line="282" w:lineRule="auto"/>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4B.</w:t>
      </w:r>
      <w:r>
        <w:rPr>
          <w:sz w:val="20"/>
          <w:szCs w:val="20"/>
          <w:color w:val="auto"/>
        </w:rPr>
        <w:tab/>
      </w:r>
      <w:hyperlink r:id="rId74">
        <w:r>
          <w:rPr>
            <w:rFonts w:ascii="Times New Roman" w:cs="Times New Roman" w:eastAsia="Times New Roman" w:hAnsi="Times New Roman"/>
            <w:sz w:val="18"/>
            <w:szCs w:val="18"/>
            <w:u w:val="single" w:color="auto"/>
            <w:color w:val="0000EE"/>
          </w:rPr>
          <w:t>Description of Capital Stock is incorporated herein by reference to Form 10-K for the fiscal year ended November 30, 2019,</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filed January 23, 2020.</w:t>
        </w:r>
      </w:hyperlink>
    </w:p>
    <w:p>
      <w:pPr>
        <w:spacing w:after="0" w:line="162" w:lineRule="exact"/>
        <w:rPr>
          <w:sz w:val="20"/>
          <w:szCs w:val="20"/>
          <w:color w:val="auto"/>
        </w:rPr>
      </w:pPr>
    </w:p>
    <w:p>
      <w:pPr>
        <w:jc w:val="both"/>
        <w:ind w:left="2160" w:hanging="759"/>
        <w:spacing w:after="0" w:line="266" w:lineRule="auto"/>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10A.</w:t>
      </w:r>
      <w:r>
        <w:rPr>
          <w:sz w:val="20"/>
          <w:szCs w:val="20"/>
          <w:color w:val="auto"/>
        </w:rPr>
        <w:tab/>
      </w:r>
      <w:hyperlink r:id="rId75">
        <w:r>
          <w:rPr>
            <w:rFonts w:ascii="Times New Roman" w:cs="Times New Roman" w:eastAsia="Times New Roman" w:hAnsi="Times New Roman"/>
            <w:sz w:val="18"/>
            <w:szCs w:val="18"/>
            <w:u w:val="single" w:color="auto"/>
            <w:color w:val="0000EE"/>
          </w:rPr>
          <w:t>Asset Purchase Agreement dated January 31, 2022 by and among Bassett Furniture Industries, Incorporated, Zenith Freight</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Lines, LLC and J.B. Hunt Transport, Inc. is incorporated herein by reference to Exhibit 2.1 to Form 8-K filed with the SEC</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on February 1,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2160" w:hanging="759"/>
        <w:spacing w:after="0" w:line="282" w:lineRule="auto"/>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*10B.</w:t>
      </w:r>
      <w:r>
        <w:rPr>
          <w:sz w:val="20"/>
          <w:szCs w:val="20"/>
          <w:color w:val="auto"/>
        </w:rPr>
        <w:tab/>
      </w:r>
      <w:hyperlink r:id="rId76">
        <w:r>
          <w:rPr>
            <w:rFonts w:ascii="Times New Roman" w:cs="Times New Roman" w:eastAsia="Times New Roman" w:hAnsi="Times New Roman"/>
            <w:sz w:val="18"/>
            <w:szCs w:val="18"/>
            <w:u w:val="single" w:color="auto"/>
            <w:color w:val="0000EE"/>
          </w:rPr>
          <w:t>Bassett Executive Deferred Compensation Plan is incorporated herein by reference to Form 10-K for the fiscal year ended</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November 30, 1997.</w:t>
        </w:r>
      </w:hyperlink>
    </w:p>
    <w:p>
      <w:pPr>
        <w:spacing w:after="0" w:line="162" w:lineRule="exact"/>
        <w:rPr>
          <w:sz w:val="20"/>
          <w:szCs w:val="20"/>
          <w:color w:val="auto"/>
        </w:rPr>
      </w:pPr>
    </w:p>
    <w:p>
      <w:pPr>
        <w:jc w:val="both"/>
        <w:ind w:left="2160" w:hanging="759"/>
        <w:spacing w:after="0" w:line="282" w:lineRule="auto"/>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*10C.</w:t>
      </w:r>
      <w:r>
        <w:rPr>
          <w:sz w:val="20"/>
          <w:szCs w:val="20"/>
          <w:color w:val="auto"/>
        </w:rPr>
        <w:tab/>
      </w:r>
      <w:hyperlink r:id="rId76">
        <w:r>
          <w:rPr>
            <w:rFonts w:ascii="Times New Roman" w:cs="Times New Roman" w:eastAsia="Times New Roman" w:hAnsi="Times New Roman"/>
            <w:sz w:val="18"/>
            <w:szCs w:val="18"/>
            <w:u w:val="single" w:color="auto"/>
            <w:color w:val="0000EE"/>
          </w:rPr>
          <w:t>Bassett Supplemental Retirement Income Plan is incorporated herein by reference to Form 10-K for the fiscal year ended</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November 30, 1997.</w:t>
        </w:r>
      </w:hyperlink>
    </w:p>
    <w:p>
      <w:pPr>
        <w:spacing w:after="0" w:line="162" w:lineRule="exact"/>
        <w:rPr>
          <w:sz w:val="20"/>
          <w:szCs w:val="20"/>
          <w:color w:val="auto"/>
        </w:rPr>
      </w:pPr>
    </w:p>
    <w:p>
      <w:pPr>
        <w:jc w:val="both"/>
        <w:ind w:left="2160" w:hanging="759"/>
        <w:spacing w:after="0" w:line="282" w:lineRule="auto"/>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*10K.</w:t>
      </w:r>
      <w:r>
        <w:rPr>
          <w:sz w:val="20"/>
          <w:szCs w:val="20"/>
          <w:color w:val="auto"/>
        </w:rPr>
        <w:tab/>
      </w:r>
      <w:hyperlink r:id="rId77">
        <w:r>
          <w:rPr>
            <w:rFonts w:ascii="Times New Roman" w:cs="Times New Roman" w:eastAsia="Times New Roman" w:hAnsi="Times New Roman"/>
            <w:sz w:val="18"/>
            <w:szCs w:val="18"/>
            <w:u w:val="single" w:color="auto"/>
            <w:color w:val="0000EE"/>
          </w:rPr>
          <w:t>Bassett Furniture Industries, Incorporated 2021 Stock Incentive Plan incorporated by reference to Schedule 14A filed on</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February 8, 2021</w:t>
        </w:r>
      </w:hyperlink>
    </w:p>
    <w:p>
      <w:pPr>
        <w:spacing w:after="0" w:line="162" w:lineRule="exact"/>
        <w:rPr>
          <w:sz w:val="20"/>
          <w:szCs w:val="20"/>
          <w:color w:val="auto"/>
        </w:rPr>
      </w:pPr>
    </w:p>
    <w:p>
      <w:pPr>
        <w:jc w:val="both"/>
        <w:ind w:left="2160" w:hanging="759"/>
        <w:spacing w:after="0" w:line="266" w:lineRule="auto"/>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*10L.</w:t>
      </w:r>
      <w:r>
        <w:rPr>
          <w:sz w:val="20"/>
          <w:szCs w:val="20"/>
          <w:color w:val="auto"/>
        </w:rPr>
        <w:tab/>
      </w:r>
      <w:hyperlink r:id="rId78">
        <w:r>
          <w:rPr>
            <w:rFonts w:ascii="Times New Roman" w:cs="Times New Roman" w:eastAsia="Times New Roman" w:hAnsi="Times New Roman"/>
            <w:sz w:val="18"/>
            <w:szCs w:val="18"/>
            <w:u w:val="single" w:color="auto"/>
            <w:color w:val="0000EE"/>
          </w:rPr>
          <w:t>Form of Performance Share Award Agreement, Restricted Stock Award Agreement and Stock Option Award Agreement</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under the Bassett Furniture Industries, Incorporated 2021 Stock Incentive Plan is incorporated herein by reference to Exhibit</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10.L to Form 10-K filed with the SEC on January 31, 2022.</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2160" w:right="20" w:hanging="759"/>
        <w:spacing w:after="0" w:line="282" w:lineRule="auto"/>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*10M.</w:t>
      </w:r>
      <w:r>
        <w:rPr>
          <w:sz w:val="20"/>
          <w:szCs w:val="20"/>
          <w:color w:val="auto"/>
        </w:rPr>
        <w:tab/>
      </w:r>
      <w:hyperlink r:id="rId79">
        <w:r>
          <w:rPr>
            <w:rFonts w:ascii="Times New Roman" w:cs="Times New Roman" w:eastAsia="Times New Roman" w:hAnsi="Times New Roman"/>
            <w:sz w:val="18"/>
            <w:szCs w:val="18"/>
            <w:u w:val="single" w:color="auto"/>
            <w:color w:val="0000EE"/>
          </w:rPr>
          <w:t>Schedule of Terms for Employment Continuity Agreements with Certain Executive Officers is incorporated herein by</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reference to Exhibit 10M to Form 10-K filed with the SEC on January 31, 2022.</w:t>
        </w:r>
      </w:hyperlink>
    </w:p>
    <w:p>
      <w:pPr>
        <w:spacing w:after="0" w:line="162" w:lineRule="exact"/>
        <w:rPr>
          <w:sz w:val="20"/>
          <w:szCs w:val="20"/>
          <w:color w:val="auto"/>
        </w:rPr>
      </w:pPr>
    </w:p>
    <w:p>
      <w:pPr>
        <w:jc w:val="both"/>
        <w:ind w:left="2160" w:hanging="759"/>
        <w:spacing w:after="0" w:line="282" w:lineRule="auto"/>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*10N.</w:t>
      </w:r>
      <w:r>
        <w:rPr>
          <w:sz w:val="20"/>
          <w:szCs w:val="20"/>
          <w:color w:val="auto"/>
        </w:rPr>
        <w:tab/>
      </w:r>
      <w:hyperlink r:id="rId80">
        <w:r>
          <w:rPr>
            <w:rFonts w:ascii="Times New Roman" w:cs="Times New Roman" w:eastAsia="Times New Roman" w:hAnsi="Times New Roman"/>
            <w:sz w:val="18"/>
            <w:szCs w:val="18"/>
            <w:u w:val="single" w:color="auto"/>
            <w:color w:val="0000EE"/>
          </w:rPr>
          <w:t>Restated Supplemental Retirement Income Plan, effective May 1, 2014, is incorporated herein by reference to Form 10-Q for</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the quarterly period ended May 31, 2014.</w:t>
        </w:r>
      </w:hyperlink>
    </w:p>
    <w:p>
      <w:pPr>
        <w:spacing w:after="0" w:line="162" w:lineRule="exact"/>
        <w:rPr>
          <w:sz w:val="20"/>
          <w:szCs w:val="20"/>
          <w:color w:val="auto"/>
        </w:rPr>
      </w:pPr>
    </w:p>
    <w:p>
      <w:pPr>
        <w:jc w:val="both"/>
        <w:ind w:left="2160" w:hanging="759"/>
        <w:spacing w:after="0" w:line="282" w:lineRule="auto"/>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*10O.</w:t>
      </w:r>
      <w:r>
        <w:rPr>
          <w:sz w:val="20"/>
          <w:szCs w:val="20"/>
          <w:color w:val="auto"/>
        </w:rPr>
        <w:tab/>
      </w:r>
      <w:hyperlink r:id="rId81">
        <w:r>
          <w:rPr>
            <w:rFonts w:ascii="Times New Roman" w:cs="Times New Roman" w:eastAsia="Times New Roman" w:hAnsi="Times New Roman"/>
            <w:sz w:val="18"/>
            <w:szCs w:val="18"/>
            <w:u w:val="single" w:color="auto"/>
            <w:color w:val="0000EE"/>
          </w:rPr>
          <w:t>Bassett Furniture Industries, Incorporated Management Savings Plan incorporated by reference to Exhibit 10.1 to Form 8-K</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filed with the SEC on May 5, 2017.</w:t>
        </w:r>
      </w:hyperlink>
    </w:p>
    <w:p>
      <w:pPr>
        <w:spacing w:after="0" w:line="162" w:lineRule="exact"/>
        <w:rPr>
          <w:sz w:val="20"/>
          <w:szCs w:val="20"/>
          <w:color w:val="auto"/>
        </w:rPr>
      </w:pPr>
    </w:p>
    <w:p>
      <w:pPr>
        <w:jc w:val="both"/>
        <w:ind w:left="2160" w:hanging="759"/>
        <w:spacing w:after="0" w:line="282" w:lineRule="auto"/>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*10P.</w:t>
      </w:r>
      <w:r>
        <w:rPr>
          <w:sz w:val="20"/>
          <w:szCs w:val="20"/>
          <w:color w:val="auto"/>
        </w:rPr>
        <w:tab/>
      </w:r>
      <w:hyperlink r:id="rId82">
        <w:r>
          <w:rPr>
            <w:rFonts w:ascii="Times New Roman" w:cs="Times New Roman" w:eastAsia="Times New Roman" w:hAnsi="Times New Roman"/>
            <w:sz w:val="18"/>
            <w:szCs w:val="18"/>
            <w:u w:val="single" w:color="auto"/>
            <w:color w:val="0000EE"/>
          </w:rPr>
          <w:t>Form of Long Term Cash Award under Bassett Furniture Industries, Incorporated Management Savings Plan incorporated by</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reference to Exhibit 10.2 to Form 8-K filed with the SEC on May 5, 2017.</w:t>
        </w:r>
      </w:hyperlink>
    </w:p>
    <w:p>
      <w:pPr>
        <w:spacing w:after="0" w:line="162" w:lineRule="exact"/>
        <w:rPr>
          <w:sz w:val="20"/>
          <w:szCs w:val="20"/>
          <w:color w:val="auto"/>
        </w:rPr>
      </w:pPr>
    </w:p>
    <w:p>
      <w:pPr>
        <w:ind w:left="1400"/>
        <w:spacing w:after="0"/>
        <w:tabs>
          <w:tab w:leader="none" w:pos="21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*10Q.</w:t>
      </w:r>
      <w:r>
        <w:rPr>
          <w:sz w:val="20"/>
          <w:szCs w:val="20"/>
          <w:color w:val="auto"/>
        </w:rPr>
        <w:tab/>
      </w:r>
      <w:hyperlink r:id="rId83">
        <w:r>
          <w:rPr>
            <w:rFonts w:ascii="Times New Roman" w:cs="Times New Roman" w:eastAsia="Times New Roman" w:hAnsi="Times New Roman"/>
            <w:sz w:val="18"/>
            <w:szCs w:val="18"/>
            <w:u w:val="single" w:color="auto"/>
            <w:color w:val="0000EE"/>
          </w:rPr>
          <w:t>Form of Indemnity Agreement incorporated by reference to Exhibit 10.1 to Form 8-K filed with the SEC on October 18,</w:t>
        </w:r>
      </w:hyperlink>
    </w:p>
    <w:p>
      <w:pPr>
        <w:spacing w:after="0" w:line="27" w:lineRule="exact"/>
        <w:rPr>
          <w:sz w:val="20"/>
          <w:szCs w:val="20"/>
          <w:color w:val="auto"/>
        </w:rPr>
      </w:pPr>
    </w:p>
    <w:p>
      <w:pPr>
        <w:ind w:left="2160"/>
        <w:spacing w:after="0"/>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2022.</w:t>
        </w:r>
      </w:hyperlink>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8" w:name="page69"/>
    <w:bookmarkEnd w:id="68"/>
    <w:p>
      <w:pPr>
        <w:ind w:left="2160" w:hanging="762"/>
        <w:spacing w:after="0"/>
        <w:tabs>
          <w:tab w:leader="none" w:pos="21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List of subsidiaries of the Registrant</w:t>
      </w:r>
    </w:p>
    <w:p>
      <w:pPr>
        <w:spacing w:after="0" w:line="225" w:lineRule="exact"/>
        <w:rPr>
          <w:sz w:val="20"/>
          <w:szCs w:val="20"/>
          <w:color w:val="auto"/>
        </w:rPr>
      </w:pPr>
    </w:p>
    <w:p>
      <w:pPr>
        <w:ind w:left="1400"/>
        <w:spacing w:after="0"/>
        <w:tabs>
          <w:tab w:leader="none" w:pos="2140" w:val="left"/>
        </w:tabs>
        <w:rPr>
          <w:sz w:val="20"/>
          <w:szCs w:val="20"/>
          <w:color w:val="auto"/>
        </w:rPr>
      </w:pPr>
      <w:r>
        <w:rPr>
          <w:rFonts w:ascii="Times New Roman" w:cs="Times New Roman" w:eastAsia="Times New Roman" w:hAnsi="Times New Roman"/>
          <w:sz w:val="18"/>
          <w:szCs w:val="18"/>
          <w:color w:val="auto"/>
        </w:rPr>
        <w:t>23A.</w:t>
      </w:r>
      <w:r>
        <w:rPr>
          <w:sz w:val="20"/>
          <w:szCs w:val="20"/>
          <w:color w:val="auto"/>
        </w:rPr>
        <w:tab/>
      </w:r>
      <w:r>
        <w:rPr>
          <w:rFonts w:ascii="Times New Roman" w:cs="Times New Roman" w:eastAsia="Times New Roman" w:hAnsi="Times New Roman"/>
          <w:sz w:val="18"/>
          <w:szCs w:val="18"/>
          <w:u w:val="single" w:color="auto"/>
          <w:color w:val="0000EE"/>
        </w:rPr>
        <w:t>Consent of Independent Registered Public Accounting Firm</w:t>
      </w:r>
    </w:p>
    <w:p>
      <w:pPr>
        <w:spacing w:after="0" w:line="225" w:lineRule="exact"/>
        <w:rPr>
          <w:sz w:val="20"/>
          <w:szCs w:val="20"/>
          <w:color w:val="auto"/>
        </w:rPr>
      </w:pPr>
    </w:p>
    <w:p>
      <w:pPr>
        <w:ind w:left="2160" w:right="20" w:hanging="759"/>
        <w:spacing w:after="0" w:line="282" w:lineRule="auto"/>
        <w:tabs>
          <w:tab w:leader="none" w:pos="2140" w:val="left"/>
        </w:tabs>
        <w:rPr>
          <w:sz w:val="20"/>
          <w:szCs w:val="20"/>
          <w:color w:val="auto"/>
        </w:rPr>
      </w:pPr>
      <w:r>
        <w:rPr>
          <w:rFonts w:ascii="Times New Roman" w:cs="Times New Roman" w:eastAsia="Times New Roman" w:hAnsi="Times New Roman"/>
          <w:sz w:val="18"/>
          <w:szCs w:val="18"/>
          <w:color w:val="auto"/>
        </w:rPr>
        <w:t>31A.</w:t>
      </w:r>
      <w:r>
        <w:rPr>
          <w:sz w:val="20"/>
          <w:szCs w:val="20"/>
          <w:color w:val="auto"/>
        </w:rPr>
        <w:tab/>
      </w:r>
      <w:r>
        <w:rPr>
          <w:rFonts w:ascii="Times New Roman" w:cs="Times New Roman" w:eastAsia="Times New Roman" w:hAnsi="Times New Roman"/>
          <w:sz w:val="18"/>
          <w:szCs w:val="18"/>
          <w:u w:val="single" w:color="auto"/>
          <w:color w:val="0000EE"/>
        </w:rPr>
        <w:t>Certification of Robert H. Spilman, Jr., President and Chief Executive Officer, pursuant to Section 302 of the Sarbanes-Oxley Act of 2002.</w:t>
      </w:r>
    </w:p>
    <w:p>
      <w:pPr>
        <w:spacing w:after="0" w:line="162" w:lineRule="exact"/>
        <w:rPr>
          <w:sz w:val="20"/>
          <w:szCs w:val="20"/>
          <w:color w:val="auto"/>
        </w:rPr>
      </w:pPr>
    </w:p>
    <w:p>
      <w:pPr>
        <w:ind w:left="2160" w:hanging="759"/>
        <w:spacing w:after="0" w:line="282" w:lineRule="auto"/>
        <w:tabs>
          <w:tab w:leader="none" w:pos="2140" w:val="left"/>
        </w:tabs>
        <w:rPr>
          <w:sz w:val="20"/>
          <w:szCs w:val="20"/>
          <w:color w:val="auto"/>
        </w:rPr>
      </w:pPr>
      <w:r>
        <w:rPr>
          <w:rFonts w:ascii="Times New Roman" w:cs="Times New Roman" w:eastAsia="Times New Roman" w:hAnsi="Times New Roman"/>
          <w:sz w:val="18"/>
          <w:szCs w:val="18"/>
          <w:color w:val="auto"/>
        </w:rPr>
        <w:t>31B.</w:t>
      </w:r>
      <w:r>
        <w:rPr>
          <w:sz w:val="20"/>
          <w:szCs w:val="20"/>
          <w:color w:val="auto"/>
        </w:rPr>
        <w:tab/>
      </w:r>
      <w:r>
        <w:rPr>
          <w:rFonts w:ascii="Times New Roman" w:cs="Times New Roman" w:eastAsia="Times New Roman" w:hAnsi="Times New Roman"/>
          <w:sz w:val="18"/>
          <w:szCs w:val="18"/>
          <w:u w:val="single" w:color="auto"/>
          <w:color w:val="0000EE"/>
        </w:rPr>
        <w:t>Certification of J. Michael Daniel, Senior Vice President and Chief Financial Officer, pursuant to Section 302 of the Sarbanes-Oxley Act of 2002.</w:t>
      </w:r>
    </w:p>
    <w:p>
      <w:pPr>
        <w:spacing w:after="0" w:line="162" w:lineRule="exact"/>
        <w:rPr>
          <w:sz w:val="20"/>
          <w:szCs w:val="20"/>
          <w:color w:val="auto"/>
        </w:rPr>
      </w:pPr>
    </w:p>
    <w:p>
      <w:pPr>
        <w:ind w:left="2160" w:hanging="759"/>
        <w:spacing w:after="0" w:line="282" w:lineRule="auto"/>
        <w:tabs>
          <w:tab w:leader="none" w:pos="2140" w:val="left"/>
        </w:tabs>
        <w:rPr>
          <w:sz w:val="20"/>
          <w:szCs w:val="20"/>
          <w:color w:val="auto"/>
        </w:rPr>
      </w:pPr>
      <w:r>
        <w:rPr>
          <w:rFonts w:ascii="Times New Roman" w:cs="Times New Roman" w:eastAsia="Times New Roman" w:hAnsi="Times New Roman"/>
          <w:sz w:val="18"/>
          <w:szCs w:val="18"/>
          <w:color w:val="auto"/>
        </w:rPr>
        <w:t>32A.</w:t>
      </w:r>
      <w:r>
        <w:rPr>
          <w:sz w:val="20"/>
          <w:szCs w:val="20"/>
          <w:color w:val="auto"/>
        </w:rPr>
        <w:tab/>
      </w:r>
      <w:r>
        <w:rPr>
          <w:rFonts w:ascii="Times New Roman" w:cs="Times New Roman" w:eastAsia="Times New Roman" w:hAnsi="Times New Roman"/>
          <w:sz w:val="18"/>
          <w:szCs w:val="18"/>
          <w:u w:val="single" w:color="auto"/>
          <w:color w:val="0000EE"/>
        </w:rPr>
        <w:t>Certification of Robert H. Spilman, Jr., President and Chief Executive Officer pursuant to 18 U.S.C. 1350, as adopted pursuant to Section 906 of the Sarbanes-Oxley Act of 2002.</w:t>
      </w:r>
    </w:p>
    <w:p>
      <w:pPr>
        <w:spacing w:after="0" w:line="162" w:lineRule="exact"/>
        <w:rPr>
          <w:sz w:val="20"/>
          <w:szCs w:val="20"/>
          <w:color w:val="auto"/>
        </w:rPr>
      </w:pPr>
    </w:p>
    <w:p>
      <w:pPr>
        <w:ind w:left="2160" w:hanging="759"/>
        <w:spacing w:after="0" w:line="282" w:lineRule="auto"/>
        <w:tabs>
          <w:tab w:leader="none" w:pos="2140" w:val="left"/>
        </w:tabs>
        <w:rPr>
          <w:sz w:val="20"/>
          <w:szCs w:val="20"/>
          <w:color w:val="auto"/>
        </w:rPr>
      </w:pPr>
      <w:r>
        <w:rPr>
          <w:rFonts w:ascii="Times New Roman" w:cs="Times New Roman" w:eastAsia="Times New Roman" w:hAnsi="Times New Roman"/>
          <w:sz w:val="18"/>
          <w:szCs w:val="18"/>
          <w:color w:val="auto"/>
        </w:rPr>
        <w:t>32B.</w:t>
      </w:r>
      <w:r>
        <w:rPr>
          <w:sz w:val="20"/>
          <w:szCs w:val="20"/>
          <w:color w:val="auto"/>
        </w:rPr>
        <w:tab/>
      </w:r>
      <w:r>
        <w:rPr>
          <w:rFonts w:ascii="Times New Roman" w:cs="Times New Roman" w:eastAsia="Times New Roman" w:hAnsi="Times New Roman"/>
          <w:sz w:val="18"/>
          <w:szCs w:val="18"/>
          <w:u w:val="single" w:color="auto"/>
          <w:color w:val="0000EE"/>
        </w:rPr>
        <w:t>Certification of J. Michael Daniel, Senior Vice President and Chief Financial Officer, pursuant to 18 U.S.C. 1350, as adopted pursuant to Section 906 of the Sarbanes-Oxley Act of 2002.</w:t>
      </w:r>
    </w:p>
    <w:p>
      <w:pPr>
        <w:spacing w:after="0" w:line="162" w:lineRule="exact"/>
        <w:rPr>
          <w:sz w:val="20"/>
          <w:szCs w:val="20"/>
          <w:color w:val="auto"/>
        </w:rPr>
      </w:pPr>
    </w:p>
    <w:p>
      <w:pPr>
        <w:ind w:left="1400" w:right="4760" w:hanging="2"/>
        <w:spacing w:after="0" w:line="500" w:lineRule="auto"/>
        <w:tabs>
          <w:tab w:leader="none" w:pos="217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Bassett Furniture Industries, Incorporated, Clawback Policy </w:t>
      </w:r>
      <w:r>
        <w:rPr>
          <w:rFonts w:ascii="Times New Roman" w:cs="Times New Roman" w:eastAsia="Times New Roman" w:hAnsi="Times New Roman"/>
          <w:sz w:val="18"/>
          <w:szCs w:val="18"/>
          <w:color w:val="000000"/>
        </w:rPr>
        <w:t>101.INS XBRL Instance</w:t>
      </w:r>
    </w:p>
    <w:p>
      <w:pPr>
        <w:spacing w:after="0" w:line="1"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101.SCH XBRL Taxonomy Extension Schema</w:t>
      </w:r>
    </w:p>
    <w:p>
      <w:pPr>
        <w:spacing w:after="0" w:line="225"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101.CAL XBRL Taxonomy Extension Calculation</w:t>
      </w:r>
    </w:p>
    <w:p>
      <w:pPr>
        <w:spacing w:after="0" w:line="225"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101.DEF XBRL Taxonomy Extension Definition</w:t>
      </w:r>
    </w:p>
    <w:p>
      <w:pPr>
        <w:spacing w:after="0" w:line="225"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101.LAB XBRL Taxonomy Extension Labels</w:t>
      </w:r>
    </w:p>
    <w:p>
      <w:pPr>
        <w:spacing w:after="0" w:line="225"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101.PRE  XBRL Taxonomy Extension Presentation</w:t>
      </w:r>
    </w:p>
    <w:p>
      <w:pPr>
        <w:spacing w:after="0" w:line="225" w:lineRule="exact"/>
        <w:rPr>
          <w:rFonts w:ascii="Times New Roman" w:cs="Times New Roman" w:eastAsia="Times New Roman" w:hAnsi="Times New Roman"/>
          <w:sz w:val="18"/>
          <w:szCs w:val="18"/>
          <w:color w:val="auto"/>
        </w:rPr>
      </w:pPr>
    </w:p>
    <w:p>
      <w:pPr>
        <w:ind w:left="2160" w:hanging="762"/>
        <w:spacing w:after="0"/>
        <w:tabs>
          <w:tab w:leader="none" w:pos="21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4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Management contract or compensatory plan or arrangement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12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BASSETT FURNITURE INDUSTRIES, INCORPORATED (Registrant)</w:t>
            </w:r>
          </w:p>
        </w:tc>
        <w:tc>
          <w:tcPr>
            <w:tcW w:w="18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Robert H. Spilman, Jr.</w:t>
            </w:r>
          </w:p>
        </w:tc>
        <w:tc>
          <w:tcPr>
            <w:tcW w:w="34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w w:val="98"/>
              </w:rPr>
              <w:t>Date: January 25, 2024</w:t>
            </w:r>
          </w:p>
        </w:tc>
      </w:tr>
      <w:tr>
        <w:trPr>
          <w:trHeight w:val="191"/>
        </w:trPr>
        <w:tc>
          <w:tcPr>
            <w:tcW w:w="34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H. Spilman, Jr.</w:t>
            </w:r>
          </w:p>
        </w:tc>
        <w:tc>
          <w:tcPr>
            <w:tcW w:w="1800" w:type="dxa"/>
            <w:vAlign w:val="bottom"/>
            <w:tcBorders>
              <w:top w:val="single" w:sz="8" w:color="auto"/>
            </w:tcBorders>
          </w:tcPr>
          <w:p>
            <w:pPr>
              <w:spacing w:after="0"/>
              <w:rPr>
                <w:sz w:val="16"/>
                <w:szCs w:val="16"/>
                <w:color w:val="auto"/>
              </w:rPr>
            </w:pPr>
          </w:p>
        </w:tc>
        <w:tc>
          <w:tcPr>
            <w:tcW w:w="16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8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8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Emma S. Battle</w:t>
            </w:r>
          </w:p>
        </w:tc>
        <w:tc>
          <w:tcPr>
            <w:tcW w:w="4820" w:type="dxa"/>
            <w:vAlign w:val="bottom"/>
          </w:tcPr>
          <w:p>
            <w:pPr>
              <w:spacing w:after="0"/>
              <w:rPr>
                <w:sz w:val="20"/>
                <w:szCs w:val="20"/>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January 25, 2024</w:t>
            </w:r>
          </w:p>
        </w:tc>
      </w:tr>
      <w:tr>
        <w:trPr>
          <w:trHeight w:val="191"/>
        </w:trPr>
        <w:tc>
          <w:tcPr>
            <w:tcW w:w="34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Emma S. Battle</w:t>
            </w:r>
          </w:p>
        </w:tc>
        <w:tc>
          <w:tcPr>
            <w:tcW w:w="482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John R. Belk</w:t>
            </w:r>
          </w:p>
        </w:tc>
        <w:tc>
          <w:tcPr>
            <w:tcW w:w="48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January 25, 2024</w:t>
            </w:r>
          </w:p>
        </w:tc>
      </w:tr>
      <w:tr>
        <w:trPr>
          <w:trHeight w:val="191"/>
        </w:trPr>
        <w:tc>
          <w:tcPr>
            <w:tcW w:w="34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John R. Belk</w:t>
            </w:r>
          </w:p>
        </w:tc>
        <w:tc>
          <w:tcPr>
            <w:tcW w:w="482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Kristina K. Cashman</w:t>
            </w:r>
          </w:p>
        </w:tc>
        <w:tc>
          <w:tcPr>
            <w:tcW w:w="48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January 25, 2024</w:t>
            </w:r>
          </w:p>
        </w:tc>
      </w:tr>
      <w:tr>
        <w:trPr>
          <w:trHeight w:val="191"/>
        </w:trPr>
        <w:tc>
          <w:tcPr>
            <w:tcW w:w="34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Kristina K. Cashman</w:t>
            </w:r>
          </w:p>
        </w:tc>
        <w:tc>
          <w:tcPr>
            <w:tcW w:w="482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Virginia W. Hamlet</w:t>
            </w:r>
          </w:p>
        </w:tc>
        <w:tc>
          <w:tcPr>
            <w:tcW w:w="48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January 25, 2024</w:t>
            </w:r>
          </w:p>
        </w:tc>
      </w:tr>
      <w:tr>
        <w:trPr>
          <w:trHeight w:val="191"/>
        </w:trPr>
        <w:tc>
          <w:tcPr>
            <w:tcW w:w="34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Virginia W. Hamlet</w:t>
            </w:r>
          </w:p>
        </w:tc>
        <w:tc>
          <w:tcPr>
            <w:tcW w:w="482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 Walter McDowell</w:t>
            </w:r>
          </w:p>
        </w:tc>
        <w:tc>
          <w:tcPr>
            <w:tcW w:w="48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January 25, 2024</w:t>
            </w:r>
          </w:p>
        </w:tc>
      </w:tr>
      <w:tr>
        <w:trPr>
          <w:trHeight w:val="191"/>
        </w:trPr>
        <w:tc>
          <w:tcPr>
            <w:tcW w:w="34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Walter McDowell</w:t>
            </w:r>
          </w:p>
        </w:tc>
        <w:tc>
          <w:tcPr>
            <w:tcW w:w="482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William C. Wampler, Jr.</w:t>
            </w:r>
          </w:p>
        </w:tc>
        <w:tc>
          <w:tcPr>
            <w:tcW w:w="48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January 25, 2024</w:t>
            </w:r>
          </w:p>
        </w:tc>
      </w:tr>
      <w:tr>
        <w:trPr>
          <w:trHeight w:val="191"/>
        </w:trPr>
        <w:tc>
          <w:tcPr>
            <w:tcW w:w="34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C. Wampler, Jr.</w:t>
            </w:r>
          </w:p>
        </w:tc>
        <w:tc>
          <w:tcPr>
            <w:tcW w:w="482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William C. Warden, Jr.</w:t>
            </w:r>
          </w:p>
        </w:tc>
        <w:tc>
          <w:tcPr>
            <w:tcW w:w="48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January 25, 2024</w:t>
            </w:r>
          </w:p>
        </w:tc>
      </w:tr>
      <w:tr>
        <w:trPr>
          <w:trHeight w:val="191"/>
        </w:trPr>
        <w:tc>
          <w:tcPr>
            <w:tcW w:w="34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William C. Warden, Jr.</w:t>
            </w:r>
          </w:p>
        </w:tc>
        <w:tc>
          <w:tcPr>
            <w:tcW w:w="482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Director, Lead Independent Director</w:t>
            </w:r>
          </w:p>
        </w:tc>
        <w:tc>
          <w:tcPr>
            <w:tcW w:w="4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 Michael Daniel</w:t>
            </w:r>
          </w:p>
        </w:tc>
        <w:tc>
          <w:tcPr>
            <w:tcW w:w="48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January 25, 2024</w:t>
            </w:r>
          </w:p>
        </w:tc>
      </w:tr>
      <w:tr>
        <w:trPr>
          <w:trHeight w:val="191"/>
        </w:trPr>
        <w:tc>
          <w:tcPr>
            <w:tcW w:w="340" w:type="dxa"/>
            <w:vAlign w:val="bottom"/>
          </w:tcPr>
          <w:p>
            <w:pPr>
              <w:spacing w:after="0"/>
              <w:rPr>
                <w:sz w:val="16"/>
                <w:szCs w:val="16"/>
                <w:color w:val="auto"/>
              </w:rPr>
            </w:pPr>
          </w:p>
        </w:tc>
        <w:tc>
          <w:tcPr>
            <w:tcW w:w="4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 Michael Daniel</w:t>
            </w:r>
          </w:p>
        </w:tc>
        <w:tc>
          <w:tcPr>
            <w:tcW w:w="4820" w:type="dxa"/>
            <w:vAlign w:val="bottom"/>
            <w:tcBorders>
              <w:top w:val="single" w:sz="8" w:color="auto"/>
            </w:tcBorders>
          </w:tcPr>
          <w:p>
            <w:pPr>
              <w:spacing w:after="0"/>
              <w:rPr>
                <w:sz w:val="16"/>
                <w:szCs w:val="16"/>
                <w:color w:val="auto"/>
              </w:rPr>
            </w:pPr>
          </w:p>
        </w:tc>
        <w:tc>
          <w:tcPr>
            <w:tcW w:w="168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4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48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820" w:type="dxa"/>
            <w:vAlign w:val="bottom"/>
          </w:tcPr>
          <w:p>
            <w:pPr>
              <w:jc w:val="right"/>
              <w:ind w:right="3750"/>
              <w:spacing w:after="0"/>
              <w:rPr>
                <w:sz w:val="20"/>
                <w:szCs w:val="20"/>
                <w:color w:val="auto"/>
              </w:rPr>
            </w:pPr>
            <w:r>
              <w:rPr>
                <w:rFonts w:ascii="Times New Roman" w:cs="Times New Roman" w:eastAsia="Times New Roman" w:hAnsi="Times New Roman"/>
                <w:sz w:val="18"/>
                <w:szCs w:val="18"/>
                <w:color w:val="auto"/>
              </w:rPr>
              <w:t>66</w:t>
            </w:r>
          </w:p>
        </w:tc>
        <w:tc>
          <w:tcPr>
            <w:tcW w:w="168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Bassett Furniture Industries, Incorporated</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w:t>
      </w:r>
    </w:p>
    <w:p>
      <w:pPr>
        <w:spacing w:after="0" w:line="225" w:lineRule="exact"/>
        <w:rPr>
          <w:sz w:val="20"/>
          <w:szCs w:val="20"/>
          <w:color w:val="auto"/>
        </w:rPr>
      </w:pPr>
    </w:p>
    <w:p>
      <w:pPr>
        <w:jc w:val="center"/>
        <w:ind w:left="340" w:right="2480"/>
        <w:spacing w:after="0" w:line="275" w:lineRule="auto"/>
        <w:rPr>
          <w:sz w:val="20"/>
          <w:szCs w:val="20"/>
          <w:color w:val="auto"/>
        </w:rPr>
      </w:pPr>
      <w:r>
        <w:rPr>
          <w:rFonts w:ascii="Times New Roman" w:cs="Times New Roman" w:eastAsia="Times New Roman" w:hAnsi="Times New Roman"/>
          <w:sz w:val="18"/>
          <w:szCs w:val="18"/>
          <w:color w:val="auto"/>
        </w:rPr>
        <w:t xml:space="preserve">Analysis of Valuation and Qualifying Accounts For the Years Ended November 25, 2023, November 26, 2022 and November 27, 2021 </w:t>
      </w:r>
      <w:r>
        <w:rPr>
          <w:rFonts w:ascii="Times New Roman" w:cs="Times New Roman" w:eastAsia="Times New Roman" w:hAnsi="Times New Roman"/>
          <w:sz w:val="18"/>
          <w:szCs w:val="18"/>
          <w:i w:val="1"/>
          <w:iCs w:val="1"/>
          <w:color w:val="auto"/>
        </w:rPr>
        <w:t>(amounts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Additions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Balance</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Charged to</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Beginning of</w:t>
            </w:r>
          </w:p>
        </w:tc>
        <w:tc>
          <w:tcPr>
            <w:tcW w:w="260" w:type="dxa"/>
            <w:vAlign w:val="bottom"/>
          </w:tcPr>
          <w:p>
            <w:pPr>
              <w:spacing w:after="0"/>
              <w:rPr>
                <w:sz w:val="18"/>
                <w:szCs w:val="18"/>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Cost and</w:t>
            </w:r>
          </w:p>
        </w:tc>
        <w:tc>
          <w:tcPr>
            <w:tcW w:w="220" w:type="dxa"/>
            <w:vAlign w:val="bottom"/>
          </w:tcPr>
          <w:p>
            <w:pPr>
              <w:spacing w:after="0"/>
              <w:rPr>
                <w:sz w:val="18"/>
                <w:szCs w:val="18"/>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Deductions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Balance End</w:t>
            </w:r>
          </w:p>
        </w:tc>
      </w:tr>
      <w:tr>
        <w:trPr>
          <w:trHeight w:val="234"/>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Period</w:t>
            </w:r>
          </w:p>
        </w:tc>
        <w:tc>
          <w:tcPr>
            <w:tcW w:w="260" w:type="dxa"/>
            <w:vAlign w:val="bottom"/>
          </w:tcPr>
          <w:p>
            <w:pPr>
              <w:spacing w:after="0"/>
              <w:rPr>
                <w:sz w:val="20"/>
                <w:szCs w:val="20"/>
                <w:color w:val="auto"/>
              </w:rPr>
            </w:pPr>
          </w:p>
        </w:tc>
        <w:tc>
          <w:tcPr>
            <w:tcW w:w="1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Expenses</w:t>
            </w:r>
          </w:p>
        </w:tc>
        <w:tc>
          <w:tcPr>
            <w:tcW w:w="22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 Period</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November 27, 2021:</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Reserve deducted from assets to which it applies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valuation 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November 26, 2022: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Reserve deducted from assets to which it applies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Notes receivable valuation reserves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valuation allowance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r>
      <w:tr>
        <w:trPr>
          <w:trHeight w:val="197"/>
        </w:trPr>
        <w:tc>
          <w:tcPr>
            <w:tcW w:w="46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Year Ended November 25, 2023: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Reserve deducted from assets to which it applies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valuation allowance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Deductions are for the purpose for which the reserve was created.</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810" w:right="339" w:bottom="1440" w:gutter="0" w:footer="0" w:header="0"/>
        </w:sectPr>
      </w:pPr>
    </w:p>
    <w:bookmarkStart w:id="71" w:name="page72"/>
    <w:bookmarkEnd w:id="71"/>
    <w:p>
      <w:pPr>
        <w:ind w:left="4072"/>
        <w:spacing w:after="0"/>
        <w:rPr>
          <w:sz w:val="20"/>
          <w:szCs w:val="20"/>
          <w:color w:val="auto"/>
        </w:rPr>
      </w:pPr>
      <w:r>
        <w:rPr>
          <w:rFonts w:ascii="Times New Roman" w:cs="Times New Roman" w:eastAsia="Times New Roman" w:hAnsi="Times New Roman"/>
          <w:sz w:val="17"/>
          <w:szCs w:val="17"/>
          <w:u w:val="single" w:color="auto"/>
          <w:color w:val="auto"/>
        </w:rPr>
        <w:t>EXHIBIT 21 - LIST OF SUBSIDIARIES*</w:t>
      </w:r>
    </w:p>
    <w:p>
      <w:pPr>
        <w:spacing w:after="0" w:line="200" w:lineRule="exact"/>
        <w:rPr>
          <w:sz w:val="20"/>
          <w:szCs w:val="20"/>
          <w:color w:val="auto"/>
        </w:rPr>
      </w:pPr>
    </w:p>
    <w:p>
      <w:pPr>
        <w:spacing w:after="0" w:line="253" w:lineRule="exact"/>
        <w:rPr>
          <w:sz w:val="20"/>
          <w:szCs w:val="20"/>
          <w:color w:val="auto"/>
        </w:rPr>
      </w:pPr>
    </w:p>
    <w:p>
      <w:pPr>
        <w:ind w:left="332" w:hanging="332"/>
        <w:spacing w:after="0"/>
        <w:tabs>
          <w:tab w:leader="none" w:pos="332"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Bassett Furniture Industries of North Carolina, LLC (North Carolina limited liability company)</w:t>
      </w:r>
    </w:p>
    <w:p>
      <w:pPr>
        <w:spacing w:after="0" w:line="236" w:lineRule="exact"/>
        <w:rPr>
          <w:rFonts w:ascii="Times New Roman" w:cs="Times New Roman" w:eastAsia="Times New Roman" w:hAnsi="Times New Roman"/>
          <w:sz w:val="17"/>
          <w:szCs w:val="17"/>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E.B. Malone Corporation (Delaware corporation)</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Direct Stores,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Direct NC,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Bassett Direct SC,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LRG Furniture,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BDP, LC (Texas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BFD-Atlanta,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 Boston,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BDU NY, LLC (Virginia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JMD Freight Lines, LLC (North Carolina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Zenith, Inc. (North Carolina corporation)</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Western States Distribution, LLC (California limited liability company)</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9473-8408 Quebec Inc.</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Australia Pty Ltd.</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Home Singapore Pte Ltd.</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Noa Home UK Limited</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JMD Tampa, LLC</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5"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subsidiaries are wholly-owned unless otherwise noted.</w:t>
      </w:r>
    </w:p>
    <w:p>
      <w:pPr>
        <w:sectPr>
          <w:pgSz w:w="11900" w:h="16838" w:orient="portrait"/>
          <w:cols w:equalWidth="0" w:num="1">
            <w:col w:w="10131"/>
          </w:cols>
          <w:pgMar w:left="328" w:top="337" w:right="1440"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23A</w:t>
      </w:r>
    </w:p>
    <w:p>
      <w:pPr>
        <w:spacing w:after="0" w:line="200" w:lineRule="exact"/>
        <w:rPr>
          <w:sz w:val="20"/>
          <w:szCs w:val="20"/>
          <w:color w:val="auto"/>
        </w:rPr>
      </w:pPr>
    </w:p>
    <w:p>
      <w:pPr>
        <w:spacing w:after="0" w:line="23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333-217072) pertaining to the Bassett Furniture Industries, Incorporated 2017 Employee Stock Purchase Plan ,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333-254104) pertaining to the Bassett Furniture Industries, Incorporated 2021 Stock Incentive Plan</w:t>
      </w:r>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 our reports dated January 25, 2024 with respect to the consolidated financial statements and schedule of Bassett Furniture Industries, Incorporated and Subsidiaries and the effectiveness of internal control over financial reporting of Bassett Furniture Industries, Incorporated and Subsidiaries included in this Annual Report (Form 10-K) of Bassett Furniture Industries, Incorporated and Subsidiaries for the year ended November 25, 2023.</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 Spilman, Jr.,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/s/Robert H. Spilman,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Michael Daniel,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Bassett Furniture Industries, Incorporated;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21" w:right="339" w:bottom="1440" w:gutter="0" w:footer="0" w:header="0"/>
        </w:sectPr>
      </w:pPr>
    </w:p>
    <w:bookmarkStart w:id="75" w:name="page76"/>
    <w:bookmarkEnd w:id="75"/>
    <w:p>
      <w:pPr>
        <w:ind w:left="10360"/>
        <w:spacing w:after="0"/>
        <w:rPr>
          <w:sz w:val="20"/>
          <w:szCs w:val="20"/>
          <w:color w:val="auto"/>
        </w:rPr>
      </w:pPr>
      <w:r>
        <w:rPr>
          <w:rFonts w:ascii="Times New Roman" w:cs="Times New Roman" w:eastAsia="Times New Roman" w:hAnsi="Times New Roman"/>
          <w:sz w:val="17"/>
          <w:szCs w:val="17"/>
          <w:color w:val="auto"/>
        </w:rPr>
        <w:t>Exhibit 32A</w:t>
      </w:r>
    </w:p>
    <w:p>
      <w:pPr>
        <w:spacing w:after="0" w:line="23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Bassett Furniture Industries, Incorporated (the “Company”) on Form 10-K for the period ended November 25, 2023, as filed with the Securities and Exchange Commission on the date hereof (the “Report”), I, Robert H. Spilman, Jr., Chief Executive Officer of the Company, certify, pursuant to 18 U.S.C. ss.1350, as adopted pursuant to ss.906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H. Spilman,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76" w:name="page77"/>
    <w:bookmarkEnd w:id="76"/>
    <w:p>
      <w:pPr>
        <w:ind w:left="10360"/>
        <w:spacing w:after="0"/>
        <w:rPr>
          <w:sz w:val="20"/>
          <w:szCs w:val="20"/>
          <w:color w:val="auto"/>
        </w:rPr>
      </w:pPr>
      <w:r>
        <w:rPr>
          <w:rFonts w:ascii="Times New Roman" w:cs="Times New Roman" w:eastAsia="Times New Roman" w:hAnsi="Times New Roman"/>
          <w:sz w:val="18"/>
          <w:szCs w:val="18"/>
          <w:color w:val="auto"/>
        </w:rPr>
        <w:t>Exhibit 32B</w:t>
      </w:r>
    </w:p>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Bassett Furniture Industries, Incorporated (the “Company”) on Form 10-K for the period ended November 25, 2023, as filed with the Securities and Exchange Commission on the date hereof (the “Report”), I, J. Michael Daniel, Senior Vice President and Chief Financial Officer of the Company, certify, pursuant to 18 U.S.C. ss.1350, as adopted pursuant to ss.906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Bassett Furniture Industries, Incorporated and will be retained by Bassett Furniture Industries, Incorporated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POLICY FOR THE RECOVERY OF INCENTIVE COMPENSATION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Originally effective as of February 1, 2016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effective as of October 2, 2023</w:t>
      </w:r>
    </w:p>
    <w:p>
      <w:pPr>
        <w:spacing w:after="0" w:line="20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the event Bassett Furniture Industries, Incorporated (the “Company”) determines it must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Company shall reasonably promptly recover any erroneously awarded compensation that was received by any current or former covered officer during the applicable lookback period.</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Application of this policy will be at the direction of the Organization, Compensation and Nominating Committee (the “Committee”) of the Board of Directors (“Board”) in accordance with the final listing standards adopted by the Nasdaq Stock Market (“Nasdaq”) pursuant to Section 10D of the Securities Exchange Act of 1934, as amended (the “Act”). Prior to the effectiveness of such listing standards, the Committee shall apply this policy based on its good faith interpretation of Section 10D of the Act.</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Committee shall have broad discretion to determine the appropriate means and timing (which shall in all circumstances be reasonably promptly) of recovery of erroneously awarded compensation based on all applicable facts and circumstances, which may include without limitation: (i) requiring repayment or return of prior incentive-based compensation awards; (ii) cancelling unvested incentive-based compensation awards; (iii) offsetting the amount to be recovered from any compensation owed by the Company to the covered officer; or (iv) adjusting future compensation of such covered officer, subject to compliance with Section 409A of the Internal Revenue Code and any other applicable laws. In addition, the Committee may, to the extent permitted by law, take other remedial and recovery action, as determined by the Committee. The recovery of erroneously awarded compensation under this policy is in addition to any other right or remedy available to the Company.</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any incentive-based compensation based on stock price or total shareholder return, where the amount of erroneously awarded compensation is not subject to mathematical recalculation directly from the information in the accounting restatement, (i) the amount of erroneously awarded compensation shall be based on a reasonable estimate of the effect of the accounting restatement on the stock price or total shareholder return upon which the incentive-based compensation was received, and (ii) the Company shall maintain documentation of the determination of that reasonable estimate and provide such documentation to the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Company shall not be required to seek recovery of erroneously awarded compensation under this policy if such recovery would be impracticable, violate home country laws and/or involve tax-qualified retirement plans, as determined by the Committee in accordance with the Nasdaq listing standards. Any such determination that the recoupment is not required shall be documented in accordance with the Nasdaq listing standards.</w:t>
      </w:r>
    </w:p>
    <w:p>
      <w:pPr>
        <w:spacing w:after="0" w:line="18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For purposes of this policy (i) the term “covered officer” means any current or former executive officer of the Company as defined under Rule 10D-1 of the Act, and such other senior executives as may be determined by the Committee; (ii) the term “incentive-based compensation” means any compensation that is granted, earned or vested based wholly or in part upon the attainment of a financial reporting measure; (iii) the term “financial reporting measure” means any measure that is determined and presented in accordance with the accounting principles used in preparing the Company’s financial statements, any measure that is derived wholly or in part from such measure, stock price and total shareholder return; (iv) the term “erroneously awarded compensation” means, with respect to each current or former covered officer in connection with an accounting restatement, the amount of incentive-based compensation received that exceeds the amount of incentive-based compensation that otherwise would have been received had it been determined based on the restated amounts, computed without regard to any taxes paid; (v) the term “lookback period” means, with respect to any accounting restatement, the three completed fiscal years of the Company immediately preceding the restatement date, as well as any transition period (that results from a change in the Company’s fiscal year) within or immediately following those three completed fiscal years (except that a transition period that comprises a period of at least nine months shall count as a completed fiscal year); (vi) the term “restatement date” means the earlier to occur of (1) the date the Board, a committee of the Board or officers of the Company authorized to take such action if Board action is not required, concludes, or reasonably should have concluded, that the Company is required to prepare an accounting restatement, or (2) the date a court, regulator or other legally authorized body directs the Company to prepare an accounting restatement; and (vii) incentive-based compensation is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9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Committee shall have full and final authority to make all determinations under this policy, including without limitation, the authority to: (i) construe all terms, provisions, conditions and limitations of this policy; (ii) correct any defect, supply any omission or reconcile any inconsistency that may appear in this policy in such manner and to such extent as the Committee shall determine appropriate; and (iii) make all other determinations or take any actions necessary or advisable for the administration of this policy. All determinations and decisions made by the Committee pursuant to the provisions of this policy shall be final, conclusive and binding on all persons. The determination of the Committee need not be uniform with respect to one or more covered officers. The Company shall take such action as it deems necessary or appropriate to implement this policy, including requiring all covered officers to acknowledge the rights and powers of the Company and the Committee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9" w:name="page80"/>
    <w:bookmarkEnd w:id="79"/>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is prohibited from indemnifying any covered officer against the loss of erroneously awarded compensation, including payment or reimbursement for the cost of third-party insurance purchased by any such covered officer to cover any such loss.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shall file all disclosures with respect to this policy in accordance with the federal securities laws, including the disclosure required by SEC filings.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policy shall apply to all incentive-based compensation that is received on or after October 2, 2023.</w:t>
      </w:r>
    </w:p>
    <w:sectPr>
      <w:pgSz w:w="11900" w:h="16838" w:orient="portrait"/>
      <w:cols w:equalWidth="0" w:num="1">
        <w:col w:w="11080"/>
      </w:cols>
      <w:pgMar w:left="32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2"/>
    </w:lvl>
  </w:abstractNum>
  <w:abstractNum w:abstractNumId="18">
    <w:nsid w:val="8138641"/>
    <w:multiLevelType w:val="hybridMultilevel"/>
    <w:lvl w:ilvl="0">
      <w:lvlJc w:val="left"/>
      <w:lvlText w:val="%1."/>
      <w:numFmt w:val="decimal"/>
      <w:start w:val="810"/>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3"/>
    </w:lvl>
  </w:abstractNum>
  <w:abstractNum w:abstractNumId="21">
    <w:nsid w:val="737B8DDC"/>
    <w:multiLevelType w:val="hybridMultilevel"/>
    <w:lvl w:ilvl="0">
      <w:lvlJc w:val="left"/>
      <w:lvlText w:val="%1."/>
      <w:numFmt w:val="decimal"/>
      <w:start w:val="4"/>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lvl w:ilvl="1">
      <w:lvlJc w:val="left"/>
      <w:lvlText w:val="(%2)"/>
      <w:numFmt w:val="decimal"/>
      <w:start w:val="1"/>
    </w:lvl>
  </w:abstractNum>
  <w:abstractNum w:abstractNumId="27">
    <w:nsid w:val="419AC241"/>
    <w:multiLevelType w:val="hybridMultilevel"/>
    <w:lvl w:ilvl="0">
      <w:lvlJc w:val="left"/>
      <w:lvlText w:val="%1."/>
      <w:numFmt w:val="decimal"/>
      <w:start w:val="19"/>
    </w:lvl>
    <w:lvl w:ilvl="1">
      <w:lvlJc w:val="left"/>
      <w:lvlText w:val="%2"/>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5"/>
    </w:lvl>
  </w:abstractNum>
  <w:abstractNum w:abstractNumId="31">
    <w:nsid w:val="3804823E"/>
    <w:multiLevelType w:val="hybridMultilevel"/>
    <w:lvl w:ilvl="0">
      <w:lvlJc w:val="left"/>
      <w:lvlText w:val="(%1)"/>
      <w:numFmt w:val="lowerLetter"/>
      <w:start w:val="1"/>
    </w:lvl>
    <w:lvl w:ilvl="1">
      <w:lvlJc w:val="left"/>
      <w:lvlText w:val="(%2)"/>
      <w:numFmt w:val="decimal"/>
      <w:start w:val="2"/>
    </w:lvl>
  </w:abstractNum>
  <w:abstractNum w:abstractNumId="32">
    <w:nsid w:val="77465F01"/>
    <w:multiLevelType w:val="hybridMultilevel"/>
    <w:lvl w:ilvl="0">
      <w:lvlJc w:val="left"/>
      <w:lvlText w:val="%1."/>
      <w:numFmt w:val="decimal"/>
      <w:start w:val="21"/>
    </w:lvl>
  </w:abstractNum>
  <w:abstractNum w:abstractNumId="33">
    <w:nsid w:val="7724C67E"/>
    <w:multiLevelType w:val="hybridMultilevel"/>
    <w:lvl w:ilvl="0">
      <w:lvlJc w:val="left"/>
      <w:lvlText w:val="*"/>
      <w:numFmt w:val="bullet"/>
      <w:start w:val="1"/>
    </w:lvl>
    <w:lvl w:ilvl="1">
      <w:lvlJc w:val="left"/>
      <w:lvlText w:val="%2"/>
      <w:numFmt w:val="decimal"/>
      <w:start w:val="97"/>
    </w:lvl>
  </w:abstractNum>
  <w:abstractNum w:abstractNumId="34">
    <w:nsid w:val="5C482A97"/>
    <w:multiLevelType w:val="hybridMultilevel"/>
    <w:lvl w:ilvl="0">
      <w:lvlJc w:val="left"/>
      <w:lvlText w:val="*"/>
      <w:numFmt w:val="bullet"/>
      <w:start w:val="1"/>
    </w:lvl>
    <w:lvl w:ilvl="1">
      <w:lvlJc w:val="left"/>
      <w:lvlText w:val="%2"/>
      <w:numFmt w:val="decimal"/>
      <w:start w:val="104"/>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72" Type="http://schemas.openxmlformats.org/officeDocument/2006/relationships/hyperlink" Target="http://www.sec.gov/Archives/edgar/data/10329/000143774924001417/ex_615556.htm" TargetMode="External"/><Relationship Id="rId73" Type="http://schemas.openxmlformats.org/officeDocument/2006/relationships/hyperlink" Target="http://www.sec.gov/Archives/edgar/data/10329/000143774922001938/ex_329206.htm" TargetMode="External"/><Relationship Id="rId74" Type="http://schemas.openxmlformats.org/officeDocument/2006/relationships/hyperlink" Target="http://www.sec.gov/Archives/edgar/data/10329/000143774920001052/ex_169936.htm" TargetMode="External"/><Relationship Id="rId75" Type="http://schemas.openxmlformats.org/officeDocument/2006/relationships/hyperlink" Target="http://www.sec.gov/Archives/edgar/data/10329/000143774922002046/ex_330316.htm" TargetMode="External"/><Relationship Id="rId76" Type="http://schemas.openxmlformats.org/officeDocument/2006/relationships/hyperlink" Target="http://www.sec.gov/Archives/edgar/data/10329/0000950133-98-000652.txt" TargetMode="External"/><Relationship Id="rId77" Type="http://schemas.openxmlformats.org/officeDocument/2006/relationships/hyperlink" Target="http://www.sec.gov/Archives/edgar/data/10329/000143774921002240/bset20210204_def14a.htm" TargetMode="External"/><Relationship Id="rId78" Type="http://schemas.openxmlformats.org/officeDocument/2006/relationships/hyperlink" Target="http://www.sec.gov/Archives/edgar/data/10329/000143774922001938/ex_328353.htm" TargetMode="External"/><Relationship Id="rId79" Type="http://schemas.openxmlformats.org/officeDocument/2006/relationships/hyperlink" Target="http://www.sec.gov/Archives/edgar/data/10329/000143774922001938/ex_329216.htm" TargetMode="External"/><Relationship Id="rId80" Type="http://schemas.openxmlformats.org/officeDocument/2006/relationships/hyperlink" Target="http://www.sec.gov/Archives/edgar/data/10329/000143774914012291/ex10.htm" TargetMode="External"/><Relationship Id="rId81" Type="http://schemas.openxmlformats.org/officeDocument/2006/relationships/hyperlink" Target="http://www.sec.gov/Archives/edgar/data/10329/000143774917008160/ex10-1.htm" TargetMode="External"/><Relationship Id="rId82" Type="http://schemas.openxmlformats.org/officeDocument/2006/relationships/hyperlink" Target="http://www.sec.gov/Archives/edgar/data/10329/000143774917008160/ex10-2.htm" TargetMode="External"/><Relationship Id="rId83" Type="http://schemas.openxmlformats.org/officeDocument/2006/relationships/hyperlink" Target="http://www.sec.gov/Archives/edgar/data/10329/000143774922024299/ex_4328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2024-01-25T16:12:31Z</dcterms:created>
  <dcterms:modified xsi:type="dcterms:W3CDTF">2024-01-25T16:12:31Z</dcterms:modified>
</cp:coreProperties>
</file>