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Daniel John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BASSETT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BSET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Fin./Admin.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795"/>
        <w:gridCol w:w="131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54,713.75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of Bassett Furniture Industries Stock at the close of business 01/09/2026.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under the 2000 and/or 2017 Employee Stock Purchase Plans in transactions exempt under Rule 16-3(A).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Michael Daniel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4777" TargetMode="External"/><Relationship Id="rId5" Type="http://schemas.openxmlformats.org/officeDocument/2006/relationships/hyperlink" Target="http://www.sec.gov/cgi-bin/browse-edgar?action=getcompany&amp;CIK=0000010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3255</Characters>
  <CharactersWithSpaces>3792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