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060" w:space="720"/>
            <w:col w:w="3140" w:space="720"/>
            <w:col w:w="2600"/>
          </w:cols>
          <w:pgMar w:left="320" w:top="848" w:right="339" w:bottom="1440" w:gutter="0" w:footer="0" w:header="0"/>
          <w:type w:val="continuous"/>
        </w:sectPr>
      </w:pPr>
    </w:p>
    <w:p>
      <w:pPr>
        <w:spacing w:after="0" w:line="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3525 FAIRYSTONE PARK HIGHWAY</w:t>
      </w:r>
    </w:p>
    <w:p>
      <w:pPr>
        <w:spacing w:after="0" w:line="4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740" w:space="720"/>
            <w:col w:w="2780"/>
          </w:cols>
          <w:pgMar w:left="320" w:top="84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500" w:lineRule="auto"/>
        <w:tabs>
          <w:tab w:leader="none" w:pos="30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2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4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2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30, 2023, Bassett Furniture Industries issued a news release relating to the first quarter financial results for the fiscal year ending November 25, 2023. A copy of the news release announcing this information is attached to this report as Exhibit 99.1.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News Release issued by Bassett Furniture Industries, Inc. on March 30, 2023.</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5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2023</w:t>
            </w: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4840" w:type="dxa"/>
            <w:vAlign w:val="bottom"/>
          </w:tcPr>
          <w:p>
            <w:pPr>
              <w:spacing w:after="0"/>
              <w:rPr>
                <w:sz w:val="16"/>
                <w:szCs w:val="16"/>
                <w:color w:val="auto"/>
              </w:rPr>
            </w:pPr>
          </w:p>
        </w:tc>
        <w:tc>
          <w:tcPr>
            <w:tcW w:w="5060" w:type="dxa"/>
            <w:vAlign w:val="bottom"/>
            <w:gridSpan w:val="2"/>
          </w:tcPr>
          <w:p>
            <w:pPr>
              <w:ind w:left="50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4840" w:type="dxa"/>
            <w:vAlign w:val="bottom"/>
          </w:tcPr>
          <w:p>
            <w:pPr>
              <w:spacing w:after="0"/>
              <w:rPr>
                <w:sz w:val="20"/>
                <w:szCs w:val="20"/>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bl>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5697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56970" cy="4629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Michael Daniel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mdaniel@bassettfurniture.com</w:t>
      </w:r>
    </w:p>
    <w:p>
      <w:pPr>
        <w:spacing w:after="0" w:line="200" w:lineRule="exact"/>
        <w:rPr>
          <w:sz w:val="20"/>
          <w:szCs w:val="20"/>
          <w:color w:val="auto"/>
        </w:rPr>
      </w:pPr>
    </w:p>
    <w:p>
      <w:pPr>
        <w:sectPr>
          <w:pgSz w:w="11900" w:h="16838" w:orient="portrait"/>
          <w:cols w:equalWidth="0" w:num="2">
            <w:col w:w="7160" w:space="720"/>
            <w:col w:w="3360"/>
          </w:cols>
          <w:pgMar w:left="320" w:top="117" w:right="3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Peter D. Morrison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Vice President of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629-6450 – Media</w:t>
      </w:r>
    </w:p>
    <w:p>
      <w:pPr>
        <w:spacing w:after="0" w:line="200" w:lineRule="exact"/>
        <w:rPr>
          <w:sz w:val="20"/>
          <w:szCs w:val="20"/>
          <w:color w:val="auto"/>
        </w:rPr>
      </w:pPr>
    </w:p>
    <w:p>
      <w:pPr>
        <w:sectPr>
          <w:pgSz w:w="11900" w:h="16838" w:orient="portrait"/>
          <w:cols w:equalWidth="0" w:num="2">
            <w:col w:w="7160" w:space="720"/>
            <w:col w:w="3360"/>
          </w:cols>
          <w:pgMar w:left="320" w:top="117"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Bassett Furniture News Release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Bassett Announces Fiscal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(Bassett, Va.) – March 30, 2023 – Bassett Furniture Industries, Inc. (Nasdaq: BSET) announced today its results of operations for its first quarter ended February 25,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2023 First Quarter Highlights of Continuing Operations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(Dollars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Sales</w:t>
            </w:r>
          </w:p>
        </w:tc>
        <w:tc>
          <w:tcPr>
            <w:tcW w:w="9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4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r>
      <w:tr>
        <w:trPr>
          <w:trHeight w:val="223"/>
        </w:trPr>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9"/>
                <w:szCs w:val="19"/>
                <w:color w:val="auto"/>
              </w:rPr>
            </w:pPr>
          </w:p>
        </w:tc>
      </w:tr>
      <w:tr>
        <w:trPr>
          <w:trHeight w:val="210"/>
        </w:trPr>
        <w:tc>
          <w:tcPr>
            <w:tcW w:w="2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Consolidated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0.9</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results include certain intercompany eliminations. See Table 4, “Segment Information” below for an illustration of the effects of these items on our consolidated sales and operating income.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the operations of Noa Home Inc. for 2023 along with the shared Corporate costs that are benefiting both the Wholesale and Retail segments. This represents a change in our segment presentation from prior periods. Previously, those shared Corporate costs had been included in the Wholesale segment and the operations of Noa Home Inc. were included in the Retail segment. Prior period results have been restated to conform to the current presentation.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Early in our first quarter we fulfilled the remaining excess portion of the large backlog created during the pandemic boom and are now producing and shipping at a rate commensurate with our written business. As the industry and Bassett wrestle with macroeconomic inconsistencies, we are focused on efficiently targeting our consumers, new product innovation, providing the best buying experience and service possible, and working to sharpen our value proposition on the heels of the unprecedented cost pressures that we faced over the past thirty months. We are managing our expense structure while investing in the growth initiatives that are essential for the Company’s future. Our balance sheet continues to provide the foundational element on which our strategy rests and provides the strength to weather the depth of the current market downturn.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Wholesale sales were 16% behind last year but 7.5% ahead of the last corresponding pre-pandemic quarter. For the past two months, we have been working reduced production schedules in our facilities. As a consequence, we have adjusted manufacturing employment levels by 11% this year, primarily through attrition. Total wholesale inventories were reduced by 15% for the period. As previously reported, we continue to right size our Club Level imported motion inventories and are suffering margin degradation in so doing as the inventory is valued with the exorbitant ocean freight costs incurred last year and we are discounting the product to move the goods. The corresponding effect resulted in a 250 basis point blow to overall operating margins for the quarter versus last year. The bottom-line effects of the price reduction lessened somewhat as the period unfolded but will represent a hindrance to operating results until sometime in the third quarter at current sales levels. Once we return to Club Level inventories that were shipped from Asia with current ocean freight rates, those margins will return to historical levels, which is already the case for certain styles.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turmoil caused by pandemic supply chain upheaval is now behind us. Part of the disruption included skyrocketing raw material prices and the aforementioned freight costs. As the environment has normalized, certain manufacturing cost inputs have been reduced. Armed with the results of a thorough line-wide cost analysis, we plan to sharpen price points on key items across the line to enhance sales and improve overhead absorption in our factories. We will implement the new pricing strategy in our stores and to our wholesale customers sometime in April, which we believe will not adversely affect wholesale margins based on our internal calculations.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year over year retail delivered sales increased by 1.4% for the quarter, retail operating profit fell to $1.5 million. Gross margins were flat compared to last year as the effects of heavier promotional activity were offset by the positive impacts of LIFO valuation adjustments. We elected to increase marketing expenses as well to maintain consumer engagement on the web and in our stores. The increase in interest rates also impacted our consumer finance costs. Our new Dallas store opened in the period and we also remodeled two other existing locations in the Dallas market to test a new fixturing package designed to further enhance accessory sales. We will begin work on our new large store (25,000 square feet) in Tampa early in April. We are excited about the new face that our latest formats put on our brand presentation, and we will monitor the performance of these locations as we consider enhancements to certain stores in the rest of the fleet.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2023 is a big year from a technology standpoint as our long-awaited digital transformation becomes more obvious with the debut of our new web platform in the next ninety days. Adding a new level of omni-channel capabilities has been a major objective from the outset and we are close to bringing it to the marketplace. On a related note, February brought the second quarter of our ownership of pure-play e-commerce provider Noa Home to a close. Noa is operating at a loss and will likely do so until at least the latter part of the year as we hone their operating metrics and adjust certain pricing strategies. We also continue to work on broadening their assortment. We value the insights that we are gaining from owning Noa and look forward to growing the business and reaching a new consumer in their existing international markets and ultimately the 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again, we will manage our capital allocation strategy in keeping with the economic uncertainty that we see around us today. We have postponed certain elements of our capital expenditure plan as we gain clarity on consumer behavior over the next few months. Although we have slowed the pace of share repurchases as compared to the prior year, we retired $1.8 million of our stock in the quarter and plan to continue to actively acquire shares while we believe the stock is undervalued. We are confident in the investments that we are making for the future but recognize that the fluid economic environment in which we are currently operating merits the conservative capital allocation approach that we are taking.</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CEO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(NASDAQ:BSET), is a leading manufacturer and marketer of high quality home furnishings. With 92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and a logistics business specializing in home furnishings. For more information, visit the Company’s website at bassettfurniture.com. (BSET-E)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ind w:firstLine="41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Certain of the statements in this release, particularly those preceded by, followed by or including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estimates,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similar expressions, or those relating to or anticipating financial results or changes in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for periods beyond the end of the first fiscal quarter of 2023,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within the meaning of Section 27A of the</w:t>
      </w: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(including, without limitation, the effects on revenue, supply and demand resulting from the duration and extent of the COVID-19 pandemic) and future events on the retail demand for home furnishings and the ability of Bassett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customers and consumers to obtain credit; the success of marketing, logistics, retail and other initiatives; and the economic, competitive, governmental and other factors identified in Bassett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per share data)</w:t>
      </w:r>
    </w:p>
    <w:p>
      <w:pPr>
        <w:spacing w:after="0" w:line="207"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8"/>
          <w:szCs w:val="18"/>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2575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February 25, 2023</w:t>
      </w:r>
    </w:p>
    <w:p>
      <w:pPr>
        <w:spacing w:after="0" w:line="23" w:lineRule="exact"/>
        <w:rPr>
          <w:sz w:val="20"/>
          <w:szCs w:val="20"/>
          <w:color w:val="auto"/>
        </w:rPr>
      </w:pPr>
    </w:p>
    <w:tbl>
      <w:tblPr>
        <w:tblLayout w:type="fixed"/>
        <w:tblInd w:w="5940" w:type="dxa"/>
        <w:tblCellMar>
          <w:top w:w="0" w:type="dxa"/>
          <w:left w:w="0" w:type="dxa"/>
          <w:bottom w:w="0" w:type="dxa"/>
          <w:right w:w="0" w:type="dxa"/>
        </w:tblCellMar>
      </w:tblPr>
      <w:tr>
        <w:trPr>
          <w:trHeight w:val="205"/>
        </w:trPr>
        <w:tc>
          <w:tcPr>
            <w:tcW w:w="1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left="70"/>
              <w:spacing w:after="0" w:line="205" w:lineRule="exact"/>
              <w:rPr>
                <w:sz w:val="20"/>
                <w:szCs w:val="20"/>
                <w:color w:val="auto"/>
              </w:rPr>
            </w:pPr>
            <w:r>
              <w:rPr>
                <w:rFonts w:ascii="Times New Roman" w:cs="Times New Roman" w:eastAsia="Times New Roman" w:hAnsi="Times New Roman"/>
                <w:sz w:val="18"/>
                <w:szCs w:val="18"/>
                <w:color w:val="auto"/>
              </w:rPr>
              <w:t>Percent of</w:t>
            </w:r>
          </w:p>
        </w:tc>
      </w:tr>
      <w:tr>
        <w:trPr>
          <w:trHeight w:val="234"/>
        </w:trPr>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Net Sales</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February 26,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left="70"/>
              <w:spacing w:after="0" w:line="205" w:lineRule="exact"/>
              <w:rPr>
                <w:sz w:val="20"/>
                <w:szCs w:val="20"/>
                <w:color w:val="auto"/>
              </w:rPr>
            </w:pPr>
            <w:r>
              <w:rPr>
                <w:rFonts w:ascii="Times New Roman" w:cs="Times New Roman" w:eastAsia="Times New Roman" w:hAnsi="Times New Roman"/>
                <w:sz w:val="18"/>
                <w:szCs w:val="18"/>
                <w:color w:val="auto"/>
              </w:rPr>
              <w:t>Percent of</w:t>
            </w:r>
          </w:p>
        </w:tc>
      </w:tr>
      <w:tr>
        <w:trPr>
          <w:trHeight w:val="234"/>
        </w:trPr>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Net Sales</w:t>
            </w:r>
          </w:p>
        </w:tc>
      </w:tr>
    </w:tbl>
    <w:p>
      <w:pPr>
        <w:spacing w:after="0" w:line="200" w:lineRule="exact"/>
        <w:rPr>
          <w:sz w:val="20"/>
          <w:szCs w:val="20"/>
          <w:color w:val="auto"/>
        </w:rPr>
      </w:pPr>
    </w:p>
    <w:p>
      <w:pPr>
        <w:sectPr>
          <w:pgSz w:w="11900" w:h="16838" w:orient="portrait"/>
          <w:cols w:equalWidth="0" w:num="2">
            <w:col w:w="8380" w:space="260"/>
            <w:col w:w="2600"/>
          </w:cols>
          <w:pgMar w:left="320" w:top="57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107,698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50,501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60,471</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57,197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54,495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50,915</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32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68"/>
        </w:trPr>
        <w:tc>
          <w:tcPr>
            <w:tcW w:w="59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gridSpan w:val="2"/>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(415</w:t>
            </w:r>
          </w:p>
        </w:tc>
        <w:tc>
          <w:tcPr>
            <w:tcW w:w="13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 net of tax</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59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February 25, 2023</w:t>
            </w:r>
          </w:p>
        </w:tc>
        <w:tc>
          <w:tcPr>
            <w:tcW w:w="8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26, 2022</w:t>
            </w:r>
          </w:p>
        </w:tc>
      </w:tr>
      <w:tr>
        <w:trPr>
          <w:trHeight w:val="169"/>
        </w:trPr>
        <w:tc>
          <w:tcPr>
            <w:tcW w:w="80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61,625</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17,715</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17,838</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85,477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100" w:type="dxa"/>
            <w:vAlign w:val="bottom"/>
          </w:tcPr>
          <w:p>
            <w:pPr>
              <w:spacing w:after="0"/>
              <w:rPr>
                <w:sz w:val="18"/>
                <w:szCs w:val="18"/>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196,495</w:t>
            </w: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77,001</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5,528</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99,472</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132,777</w:t>
            </w:r>
          </w:p>
        </w:tc>
        <w:tc>
          <w:tcPr>
            <w:tcW w:w="100" w:type="dxa"/>
            <w:vAlign w:val="bottom"/>
          </w:tcPr>
          <w:p>
            <w:pPr>
              <w:spacing w:after="0"/>
              <w:rPr>
                <w:sz w:val="18"/>
                <w:szCs w:val="18"/>
                <w:color w:val="auto"/>
              </w:rPr>
            </w:pPr>
          </w:p>
        </w:tc>
      </w:tr>
      <w:tr>
        <w:trPr>
          <w:trHeight w:val="24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391,617</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406,273</w:t>
            </w:r>
          </w:p>
        </w:tc>
      </w:tr>
      <w:tr>
        <w:trPr>
          <w:trHeight w:val="197"/>
        </w:trPr>
        <w:tc>
          <w:tcPr>
            <w:tcW w:w="480" w:type="dxa"/>
            <w:vAlign w:val="bottom"/>
            <w:tcBorders>
              <w:top w:val="single" w:sz="8" w:color="CCEEFF"/>
            </w:tcBorders>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5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20,359</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12,921</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35,963</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18,819</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 and accrued expenses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100,827</w:t>
            </w: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9,954</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97,477</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109,837</w:t>
            </w:r>
          </w:p>
        </w:tc>
      </w:tr>
      <w:tr>
        <w:trPr>
          <w:trHeight w:val="209"/>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44,759</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150,800</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391,617</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406,273</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February 25, 2023</w:t>
            </w:r>
          </w:p>
        </w:tc>
        <w:tc>
          <w:tcPr>
            <w:tcW w:w="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26, 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8"/>
                <w:szCs w:val="18"/>
                <w:color w:val="auto"/>
              </w:rPr>
            </w:pP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(4,923)</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(7,109)</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r>
      <w:tr>
        <w:trPr>
          <w:trHeight w:val="20"/>
        </w:trPr>
        <w:tc>
          <w:tcPr>
            <w:tcW w:w="8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(2,880)</w:t>
            </w:r>
          </w:p>
        </w:tc>
      </w:tr>
      <w:tr>
        <w:trPr>
          <w:trHeight w:val="209"/>
        </w:trPr>
        <w:tc>
          <w:tcPr>
            <w:tcW w:w="80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(1,844)</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8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exchenge rate changes on cash and cash equivalents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34,374</w:t>
            </w:r>
          </w:p>
        </w:tc>
      </w:tr>
      <w:tr>
        <w:trPr>
          <w:trHeight w:val="210"/>
        </w:trPr>
        <w:tc>
          <w:tcPr>
            <w:tcW w:w="80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54,892</w:t>
            </w:r>
          </w:p>
        </w:tc>
        <w:tc>
          <w:tcPr>
            <w:tcW w:w="120" w:type="dxa"/>
            <w:vAlign w:val="bottom"/>
          </w:tcPr>
          <w:p>
            <w:pPr>
              <w:spacing w:after="0"/>
              <w:rPr>
                <w:sz w:val="18"/>
                <w:szCs w:val="18"/>
                <w:color w:val="auto"/>
              </w:rPr>
            </w:pP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31,880</w:t>
            </w:r>
          </w:p>
        </w:tc>
      </w:tr>
      <w:tr>
        <w:trPr>
          <w:trHeight w:val="20"/>
        </w:trPr>
        <w:tc>
          <w:tcPr>
            <w:tcW w:w="8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198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 w:lineRule="exact"/>
        <w:rPr>
          <w:sz w:val="20"/>
          <w:szCs w:val="20"/>
          <w:color w:val="auto"/>
        </w:rPr>
      </w:pPr>
    </w:p>
    <w:p>
      <w:pPr>
        <w:jc w:val="center"/>
        <w:ind w:left="7900"/>
        <w:spacing w:after="0"/>
        <w:tabs>
          <w:tab w:leader="none" w:pos="320" w:val="left"/>
        </w:tabs>
        <w:rPr>
          <w:sz w:val="20"/>
          <w:szCs w:val="20"/>
          <w:color w:val="auto"/>
        </w:rPr>
      </w:pPr>
      <w:r>
        <w:rPr>
          <w:rFonts w:ascii="Times New Roman" w:cs="Times New Roman" w:eastAsia="Times New Roman" w:hAnsi="Times New Roman"/>
          <w:sz w:val="18"/>
          <w:szCs w:val="18"/>
          <w:color w:val="auto"/>
        </w:rPr>
        <w:t>February 25, 2023</w:t>
      </w:r>
      <w:r>
        <w:rPr>
          <w:sz w:val="20"/>
          <w:szCs w:val="20"/>
          <w:color w:val="auto"/>
        </w:rPr>
        <w:tab/>
      </w:r>
      <w:r>
        <w:rPr>
          <w:rFonts w:ascii="Times New Roman" w:cs="Times New Roman" w:eastAsia="Times New Roman" w:hAnsi="Times New Roman"/>
          <w:sz w:val="18"/>
          <w:szCs w:val="18"/>
          <w:u w:val="single" w:color="auto"/>
          <w:color w:val="auto"/>
        </w:rPr>
        <w:t>February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934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Sales to retail segment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120" w:type="dxa"/>
            <w:vAlign w:val="bottom"/>
          </w:tcPr>
          <w:p>
            <w:pPr>
              <w:spacing w:after="0"/>
              <w:rPr>
                <w:sz w:val="18"/>
                <w:szCs w:val="18"/>
                <w:color w:val="auto"/>
              </w:rPr>
            </w:pP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83,485</w:t>
            </w:r>
          </w:p>
        </w:tc>
      </w:tr>
      <w:tr>
        <w:trPr>
          <w:trHeight w:val="234"/>
        </w:trPr>
        <w:tc>
          <w:tcPr>
            <w:tcW w:w="4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(30,099)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(29,728)</w:t>
            </w:r>
          </w:p>
        </w:tc>
      </w:tr>
      <w:tr>
        <w:trPr>
          <w:trHeight w:val="191"/>
        </w:trPr>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39,785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53,757</w:t>
            </w:r>
          </w:p>
        </w:tc>
        <w:tc>
          <w:tcPr>
            <w:tcW w:w="6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64,107</w:t>
            </w:r>
          </w:p>
        </w:tc>
      </w:tr>
      <w:tr>
        <w:trPr>
          <w:trHeight w:val="234"/>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117,864</w:t>
            </w:r>
          </w:p>
        </w:tc>
        <w:tc>
          <w:tcPr>
            <w:tcW w:w="6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7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8,994</w:t>
            </w:r>
          </w:p>
        </w:tc>
        <w:tc>
          <w:tcPr>
            <w:tcW w:w="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2,622</w:t>
            </w:r>
          </w:p>
        </w:tc>
      </w:tr>
      <w:tr>
        <w:trPr>
          <w:trHeight w:val="216"/>
        </w:trPr>
        <w:tc>
          <w:tcPr>
            <w:tcW w:w="8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expenses - Corporate and other </w:t>
            </w:r>
            <w:r>
              <w:rPr>
                <w:rFonts w:ascii="Times New Roman" w:cs="Times New Roman" w:eastAsia="Times New Roman" w:hAnsi="Times New Roman"/>
                <w:sz w:val="25"/>
                <w:szCs w:val="25"/>
                <w:color w:val="auto"/>
                <w:vertAlign w:val="superscript"/>
              </w:rPr>
              <w:t>(1)</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elimination</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left="240" w:hanging="232"/>
        <w:spacing w:after="0"/>
        <w:tabs>
          <w:tab w:leader="none" w:pos="2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Corporate and Other includes the operations of Noa Home Inc. for 2023 along with the shared Corporate costs that are benefiting both the Wholesale and Retail segments. This represents a change in our segment presentation from prior periods. Previously, those shared Corporate costs had been included in the Wholesale segment and the operations of Noa Home Inc. were included in the Retail segment. Prior period results have been restated to conform to the current presentation.</w:t>
      </w:r>
    </w:p>
    <w:sectPr>
      <w:pgSz w:w="11900" w:h="16838" w:orient="portrait"/>
      <w:cols w:equalWidth="0" w:num="1">
        <w:col w:w="11240"/>
      </w:cols>
      <w:pgMar w:left="320" w:top="57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2023-03-30T08:20:09Z</dcterms:created>
  <dcterms:modified xsi:type="dcterms:W3CDTF">2023-03-30T08:20:09Z</dcterms:modified>
</cp:coreProperties>
</file>