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83"/>
        <w:spacing w:after="0"/>
        <w:rPr>
          <w:sz w:val="20"/>
          <w:szCs w:val="20"/>
          <w:color w:val="auto"/>
        </w:rPr>
      </w:pPr>
      <w:r>
        <w:rPr>
          <w:rFonts w:ascii="Times New Roman" w:cs="Times New Roman" w:eastAsia="Times New Roman" w:hAnsi="Times New Roman"/>
          <w:sz w:val="32"/>
          <w:szCs w:val="32"/>
          <w:b w:val="1"/>
          <w:bCs w:val="1"/>
          <w:color w:val="auto"/>
        </w:rPr>
        <w:drawing>
          <wp:anchor simplePos="0" relativeHeight="251657728" behindDoc="1" locked="0" layoutInCell="0" allowOverlap="1">
            <wp:simplePos x="0" y="0"/>
            <wp:positionH relativeFrom="page">
              <wp:posOffset>276860</wp:posOffset>
            </wp:positionH>
            <wp:positionV relativeFrom="page">
              <wp:posOffset>166370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208915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t>UNITED STATES</w:t>
      </w:r>
    </w:p>
    <w:p>
      <w:pPr>
        <w:spacing w:after="0" w:line="37" w:lineRule="exact"/>
        <w:rPr>
          <w:sz w:val="24"/>
          <w:szCs w:val="24"/>
          <w:color w:val="auto"/>
        </w:rPr>
      </w:pPr>
    </w:p>
    <w:p>
      <w:pPr>
        <w:jc w:val="center"/>
        <w:ind w:right="-83"/>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jc w:val="center"/>
        <w:ind w:right="-83"/>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227330</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20" w:lineRule="exact"/>
        <w:rPr>
          <w:sz w:val="24"/>
          <w:szCs w:val="24"/>
          <w:color w:val="auto"/>
        </w:rPr>
      </w:pPr>
    </w:p>
    <w:p>
      <w:pPr>
        <w:jc w:val="center"/>
        <w:ind w:right="-83"/>
        <w:spacing w:after="0"/>
        <w:rPr>
          <w:sz w:val="20"/>
          <w:szCs w:val="20"/>
          <w:color w:val="auto"/>
        </w:rPr>
      </w:pPr>
      <w:r>
        <w:rPr>
          <w:rFonts w:ascii="Times New Roman" w:cs="Times New Roman" w:eastAsia="Times New Roman" w:hAnsi="Times New Roman"/>
          <w:sz w:val="32"/>
          <w:szCs w:val="32"/>
          <w:b w:val="1"/>
          <w:bCs w:val="1"/>
          <w:color w:val="auto"/>
        </w:rPr>
        <w:t>SCHEDULE 13G</w:t>
      </w:r>
    </w:p>
    <w:p>
      <w:pPr>
        <w:spacing w:after="0" w:line="228" w:lineRule="exact"/>
        <w:rPr>
          <w:sz w:val="24"/>
          <w:szCs w:val="24"/>
          <w:color w:val="auto"/>
        </w:rPr>
      </w:pPr>
    </w:p>
    <w:p>
      <w:pPr>
        <w:jc w:val="center"/>
        <w:ind w:right="-83"/>
        <w:spacing w:after="0"/>
        <w:rPr>
          <w:sz w:val="20"/>
          <w:szCs w:val="20"/>
          <w:color w:val="auto"/>
        </w:rPr>
      </w:pPr>
      <w:r>
        <w:rPr>
          <w:rFonts w:ascii="Times New Roman" w:cs="Times New Roman" w:eastAsia="Times New Roman" w:hAnsi="Times New Roman"/>
          <w:sz w:val="22"/>
          <w:szCs w:val="22"/>
          <w:b w:val="1"/>
          <w:bCs w:val="1"/>
          <w:color w:val="auto"/>
        </w:rPr>
        <w:t>Under the Securities Exchange Act of 1934</w:t>
      </w:r>
    </w:p>
    <w:p>
      <w:pPr>
        <w:spacing w:after="0" w:line="18" w:lineRule="exact"/>
        <w:rPr>
          <w:sz w:val="24"/>
          <w:szCs w:val="24"/>
          <w:color w:val="auto"/>
        </w:rPr>
      </w:pPr>
    </w:p>
    <w:p>
      <w:pPr>
        <w:jc w:val="center"/>
        <w:ind w:right="-103"/>
        <w:spacing w:after="0"/>
        <w:tabs>
          <w:tab w:leader="none" w:pos="200" w:val="left"/>
        </w:tabs>
        <w:rPr>
          <w:sz w:val="20"/>
          <w:szCs w:val="20"/>
          <w:color w:val="auto"/>
        </w:rPr>
      </w:pPr>
      <w:r>
        <w:rPr>
          <w:rFonts w:ascii="Times New Roman" w:cs="Times New Roman" w:eastAsia="Times New Roman" w:hAnsi="Times New Roman"/>
          <w:sz w:val="22"/>
          <w:szCs w:val="22"/>
          <w:b w:val="1"/>
          <w:bCs w:val="1"/>
          <w:color w:val="auto"/>
        </w:rPr>
        <w:t>(Amendment No.</w:t>
      </w:r>
      <w:r>
        <w:rPr>
          <w:sz w:val="20"/>
          <w:szCs w:val="20"/>
          <w:color w:val="auto"/>
        </w:rPr>
        <w:tab/>
      </w:r>
      <w:r>
        <w:rPr>
          <w:rFonts w:ascii="Times New Roman" w:cs="Times New Roman" w:eastAsia="Times New Roman" w:hAnsi="Times New Roman"/>
          <w:sz w:val="21"/>
          <w:szCs w:val="21"/>
          <w:b w:val="1"/>
          <w:bCs w:val="1"/>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218440</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00" w:lineRule="exact"/>
        <w:rPr>
          <w:sz w:val="24"/>
          <w:szCs w:val="24"/>
          <w:color w:val="auto"/>
        </w:rPr>
      </w:pPr>
    </w:p>
    <w:p>
      <w:pPr>
        <w:jc w:val="center"/>
        <w:ind w:right="-83"/>
        <w:spacing w:after="0"/>
        <w:rPr>
          <w:sz w:val="20"/>
          <w:szCs w:val="20"/>
          <w:color w:val="auto"/>
        </w:rPr>
      </w:pPr>
      <w:r>
        <w:rPr>
          <w:rFonts w:ascii="Times New Roman" w:cs="Times New Roman" w:eastAsia="Times New Roman" w:hAnsi="Times New Roman"/>
          <w:sz w:val="40"/>
          <w:szCs w:val="40"/>
          <w:b w:val="1"/>
          <w:bCs w:val="1"/>
          <w:color w:val="auto"/>
        </w:rPr>
        <w:t>Bassett Furniture Industries, Inc.</w:t>
      </w:r>
    </w:p>
    <w:p>
      <w:pPr>
        <w:spacing w:after="0" w:line="41" w:lineRule="exact"/>
        <w:rPr>
          <w:sz w:val="24"/>
          <w:szCs w:val="24"/>
          <w:color w:val="auto"/>
        </w:rPr>
      </w:pPr>
    </w:p>
    <w:p>
      <w:pPr>
        <w:jc w:val="center"/>
        <w:ind w:right="-83"/>
        <w:spacing w:after="0"/>
        <w:rPr>
          <w:sz w:val="20"/>
          <w:szCs w:val="20"/>
          <w:color w:val="auto"/>
        </w:rPr>
      </w:pPr>
      <w:r>
        <w:rPr>
          <w:rFonts w:ascii="Times New Roman" w:cs="Times New Roman" w:eastAsia="Times New Roman" w:hAnsi="Times New Roman"/>
          <w:sz w:val="18"/>
          <w:szCs w:val="18"/>
          <w:b w:val="1"/>
          <w:bCs w:val="1"/>
          <w:color w:val="auto"/>
        </w:rPr>
        <w:t>(Name of Issuer)</w:t>
      </w:r>
    </w:p>
    <w:p>
      <w:pPr>
        <w:spacing w:after="0" w:line="201" w:lineRule="exact"/>
        <w:rPr>
          <w:sz w:val="24"/>
          <w:szCs w:val="24"/>
          <w:color w:val="auto"/>
        </w:rPr>
      </w:pPr>
    </w:p>
    <w:p>
      <w:pPr>
        <w:jc w:val="center"/>
        <w:ind w:right="-83"/>
        <w:spacing w:after="0"/>
        <w:rPr>
          <w:sz w:val="20"/>
          <w:szCs w:val="20"/>
          <w:color w:val="auto"/>
        </w:rPr>
      </w:pPr>
      <w:r>
        <w:rPr>
          <w:rFonts w:ascii="Times New Roman" w:cs="Times New Roman" w:eastAsia="Times New Roman" w:hAnsi="Times New Roman"/>
          <w:sz w:val="18"/>
          <w:szCs w:val="18"/>
          <w:b w:val="1"/>
          <w:bCs w:val="1"/>
          <w:color w:val="auto"/>
        </w:rPr>
        <w:t>Common stock, $5.00 par value per share</w:t>
      </w:r>
    </w:p>
    <w:p>
      <w:pPr>
        <w:spacing w:after="0" w:line="25" w:lineRule="exact"/>
        <w:rPr>
          <w:sz w:val="24"/>
          <w:szCs w:val="24"/>
          <w:color w:val="auto"/>
        </w:rPr>
      </w:pPr>
    </w:p>
    <w:p>
      <w:pPr>
        <w:jc w:val="center"/>
        <w:ind w:right="-83"/>
        <w:spacing w:after="0"/>
        <w:rPr>
          <w:sz w:val="20"/>
          <w:szCs w:val="20"/>
          <w:color w:val="auto"/>
        </w:rPr>
      </w:pPr>
      <w:r>
        <w:rPr>
          <w:rFonts w:ascii="Times New Roman" w:cs="Times New Roman" w:eastAsia="Times New Roman" w:hAnsi="Times New Roman"/>
          <w:sz w:val="14"/>
          <w:szCs w:val="14"/>
          <w:b w:val="1"/>
          <w:bCs w:val="1"/>
          <w:color w:val="auto"/>
        </w:rPr>
        <w:t>(Title of Class of Securities)</w:t>
      </w:r>
    </w:p>
    <w:p>
      <w:pPr>
        <w:spacing w:after="0" w:line="188" w:lineRule="exact"/>
        <w:rPr>
          <w:sz w:val="24"/>
          <w:szCs w:val="24"/>
          <w:color w:val="auto"/>
        </w:rPr>
      </w:pPr>
    </w:p>
    <w:p>
      <w:pPr>
        <w:jc w:val="center"/>
        <w:ind w:right="-83"/>
        <w:spacing w:after="0"/>
        <w:rPr>
          <w:sz w:val="20"/>
          <w:szCs w:val="20"/>
          <w:color w:val="auto"/>
        </w:rPr>
      </w:pPr>
      <w:r>
        <w:rPr>
          <w:rFonts w:ascii="Times New Roman" w:cs="Times New Roman" w:eastAsia="Times New Roman" w:hAnsi="Times New Roman"/>
          <w:sz w:val="18"/>
          <w:szCs w:val="18"/>
          <w:b w:val="1"/>
          <w:bCs w:val="1"/>
          <w:color w:val="auto"/>
        </w:rPr>
        <w:t>070203104</w:t>
      </w:r>
    </w:p>
    <w:p>
      <w:pPr>
        <w:spacing w:after="0" w:line="25" w:lineRule="exact"/>
        <w:rPr>
          <w:sz w:val="24"/>
          <w:szCs w:val="24"/>
          <w:color w:val="auto"/>
        </w:rPr>
      </w:pPr>
    </w:p>
    <w:p>
      <w:pPr>
        <w:jc w:val="center"/>
        <w:ind w:right="-83"/>
        <w:spacing w:after="0"/>
        <w:rPr>
          <w:sz w:val="20"/>
          <w:szCs w:val="20"/>
          <w:color w:val="auto"/>
        </w:rPr>
      </w:pPr>
      <w:r>
        <w:rPr>
          <w:rFonts w:ascii="Times New Roman" w:cs="Times New Roman" w:eastAsia="Times New Roman" w:hAnsi="Times New Roman"/>
          <w:sz w:val="14"/>
          <w:szCs w:val="14"/>
          <w:b w:val="1"/>
          <w:bCs w:val="1"/>
          <w:color w:val="auto"/>
        </w:rPr>
        <w:t>(CUSIP Number)</w:t>
      </w:r>
    </w:p>
    <w:p>
      <w:pPr>
        <w:spacing w:after="0" w:line="188" w:lineRule="exact"/>
        <w:rPr>
          <w:sz w:val="24"/>
          <w:szCs w:val="24"/>
          <w:color w:val="auto"/>
        </w:rPr>
      </w:pPr>
    </w:p>
    <w:p>
      <w:pPr>
        <w:jc w:val="center"/>
        <w:ind w:right="-83"/>
        <w:spacing w:after="0"/>
        <w:rPr>
          <w:sz w:val="20"/>
          <w:szCs w:val="20"/>
          <w:color w:val="auto"/>
        </w:rPr>
      </w:pPr>
      <w:r>
        <w:rPr>
          <w:rFonts w:ascii="Times New Roman" w:cs="Times New Roman" w:eastAsia="Times New Roman" w:hAnsi="Times New Roman"/>
          <w:sz w:val="18"/>
          <w:szCs w:val="18"/>
          <w:b w:val="1"/>
          <w:bCs w:val="1"/>
          <w:color w:val="auto"/>
        </w:rPr>
        <w:t>May 25, 2022</w:t>
      </w:r>
    </w:p>
    <w:p>
      <w:pPr>
        <w:spacing w:after="0" w:line="25" w:lineRule="exact"/>
        <w:rPr>
          <w:sz w:val="24"/>
          <w:szCs w:val="24"/>
          <w:color w:val="auto"/>
        </w:rPr>
      </w:pPr>
    </w:p>
    <w:p>
      <w:pPr>
        <w:jc w:val="center"/>
        <w:ind w:right="-83"/>
        <w:spacing w:after="0"/>
        <w:rPr>
          <w:sz w:val="20"/>
          <w:szCs w:val="20"/>
          <w:color w:val="auto"/>
        </w:rPr>
      </w:pPr>
      <w:r>
        <w:rPr>
          <w:rFonts w:ascii="Times New Roman" w:cs="Times New Roman" w:eastAsia="Times New Roman" w:hAnsi="Times New Roman"/>
          <w:sz w:val="14"/>
          <w:szCs w:val="14"/>
          <w:b w:val="1"/>
          <w:bCs w:val="1"/>
          <w:color w:val="auto"/>
        </w:rPr>
        <w:t>(Date of Event which Requires Filing of this Statement)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219075</wp:posOffset>
            </wp:positionV>
            <wp:extent cx="147447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36" w:lineRule="exact"/>
        <w:rPr>
          <w:sz w:val="24"/>
          <w:szCs w:val="24"/>
          <w:color w:val="auto"/>
        </w:rPr>
      </w:pPr>
    </w:p>
    <w:p>
      <w:pPr>
        <w:ind w:left="4"/>
        <w:spacing w:after="0"/>
        <w:rPr>
          <w:sz w:val="20"/>
          <w:szCs w:val="20"/>
          <w:color w:val="auto"/>
        </w:rPr>
      </w:pPr>
      <w:r>
        <w:rPr>
          <w:rFonts w:ascii="Times New Roman" w:cs="Times New Roman" w:eastAsia="Times New Roman" w:hAnsi="Times New Roman"/>
          <w:sz w:val="18"/>
          <w:szCs w:val="18"/>
          <w:color w:val="auto"/>
        </w:rPr>
        <w:t>Check the appropriate box to designate the rule pursuant to which this Schedule is filed:</w:t>
      </w:r>
    </w:p>
    <w:p>
      <w:pPr>
        <w:spacing w:after="0" w:line="252" w:lineRule="exact"/>
        <w:rPr>
          <w:sz w:val="24"/>
          <w:szCs w:val="24"/>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Rule 13d-1(b)</w:t>
      </w:r>
    </w:p>
    <w:p>
      <w:pPr>
        <w:spacing w:after="0" w:line="252" w:lineRule="exact"/>
        <w:rPr>
          <w:sz w:val="24"/>
          <w:szCs w:val="24"/>
          <w:color w:val="auto"/>
        </w:rPr>
      </w:pPr>
    </w:p>
    <w:p>
      <w:pPr>
        <w:ind w:left="424" w:hanging="424"/>
        <w:spacing w:after="0"/>
        <w:tabs>
          <w:tab w:leader="none" w:pos="424" w:val="left"/>
        </w:tabs>
        <w:numPr>
          <w:ilvl w:val="0"/>
          <w:numId w:val="2"/>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Rule 13d-1(c)</w:t>
      </w:r>
    </w:p>
    <w:p>
      <w:pPr>
        <w:spacing w:after="0" w:line="252" w:lineRule="exact"/>
        <w:rPr>
          <w:sz w:val="24"/>
          <w:szCs w:val="24"/>
          <w:color w:val="auto"/>
        </w:rPr>
      </w:pPr>
    </w:p>
    <w:p>
      <w:pPr>
        <w:ind w:left="424" w:hanging="424"/>
        <w:spacing w:after="0"/>
        <w:tabs>
          <w:tab w:leader="none" w:pos="424" w:val="left"/>
        </w:tabs>
        <w:numPr>
          <w:ilvl w:val="0"/>
          <w:numId w:val="3"/>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Rule 13d-1(d)</w:t>
      </w:r>
    </w:p>
    <w:p>
      <w:pPr>
        <w:spacing w:after="0" w:line="252" w:lineRule="exact"/>
        <w:rPr>
          <w:sz w:val="24"/>
          <w:szCs w:val="24"/>
          <w:color w:val="auto"/>
        </w:rPr>
      </w:pPr>
    </w:p>
    <w:p>
      <w:pPr>
        <w:ind w:left="224" w:right="180" w:hanging="224"/>
        <w:spacing w:after="0" w:line="282" w:lineRule="auto"/>
        <w:tabs>
          <w:tab w:leader="none" w:pos="224"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remainder of this cover page shall be filled out for a reporting person’s initial filing on this form with respect to the subject class of securities, and for any subsequent amendment containing information which would alter disclosures provided in a prior cover page.</w:t>
      </w:r>
    </w:p>
    <w:p>
      <w:pPr>
        <w:spacing w:after="0" w:line="162" w:lineRule="exact"/>
        <w:rPr>
          <w:sz w:val="24"/>
          <w:szCs w:val="24"/>
          <w:color w:val="auto"/>
        </w:rPr>
      </w:pPr>
    </w:p>
    <w:p>
      <w:pPr>
        <w:ind w:left="4"/>
        <w:spacing w:after="0" w:line="266" w:lineRule="auto"/>
        <w:rPr>
          <w:sz w:val="20"/>
          <w:szCs w:val="20"/>
          <w:color w:val="auto"/>
        </w:rPr>
      </w:pPr>
      <w:r>
        <w:rPr>
          <w:rFonts w:ascii="Times New Roman" w:cs="Times New Roman" w:eastAsia="Times New Roman" w:hAnsi="Times New Roman"/>
          <w:sz w:val="18"/>
          <w:szCs w:val="18"/>
          <w:color w:val="auto"/>
        </w:rPr>
        <w:t>The information required on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157480</wp:posOffset>
            </wp:positionV>
            <wp:extent cx="699516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200660</wp:posOffset>
            </wp:positionV>
            <wp:extent cx="699516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ectPr>
          <w:pgSz w:w="11900" w:h="16838" w:orient="portrait"/>
          <w:cols w:equalWidth="0" w:num="1">
            <w:col w:w="10924"/>
          </w:cols>
          <w:pgMar w:left="436" w:top="511" w:right="539" w:bottom="1440" w:gutter="0" w:footer="0" w:header="0"/>
        </w:sectPr>
      </w:pPr>
    </w:p>
    <w:bookmarkStart w:id="1" w:name="page2"/>
    <w:bookmarkEnd w:id="1"/>
    <w:p>
      <w:pPr>
        <w:spacing w:after="0"/>
        <w:tabs>
          <w:tab w:leader="none" w:pos="5380" w:val="left"/>
          <w:tab w:leader="none" w:pos="9720" w:val="left"/>
        </w:tabs>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CUSIP No. 070203104</w:t>
      </w:r>
      <w:r>
        <w:rPr>
          <w:sz w:val="20"/>
          <w:szCs w:val="20"/>
          <w:color w:val="auto"/>
        </w:rPr>
        <w:tab/>
      </w:r>
      <w:r>
        <w:rPr>
          <w:rFonts w:ascii="Times New Roman" w:cs="Times New Roman" w:eastAsia="Times New Roman" w:hAnsi="Times New Roman"/>
          <w:sz w:val="18"/>
          <w:szCs w:val="18"/>
          <w:color w:val="auto"/>
        </w:rPr>
        <w:t>13G</w:t>
      </w:r>
      <w:r>
        <w:rPr>
          <w:sz w:val="20"/>
          <w:szCs w:val="20"/>
          <w:color w:val="auto"/>
        </w:rPr>
        <w:tab/>
      </w:r>
      <w:r>
        <w:rPr>
          <w:rFonts w:ascii="Times New Roman" w:cs="Times New Roman" w:eastAsia="Times New Roman" w:hAnsi="Times New Roman"/>
          <w:sz w:val="17"/>
          <w:szCs w:val="17"/>
          <w:color w:val="auto"/>
        </w:rPr>
        <w:t>Page 2 of 3 Pages</w:t>
      </w:r>
    </w:p>
    <w:p>
      <w:pPr>
        <w:spacing w:after="0" w:line="171" w:lineRule="exact"/>
        <w:rPr>
          <w:sz w:val="20"/>
          <w:szCs w:val="20"/>
          <w:color w:val="auto"/>
        </w:rPr>
      </w:pPr>
    </w:p>
    <w:p>
      <w:pPr>
        <w:ind w:left="660" w:hanging="417"/>
        <w:spacing w:after="0"/>
        <w:tabs>
          <w:tab w:leader="none" w:pos="6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NAMES OF REPORTING PERSONS</w:t>
      </w:r>
    </w:p>
    <w:p>
      <w:pPr>
        <w:spacing w:after="0" w:line="252" w:lineRule="exact"/>
        <w:rPr>
          <w:rFonts w:ascii="Times New Roman" w:cs="Times New Roman" w:eastAsia="Times New Roman" w:hAnsi="Times New Roman"/>
          <w:sz w:val="18"/>
          <w:szCs w:val="18"/>
          <w:color w:val="auto"/>
        </w:rPr>
      </w:pPr>
    </w:p>
    <w:p>
      <w:pPr>
        <w:ind w:left="660" w:right="4780"/>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I.R.S. IDENTIFICATION NOS. OF ABOVE PERSONS (ENTITIES ONLY) CSC Generation Holdings, Inc., FEIN 82-3294581</w:t>
      </w:r>
    </w:p>
    <w:p>
      <w:pPr>
        <w:ind w:left="660" w:hanging="417"/>
        <w:spacing w:after="0"/>
        <w:tabs>
          <w:tab w:leader="none" w:pos="6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CHECK THE APPROPRIATE BOX IF A MEMBER OF A GROUP (see instructions)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-710565</wp:posOffset>
            </wp:positionV>
            <wp:extent cx="6926580" cy="535813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26580" cy="5358130"/>
                    </a:xfrm>
                    <a:prstGeom prst="rect">
                      <a:avLst/>
                    </a:prstGeom>
                    <a:noFill/>
                  </pic:spPr>
                </pic:pic>
              </a:graphicData>
            </a:graphic>
          </wp:anchor>
        </w:drawing>
      </w:r>
    </w:p>
    <w:p>
      <w:pPr>
        <w:spacing w:after="0" w:line="2" w:lineRule="exact"/>
        <w:rPr>
          <w:sz w:val="20"/>
          <w:szCs w:val="20"/>
          <w:color w:val="auto"/>
        </w:rPr>
      </w:pPr>
    </w:p>
    <w:p>
      <w:pPr>
        <w:ind w:left="660"/>
        <w:spacing w:after="0" w:line="207" w:lineRule="exact"/>
        <w:tabs>
          <w:tab w:leader="none" w:pos="1440" w:val="left"/>
        </w:tabs>
        <w:rPr>
          <w:sz w:val="20"/>
          <w:szCs w:val="20"/>
          <w:color w:val="auto"/>
        </w:rPr>
      </w:pPr>
      <w:r>
        <w:rPr>
          <w:rFonts w:ascii="Times New Roman" w:cs="Times New Roman" w:eastAsia="Times New Roman" w:hAnsi="Times New Roman"/>
          <w:sz w:val="18"/>
          <w:szCs w:val="18"/>
          <w:color w:val="auto"/>
        </w:rPr>
        <w:t xml:space="preserve">(a) </w:t>
      </w:r>
      <w:r>
        <w:rPr>
          <w:rFonts w:ascii="MS PGothic" w:cs="MS PGothic" w:eastAsia="MS PGothic" w:hAnsi="MS PGothic"/>
          <w:sz w:val="18"/>
          <w:szCs w:val="18"/>
          <w:color w:val="auto"/>
        </w:rPr>
        <w:t>☐</w:t>
      </w:r>
      <w:r>
        <w:rPr>
          <w:sz w:val="20"/>
          <w:szCs w:val="20"/>
          <w:color w:val="auto"/>
        </w:rPr>
        <w:tab/>
      </w:r>
      <w:r>
        <w:rPr>
          <w:rFonts w:ascii="Times New Roman" w:cs="Times New Roman" w:eastAsia="Times New Roman" w:hAnsi="Times New Roman"/>
          <w:sz w:val="18"/>
          <w:szCs w:val="18"/>
          <w:color w:val="auto"/>
        </w:rPr>
        <w:t xml:space="preserve">(b) </w:t>
      </w:r>
      <w:r>
        <w:rPr>
          <w:rFonts w:ascii="MS PGothic" w:cs="MS PGothic" w:eastAsia="MS PGothic" w:hAnsi="MS PGothic"/>
          <w:sz w:val="18"/>
          <w:szCs w:val="18"/>
          <w:color w:val="auto"/>
        </w:rPr>
        <w:t>☐</w:t>
      </w:r>
    </w:p>
    <w:p>
      <w:pPr>
        <w:spacing w:after="0" w:line="266" w:lineRule="exact"/>
        <w:rPr>
          <w:sz w:val="20"/>
          <w:szCs w:val="20"/>
          <w:color w:val="auto"/>
        </w:rPr>
      </w:pPr>
    </w:p>
    <w:p>
      <w:pPr>
        <w:ind w:left="660" w:hanging="417"/>
        <w:spacing w:after="0"/>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SEC USE ONLY</w:t>
      </w:r>
    </w:p>
    <w:p>
      <w:pPr>
        <w:spacing w:after="0" w:line="279" w:lineRule="exact"/>
        <w:rPr>
          <w:rFonts w:ascii="Times New Roman" w:cs="Times New Roman" w:eastAsia="Times New Roman" w:hAnsi="Times New Roman"/>
          <w:sz w:val="18"/>
          <w:szCs w:val="18"/>
          <w:color w:val="auto"/>
        </w:rPr>
      </w:pPr>
    </w:p>
    <w:p>
      <w:pPr>
        <w:ind w:left="660" w:right="6700" w:hanging="417"/>
        <w:spacing w:after="0" w:line="406" w:lineRule="auto"/>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CITIZENSHIP OR PLACE OF ORGANIZATION Delaware</w:t>
      </w:r>
    </w:p>
    <w:p>
      <w:pPr>
        <w:spacing w:after="0" w:line="1" w:lineRule="exact"/>
        <w:rPr>
          <w:rFonts w:ascii="Times New Roman" w:cs="Times New Roman" w:eastAsia="Times New Roman" w:hAnsi="Times New Roman"/>
          <w:sz w:val="18"/>
          <w:szCs w:val="18"/>
          <w:color w:val="auto"/>
        </w:rPr>
      </w:pPr>
    </w:p>
    <w:p>
      <w:pPr>
        <w:ind w:left="2040" w:hanging="424"/>
        <w:spacing w:after="0"/>
        <w:tabs>
          <w:tab w:leader="none" w:pos="2040" w:val="left"/>
        </w:tabs>
        <w:numPr>
          <w:ilvl w:val="1"/>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SOLE VOTING POWER</w:t>
      </w:r>
    </w:p>
    <w:p>
      <w:pPr>
        <w:spacing w:after="0" w:line="252" w:lineRule="exact"/>
        <w:rPr>
          <w:sz w:val="20"/>
          <w:szCs w:val="20"/>
          <w:color w:val="auto"/>
        </w:rPr>
      </w:pPr>
    </w:p>
    <w:tbl>
      <w:tblPr>
        <w:tblLayout w:type="fixed"/>
        <w:tblInd w:w="200" w:type="dxa"/>
        <w:tblCellMar>
          <w:top w:w="0" w:type="dxa"/>
          <w:left w:w="0" w:type="dxa"/>
          <w:bottom w:w="0" w:type="dxa"/>
          <w:right w:w="0" w:type="dxa"/>
        </w:tblCellMar>
      </w:tblPr>
      <w:tr>
        <w:trPr>
          <w:trHeight w:val="248"/>
        </w:trPr>
        <w:tc>
          <w:tcPr>
            <w:tcW w:w="130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NUMBER OF</w:t>
            </w:r>
          </w:p>
        </w:tc>
        <w:tc>
          <w:tcPr>
            <w:tcW w:w="400" w:type="dxa"/>
            <w:vAlign w:val="bottom"/>
            <w:tcBorders>
              <w:bottom w:val="single" w:sz="8" w:color="auto"/>
            </w:tcBorders>
          </w:tcPr>
          <w:p>
            <w:pPr>
              <w:spacing w:after="0"/>
              <w:rPr>
                <w:sz w:val="21"/>
                <w:szCs w:val="21"/>
                <w:color w:val="auto"/>
              </w:rPr>
            </w:pPr>
          </w:p>
        </w:tc>
        <w:tc>
          <w:tcPr>
            <w:tcW w:w="9000" w:type="dxa"/>
            <w:vAlign w:val="bottom"/>
            <w:tcBorders>
              <w:bottom w:val="single" w:sz="8" w:color="auto"/>
            </w:tcBorders>
          </w:tcPr>
          <w:p>
            <w:pPr>
              <w:ind w:left="140"/>
              <w:spacing w:after="0"/>
              <w:rPr>
                <w:sz w:val="20"/>
                <w:szCs w:val="20"/>
                <w:color w:val="auto"/>
              </w:rPr>
            </w:pPr>
            <w:r>
              <w:rPr>
                <w:rFonts w:ascii="Times New Roman" w:cs="Times New Roman" w:eastAsia="Times New Roman" w:hAnsi="Times New Roman"/>
                <w:sz w:val="18"/>
                <w:szCs w:val="18"/>
                <w:color w:val="auto"/>
              </w:rPr>
              <w:t>761,443</w:t>
            </w:r>
          </w:p>
        </w:tc>
        <w:tc>
          <w:tcPr>
            <w:tcW w:w="0" w:type="dxa"/>
            <w:vAlign w:val="bottom"/>
          </w:tcPr>
          <w:p>
            <w:pPr>
              <w:spacing w:after="0"/>
              <w:rPr>
                <w:sz w:val="1"/>
                <w:szCs w:val="1"/>
                <w:color w:val="auto"/>
              </w:rPr>
            </w:pPr>
          </w:p>
        </w:tc>
      </w:tr>
      <w:tr>
        <w:trPr>
          <w:trHeight w:val="232"/>
        </w:trPr>
        <w:tc>
          <w:tcPr>
            <w:tcW w:w="130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SHARES</w:t>
            </w:r>
          </w:p>
        </w:tc>
        <w:tc>
          <w:tcPr>
            <w:tcW w:w="40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6.</w:t>
            </w:r>
          </w:p>
        </w:tc>
        <w:tc>
          <w:tcPr>
            <w:tcW w:w="900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SHARED VOTING POWER</w:t>
            </w:r>
          </w:p>
        </w:tc>
        <w:tc>
          <w:tcPr>
            <w:tcW w:w="0" w:type="dxa"/>
            <w:vAlign w:val="bottom"/>
          </w:tcPr>
          <w:p>
            <w:pPr>
              <w:spacing w:after="0"/>
              <w:rPr>
                <w:sz w:val="1"/>
                <w:szCs w:val="1"/>
                <w:color w:val="auto"/>
              </w:rPr>
            </w:pPr>
          </w:p>
        </w:tc>
      </w:tr>
      <w:tr>
        <w:trPr>
          <w:trHeight w:val="216"/>
        </w:trPr>
        <w:tc>
          <w:tcPr>
            <w:tcW w:w="13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BENEFICIALLY</w:t>
            </w:r>
          </w:p>
        </w:tc>
        <w:tc>
          <w:tcPr>
            <w:tcW w:w="400" w:type="dxa"/>
            <w:vAlign w:val="bottom"/>
          </w:tcPr>
          <w:p>
            <w:pPr>
              <w:spacing w:after="0"/>
              <w:rPr>
                <w:sz w:val="18"/>
                <w:szCs w:val="18"/>
                <w:color w:val="auto"/>
              </w:rPr>
            </w:pPr>
          </w:p>
        </w:tc>
        <w:tc>
          <w:tcPr>
            <w:tcW w:w="9000" w:type="dxa"/>
            <w:vAlign w:val="bottom"/>
            <w:vMerge w:val="restart"/>
          </w:tcPr>
          <w:p>
            <w:pPr>
              <w:ind w:left="14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34"/>
        </w:trPr>
        <w:tc>
          <w:tcPr>
            <w:tcW w:w="130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OWNED BY</w:t>
            </w:r>
          </w:p>
        </w:tc>
        <w:tc>
          <w:tcPr>
            <w:tcW w:w="400" w:type="dxa"/>
            <w:vAlign w:val="bottom"/>
            <w:tcBorders>
              <w:bottom w:val="single" w:sz="8" w:color="auto"/>
            </w:tcBorders>
          </w:tcPr>
          <w:p>
            <w:pPr>
              <w:spacing w:after="0"/>
              <w:rPr>
                <w:sz w:val="20"/>
                <w:szCs w:val="20"/>
                <w:color w:val="auto"/>
              </w:rPr>
            </w:pPr>
          </w:p>
        </w:tc>
        <w:tc>
          <w:tcPr>
            <w:tcW w:w="9000" w:type="dxa"/>
            <w:vAlign w:val="bottom"/>
            <w:tcBorders>
              <w:bottom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78"/>
        </w:trPr>
        <w:tc>
          <w:tcPr>
            <w:tcW w:w="1300" w:type="dxa"/>
            <w:vAlign w:val="bottom"/>
          </w:tcPr>
          <w:p>
            <w:pPr>
              <w:jc w:val="center"/>
              <w:spacing w:after="0" w:line="177" w:lineRule="exact"/>
              <w:rPr>
                <w:sz w:val="20"/>
                <w:szCs w:val="20"/>
                <w:color w:val="auto"/>
              </w:rPr>
            </w:pPr>
            <w:r>
              <w:rPr>
                <w:rFonts w:ascii="Times New Roman" w:cs="Times New Roman" w:eastAsia="Times New Roman" w:hAnsi="Times New Roman"/>
                <w:sz w:val="18"/>
                <w:szCs w:val="18"/>
                <w:color w:val="auto"/>
              </w:rPr>
              <w:t>EACH</w:t>
            </w:r>
          </w:p>
        </w:tc>
        <w:tc>
          <w:tcPr>
            <w:tcW w:w="400" w:type="dxa"/>
            <w:vAlign w:val="bottom"/>
          </w:tcPr>
          <w:p>
            <w:pPr>
              <w:jc w:val="right"/>
              <w:ind w:right="50"/>
              <w:spacing w:after="0" w:line="177" w:lineRule="exact"/>
              <w:rPr>
                <w:sz w:val="20"/>
                <w:szCs w:val="20"/>
                <w:color w:val="auto"/>
              </w:rPr>
            </w:pPr>
            <w:r>
              <w:rPr>
                <w:rFonts w:ascii="Times New Roman" w:cs="Times New Roman" w:eastAsia="Times New Roman" w:hAnsi="Times New Roman"/>
                <w:sz w:val="18"/>
                <w:szCs w:val="18"/>
                <w:color w:val="auto"/>
              </w:rPr>
              <w:t>7.</w:t>
            </w:r>
          </w:p>
        </w:tc>
        <w:tc>
          <w:tcPr>
            <w:tcW w:w="9000" w:type="dxa"/>
            <w:vAlign w:val="bottom"/>
          </w:tcPr>
          <w:p>
            <w:pPr>
              <w:ind w:left="140"/>
              <w:spacing w:after="0" w:line="177" w:lineRule="exact"/>
              <w:rPr>
                <w:sz w:val="20"/>
                <w:szCs w:val="20"/>
                <w:color w:val="auto"/>
              </w:rPr>
            </w:pPr>
            <w:r>
              <w:rPr>
                <w:rFonts w:ascii="Times New Roman" w:cs="Times New Roman" w:eastAsia="Times New Roman" w:hAnsi="Times New Roman"/>
                <w:sz w:val="18"/>
                <w:szCs w:val="18"/>
                <w:color w:val="auto"/>
              </w:rPr>
              <w:t>SOLE DISPOSITIVE POWER</w:t>
            </w:r>
          </w:p>
        </w:tc>
        <w:tc>
          <w:tcPr>
            <w:tcW w:w="0" w:type="dxa"/>
            <w:vAlign w:val="bottom"/>
          </w:tcPr>
          <w:p>
            <w:pPr>
              <w:spacing w:after="0"/>
              <w:rPr>
                <w:sz w:val="1"/>
                <w:szCs w:val="1"/>
                <w:color w:val="auto"/>
              </w:rPr>
            </w:pPr>
          </w:p>
        </w:tc>
      </w:tr>
      <w:tr>
        <w:trPr>
          <w:trHeight w:val="216"/>
        </w:trPr>
        <w:tc>
          <w:tcPr>
            <w:tcW w:w="13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REPORTING</w:t>
            </w:r>
          </w:p>
        </w:tc>
        <w:tc>
          <w:tcPr>
            <w:tcW w:w="400" w:type="dxa"/>
            <w:vAlign w:val="bottom"/>
          </w:tcPr>
          <w:p>
            <w:pPr>
              <w:spacing w:after="0"/>
              <w:rPr>
                <w:sz w:val="18"/>
                <w:szCs w:val="18"/>
                <w:color w:val="auto"/>
              </w:rPr>
            </w:pPr>
          </w:p>
        </w:tc>
        <w:tc>
          <w:tcPr>
            <w:tcW w:w="90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130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PERSON</w:t>
            </w:r>
          </w:p>
        </w:tc>
        <w:tc>
          <w:tcPr>
            <w:tcW w:w="400" w:type="dxa"/>
            <w:vAlign w:val="bottom"/>
          </w:tcPr>
          <w:p>
            <w:pPr>
              <w:spacing w:after="0"/>
              <w:rPr>
                <w:sz w:val="19"/>
                <w:szCs w:val="19"/>
                <w:color w:val="auto"/>
              </w:rPr>
            </w:pPr>
          </w:p>
        </w:tc>
        <w:tc>
          <w:tcPr>
            <w:tcW w:w="900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761,443</w:t>
            </w:r>
          </w:p>
        </w:tc>
        <w:tc>
          <w:tcPr>
            <w:tcW w:w="0" w:type="dxa"/>
            <w:vAlign w:val="bottom"/>
          </w:tcPr>
          <w:p>
            <w:pPr>
              <w:spacing w:after="0"/>
              <w:rPr>
                <w:sz w:val="1"/>
                <w:szCs w:val="1"/>
                <w:color w:val="auto"/>
              </w:rPr>
            </w:pPr>
          </w:p>
        </w:tc>
      </w:tr>
      <w:tr>
        <w:trPr>
          <w:trHeight w:val="68"/>
        </w:trPr>
        <w:tc>
          <w:tcPr>
            <w:tcW w:w="130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97"/>
              </w:rPr>
              <w:t>WITH</w:t>
            </w:r>
          </w:p>
        </w:tc>
        <w:tc>
          <w:tcPr>
            <w:tcW w:w="400" w:type="dxa"/>
            <w:vAlign w:val="bottom"/>
            <w:tcBorders>
              <w:bottom w:val="single" w:sz="8" w:color="auto"/>
            </w:tcBorders>
          </w:tcPr>
          <w:p>
            <w:pPr>
              <w:spacing w:after="0"/>
              <w:rPr>
                <w:sz w:val="5"/>
                <w:szCs w:val="5"/>
                <w:color w:val="auto"/>
              </w:rPr>
            </w:pPr>
          </w:p>
        </w:tc>
        <w:tc>
          <w:tcPr>
            <w:tcW w:w="900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47"/>
        </w:trPr>
        <w:tc>
          <w:tcPr>
            <w:tcW w:w="1300" w:type="dxa"/>
            <w:vAlign w:val="bottom"/>
            <w:vMerge w:val="continue"/>
          </w:tcPr>
          <w:p>
            <w:pPr>
              <w:spacing w:after="0"/>
              <w:rPr>
                <w:sz w:val="12"/>
                <w:szCs w:val="12"/>
                <w:color w:val="auto"/>
              </w:rPr>
            </w:pPr>
          </w:p>
        </w:tc>
        <w:tc>
          <w:tcPr>
            <w:tcW w:w="400" w:type="dxa"/>
            <w:vAlign w:val="bottom"/>
            <w:vMerge w:val="restart"/>
          </w:tcPr>
          <w:p>
            <w:pPr>
              <w:jc w:val="right"/>
              <w:ind w:right="50"/>
              <w:spacing w:after="0"/>
              <w:rPr>
                <w:sz w:val="20"/>
                <w:szCs w:val="20"/>
                <w:color w:val="auto"/>
              </w:rPr>
            </w:pPr>
            <w:r>
              <w:rPr>
                <w:rFonts w:ascii="Times New Roman" w:cs="Times New Roman" w:eastAsia="Times New Roman" w:hAnsi="Times New Roman"/>
                <w:sz w:val="18"/>
                <w:szCs w:val="18"/>
                <w:color w:val="auto"/>
              </w:rPr>
              <w:t>8.</w:t>
            </w:r>
          </w:p>
        </w:tc>
        <w:tc>
          <w:tcPr>
            <w:tcW w:w="9000" w:type="dxa"/>
            <w:vAlign w:val="bottom"/>
            <w:vMerge w:val="restart"/>
          </w:tcPr>
          <w:p>
            <w:pPr>
              <w:ind w:left="140"/>
              <w:spacing w:after="0"/>
              <w:rPr>
                <w:sz w:val="20"/>
                <w:szCs w:val="20"/>
                <w:color w:val="auto"/>
              </w:rPr>
            </w:pPr>
            <w:r>
              <w:rPr>
                <w:rFonts w:ascii="Times New Roman" w:cs="Times New Roman" w:eastAsia="Times New Roman" w:hAnsi="Times New Roman"/>
                <w:sz w:val="18"/>
                <w:szCs w:val="18"/>
                <w:color w:val="auto"/>
              </w:rPr>
              <w:t>SHARED DISPOSITIVE POWER</w:t>
            </w:r>
          </w:p>
        </w:tc>
        <w:tc>
          <w:tcPr>
            <w:tcW w:w="0" w:type="dxa"/>
            <w:vAlign w:val="bottom"/>
          </w:tcPr>
          <w:p>
            <w:pPr>
              <w:spacing w:after="0"/>
              <w:rPr>
                <w:sz w:val="1"/>
                <w:szCs w:val="1"/>
                <w:color w:val="auto"/>
              </w:rPr>
            </w:pPr>
          </w:p>
        </w:tc>
      </w:tr>
      <w:tr>
        <w:trPr>
          <w:trHeight w:val="81"/>
        </w:trPr>
        <w:tc>
          <w:tcPr>
            <w:tcW w:w="1300" w:type="dxa"/>
            <w:vAlign w:val="bottom"/>
          </w:tcPr>
          <w:p>
            <w:pPr>
              <w:spacing w:after="0"/>
              <w:rPr>
                <w:sz w:val="7"/>
                <w:szCs w:val="7"/>
                <w:color w:val="auto"/>
              </w:rPr>
            </w:pPr>
          </w:p>
        </w:tc>
        <w:tc>
          <w:tcPr>
            <w:tcW w:w="400" w:type="dxa"/>
            <w:vAlign w:val="bottom"/>
            <w:vMerge w:val="continue"/>
          </w:tcPr>
          <w:p>
            <w:pPr>
              <w:spacing w:after="0"/>
              <w:rPr>
                <w:sz w:val="7"/>
                <w:szCs w:val="7"/>
                <w:color w:val="auto"/>
              </w:rPr>
            </w:pPr>
          </w:p>
        </w:tc>
        <w:tc>
          <w:tcPr>
            <w:tcW w:w="90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bl>
    <w:p>
      <w:pPr>
        <w:spacing w:after="0" w:line="206" w:lineRule="exact"/>
        <w:rPr>
          <w:sz w:val="20"/>
          <w:szCs w:val="20"/>
          <w:color w:val="auto"/>
        </w:rPr>
      </w:pPr>
    </w:p>
    <w:p>
      <w:pPr>
        <w:ind w:left="2040"/>
        <w:spacing w:after="0"/>
        <w:rPr>
          <w:sz w:val="20"/>
          <w:szCs w:val="20"/>
          <w:color w:val="auto"/>
        </w:rPr>
      </w:pPr>
      <w:r>
        <w:rPr>
          <w:rFonts w:ascii="Times New Roman" w:cs="Times New Roman" w:eastAsia="Times New Roman" w:hAnsi="Times New Roman"/>
          <w:sz w:val="18"/>
          <w:szCs w:val="18"/>
          <w:color w:val="auto"/>
        </w:rPr>
        <w:t>0</w:t>
      </w:r>
    </w:p>
    <w:p>
      <w:pPr>
        <w:spacing w:after="0" w:line="36" w:lineRule="exact"/>
        <w:rPr>
          <w:sz w:val="20"/>
          <w:szCs w:val="20"/>
          <w:color w:val="auto"/>
        </w:rPr>
      </w:pPr>
    </w:p>
    <w:p>
      <w:pPr>
        <w:ind w:left="660" w:right="3820" w:hanging="417"/>
        <w:spacing w:after="0" w:line="406" w:lineRule="auto"/>
        <w:tabs>
          <w:tab w:leader="none" w:pos="65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AGGREGATE AMOUNT BENEFICIALLY OWNED BY EACH REPORTING PERSON 761,443</w:t>
      </w:r>
    </w:p>
    <w:p>
      <w:pPr>
        <w:spacing w:after="0" w:line="1" w:lineRule="exact"/>
        <w:rPr>
          <w:rFonts w:ascii="Times New Roman" w:cs="Times New Roman" w:eastAsia="Times New Roman" w:hAnsi="Times New Roman"/>
          <w:sz w:val="18"/>
          <w:szCs w:val="18"/>
          <w:color w:val="auto"/>
        </w:rPr>
      </w:pPr>
    </w:p>
    <w:p>
      <w:pPr>
        <w:ind w:left="660" w:hanging="507"/>
        <w:spacing w:after="0"/>
        <w:tabs>
          <w:tab w:leader="none" w:pos="66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CHECK IF THE AGGREGATE AMOUNT IN ROW (9) EXCLUDES CERTAIN SHARES (see instructions)</w:t>
      </w:r>
    </w:p>
    <w:p>
      <w:pPr>
        <w:spacing w:after="0" w:line="223" w:lineRule="exact"/>
        <w:rPr>
          <w:rFonts w:ascii="Times New Roman" w:cs="Times New Roman" w:eastAsia="Times New Roman" w:hAnsi="Times New Roman"/>
          <w:sz w:val="18"/>
          <w:szCs w:val="18"/>
          <w:color w:val="auto"/>
        </w:rPr>
      </w:pPr>
    </w:p>
    <w:p>
      <w:pPr>
        <w:ind w:left="660"/>
        <w:spacing w:after="0" w:line="181" w:lineRule="exact"/>
        <w:rPr>
          <w:rFonts w:ascii="Times New Roman" w:cs="Times New Roman" w:eastAsia="Times New Roman" w:hAnsi="Times New Roman"/>
          <w:sz w:val="18"/>
          <w:szCs w:val="18"/>
          <w:color w:val="auto"/>
        </w:rPr>
      </w:pPr>
      <w:r>
        <w:rPr>
          <w:rFonts w:ascii="MS PGothic" w:cs="MS PGothic" w:eastAsia="MS PGothic" w:hAnsi="MS PGothic"/>
          <w:sz w:val="18"/>
          <w:szCs w:val="18"/>
          <w:color w:val="auto"/>
        </w:rPr>
        <w:t>☐</w:t>
      </w:r>
    </w:p>
    <w:p>
      <w:pPr>
        <w:spacing w:after="0" w:line="102" w:lineRule="exact"/>
        <w:rPr>
          <w:rFonts w:ascii="Times New Roman" w:cs="Times New Roman" w:eastAsia="Times New Roman" w:hAnsi="Times New Roman"/>
          <w:sz w:val="18"/>
          <w:szCs w:val="18"/>
          <w:color w:val="auto"/>
        </w:rPr>
      </w:pPr>
    </w:p>
    <w:p>
      <w:pPr>
        <w:ind w:left="660" w:right="5300" w:hanging="507"/>
        <w:spacing w:after="0" w:line="400" w:lineRule="auto"/>
        <w:tabs>
          <w:tab w:leader="none" w:pos="66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PERCENT OF CLASS REPRESENTED BY AMOUNT IN ROW (9) 7.4%</w:t>
      </w:r>
    </w:p>
    <w:p>
      <w:pPr>
        <w:ind w:left="640" w:hanging="487"/>
        <w:spacing w:after="0"/>
        <w:tabs>
          <w:tab w:leader="none" w:pos="64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TYPE OF REPORTING PERSON (see instructions)</w:t>
      </w:r>
    </w:p>
    <w:p>
      <w:pPr>
        <w:spacing w:after="0" w:line="252" w:lineRule="exact"/>
        <w:rPr>
          <w:rFonts w:ascii="Times New Roman" w:cs="Times New Roman" w:eastAsia="Times New Roman" w:hAnsi="Times New Roman"/>
          <w:sz w:val="18"/>
          <w:szCs w:val="18"/>
          <w:color w:val="auto"/>
        </w:rPr>
      </w:pPr>
    </w:p>
    <w:p>
      <w:pPr>
        <w:ind w:left="66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w:t>
      </w:r>
    </w:p>
    <w:p>
      <w:pPr>
        <w:sectPr>
          <w:pgSz w:w="11900" w:h="16838" w:orient="portrait"/>
          <w:cols w:equalWidth="0" w:num="1">
            <w:col w:w="11020"/>
          </w:cols>
          <w:pgMar w:left="440" w:top="270" w:right="439" w:bottom="1440" w:gutter="0" w:footer="0" w:header="0"/>
        </w:sectPr>
      </w:pPr>
    </w:p>
    <w:bookmarkStart w:id="2" w:name="page3"/>
    <w:bookmarkEnd w:id="2"/>
    <w:tbl>
      <w:tblPr>
        <w:tblLayout w:type="fixed"/>
        <w:tblInd w:w="4" w:type="dxa"/>
        <w:tblCellMar>
          <w:top w:w="0" w:type="dxa"/>
          <w:left w:w="0" w:type="dxa"/>
          <w:bottom w:w="0" w:type="dxa"/>
          <w:right w:w="0" w:type="dxa"/>
        </w:tblCellMar>
      </w:tblPr>
      <w:tr>
        <w:trPr>
          <w:trHeight w:val="234"/>
        </w:trPr>
        <w:tc>
          <w:tcPr>
            <w:tcW w:w="4940" w:type="dxa"/>
            <w:vAlign w:val="bottom"/>
          </w:tcPr>
          <w:p>
            <w:pPr>
              <w:spacing w:after="0"/>
              <w:rPr>
                <w:sz w:val="20"/>
                <w:szCs w:val="20"/>
                <w:color w:val="auto"/>
              </w:rPr>
            </w:pPr>
            <w:r>
              <w:rPr>
                <w:rFonts w:ascii="Times New Roman" w:cs="Times New Roman" w:eastAsia="Times New Roman" w:hAnsi="Times New Roman"/>
                <w:sz w:val="18"/>
                <w:szCs w:val="18"/>
                <w:color w:val="auto"/>
              </w:rPr>
              <w:t>CUSIP No. 070203104</w:t>
            </w:r>
          </w:p>
        </w:tc>
        <w:tc>
          <w:tcPr>
            <w:tcW w:w="780" w:type="dxa"/>
            <w:vAlign w:val="bottom"/>
          </w:tcPr>
          <w:p>
            <w:pPr>
              <w:ind w:left="460"/>
              <w:spacing w:after="0"/>
              <w:rPr>
                <w:sz w:val="20"/>
                <w:szCs w:val="20"/>
                <w:color w:val="auto"/>
              </w:rPr>
            </w:pPr>
            <w:r>
              <w:rPr>
                <w:rFonts w:ascii="Times New Roman" w:cs="Times New Roman" w:eastAsia="Times New Roman" w:hAnsi="Times New Roman"/>
                <w:sz w:val="18"/>
                <w:szCs w:val="18"/>
                <w:color w:val="auto"/>
                <w:w w:val="96"/>
              </w:rPr>
              <w:t>13G</w:t>
            </w:r>
          </w:p>
        </w:tc>
        <w:tc>
          <w:tcPr>
            <w:tcW w:w="5300" w:type="dxa"/>
            <w:vAlign w:val="bottom"/>
          </w:tcPr>
          <w:p>
            <w:pPr>
              <w:ind w:left="4020"/>
              <w:spacing w:after="0"/>
              <w:rPr>
                <w:sz w:val="20"/>
                <w:szCs w:val="20"/>
                <w:color w:val="auto"/>
              </w:rPr>
            </w:pPr>
            <w:r>
              <w:rPr>
                <w:rFonts w:ascii="Times New Roman" w:cs="Times New Roman" w:eastAsia="Times New Roman" w:hAnsi="Times New Roman"/>
                <w:sz w:val="18"/>
                <w:szCs w:val="18"/>
                <w:color w:val="auto"/>
                <w:w w:val="98"/>
              </w:rPr>
              <w:t>Page 3 of 3 Pages</w:t>
            </w:r>
          </w:p>
        </w:tc>
      </w:tr>
      <w:tr>
        <w:trPr>
          <w:trHeight w:val="364"/>
        </w:trPr>
        <w:tc>
          <w:tcPr>
            <w:tcW w:w="49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Item 1.</w:t>
            </w:r>
          </w:p>
        </w:tc>
        <w:tc>
          <w:tcPr>
            <w:tcW w:w="780" w:type="dxa"/>
            <w:vAlign w:val="bottom"/>
          </w:tcPr>
          <w:p>
            <w:pPr>
              <w:spacing w:after="0"/>
              <w:rPr>
                <w:sz w:val="24"/>
                <w:szCs w:val="24"/>
                <w:color w:val="auto"/>
              </w:rPr>
            </w:pPr>
          </w:p>
        </w:tc>
        <w:tc>
          <w:tcPr>
            <w:tcW w:w="5300" w:type="dxa"/>
            <w:vAlign w:val="bottom"/>
          </w:tcPr>
          <w:p>
            <w:pPr>
              <w:spacing w:after="0"/>
              <w:rPr>
                <w:sz w:val="24"/>
                <w:szCs w:val="24"/>
                <w:color w:val="auto"/>
              </w:rPr>
            </w:pPr>
          </w:p>
        </w:tc>
      </w:tr>
      <w:tr>
        <w:trPr>
          <w:trHeight w:val="338"/>
        </w:trPr>
        <w:tc>
          <w:tcPr>
            <w:tcW w:w="494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(a)    Name of Issuer</w:t>
            </w:r>
          </w:p>
        </w:tc>
        <w:tc>
          <w:tcPr>
            <w:tcW w:w="780" w:type="dxa"/>
            <w:vAlign w:val="bottom"/>
          </w:tcPr>
          <w:p>
            <w:pPr>
              <w:spacing w:after="0"/>
              <w:rPr>
                <w:sz w:val="24"/>
                <w:szCs w:val="24"/>
                <w:color w:val="auto"/>
              </w:rPr>
            </w:pPr>
          </w:p>
        </w:tc>
        <w:tc>
          <w:tcPr>
            <w:tcW w:w="53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Bassett Furniture Industries, Inc.</w:t>
            </w:r>
          </w:p>
        </w:tc>
      </w:tr>
      <w:tr>
        <w:trPr>
          <w:trHeight w:val="319"/>
        </w:trPr>
        <w:tc>
          <w:tcPr>
            <w:tcW w:w="494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(b)    Address of Issuer’s Principal Executive Offices</w:t>
            </w:r>
          </w:p>
        </w:tc>
        <w:tc>
          <w:tcPr>
            <w:tcW w:w="780" w:type="dxa"/>
            <w:vAlign w:val="bottom"/>
          </w:tcPr>
          <w:p>
            <w:pPr>
              <w:spacing w:after="0"/>
              <w:rPr>
                <w:sz w:val="24"/>
                <w:szCs w:val="24"/>
                <w:color w:val="auto"/>
              </w:rPr>
            </w:pPr>
          </w:p>
        </w:tc>
        <w:tc>
          <w:tcPr>
            <w:tcW w:w="53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3525 Fairystone Park Highway</w:t>
            </w:r>
          </w:p>
        </w:tc>
      </w:tr>
      <w:tr>
        <w:trPr>
          <w:trHeight w:val="234"/>
        </w:trPr>
        <w:tc>
          <w:tcPr>
            <w:tcW w:w="49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53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Bassett, VA 24055</w:t>
            </w:r>
          </w:p>
        </w:tc>
      </w:tr>
      <w:tr>
        <w:trPr>
          <w:trHeight w:val="553"/>
        </w:trPr>
        <w:tc>
          <w:tcPr>
            <w:tcW w:w="49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Item 2.</w:t>
            </w:r>
          </w:p>
        </w:tc>
        <w:tc>
          <w:tcPr>
            <w:tcW w:w="780" w:type="dxa"/>
            <w:vAlign w:val="bottom"/>
          </w:tcPr>
          <w:p>
            <w:pPr>
              <w:spacing w:after="0"/>
              <w:rPr>
                <w:sz w:val="24"/>
                <w:szCs w:val="24"/>
                <w:color w:val="auto"/>
              </w:rPr>
            </w:pPr>
          </w:p>
        </w:tc>
        <w:tc>
          <w:tcPr>
            <w:tcW w:w="5300" w:type="dxa"/>
            <w:vAlign w:val="bottom"/>
          </w:tcPr>
          <w:p>
            <w:pPr>
              <w:spacing w:after="0"/>
              <w:rPr>
                <w:sz w:val="24"/>
                <w:szCs w:val="24"/>
                <w:color w:val="auto"/>
              </w:rPr>
            </w:pPr>
          </w:p>
        </w:tc>
      </w:tr>
      <w:tr>
        <w:trPr>
          <w:trHeight w:val="338"/>
        </w:trPr>
        <w:tc>
          <w:tcPr>
            <w:tcW w:w="494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(a)    Name of Person Filing</w:t>
            </w:r>
          </w:p>
        </w:tc>
        <w:tc>
          <w:tcPr>
            <w:tcW w:w="780" w:type="dxa"/>
            <w:vAlign w:val="bottom"/>
          </w:tcPr>
          <w:p>
            <w:pPr>
              <w:spacing w:after="0"/>
              <w:rPr>
                <w:sz w:val="24"/>
                <w:szCs w:val="24"/>
                <w:color w:val="auto"/>
              </w:rPr>
            </w:pPr>
          </w:p>
        </w:tc>
        <w:tc>
          <w:tcPr>
            <w:tcW w:w="53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CSC Generation Holdings, Inc. (the “Reporting Person”)</w:t>
            </w:r>
          </w:p>
        </w:tc>
      </w:tr>
      <w:tr>
        <w:trPr>
          <w:trHeight w:val="338"/>
        </w:trPr>
        <w:tc>
          <w:tcPr>
            <w:tcW w:w="494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(b)    Address of the Principal Office or, if none, residence</w:t>
            </w:r>
          </w:p>
        </w:tc>
        <w:tc>
          <w:tcPr>
            <w:tcW w:w="780" w:type="dxa"/>
            <w:vAlign w:val="bottom"/>
          </w:tcPr>
          <w:p>
            <w:pPr>
              <w:spacing w:after="0"/>
              <w:rPr>
                <w:sz w:val="24"/>
                <w:szCs w:val="24"/>
                <w:color w:val="auto"/>
              </w:rPr>
            </w:pPr>
          </w:p>
        </w:tc>
        <w:tc>
          <w:tcPr>
            <w:tcW w:w="53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8450 Broadway, Merrillville, IN 46410</w:t>
            </w:r>
          </w:p>
        </w:tc>
      </w:tr>
      <w:tr>
        <w:trPr>
          <w:trHeight w:val="338"/>
        </w:trPr>
        <w:tc>
          <w:tcPr>
            <w:tcW w:w="494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(c)    Citizenship or Place of Organization</w:t>
            </w:r>
          </w:p>
        </w:tc>
        <w:tc>
          <w:tcPr>
            <w:tcW w:w="780" w:type="dxa"/>
            <w:vAlign w:val="bottom"/>
          </w:tcPr>
          <w:p>
            <w:pPr>
              <w:spacing w:after="0"/>
              <w:rPr>
                <w:sz w:val="24"/>
                <w:szCs w:val="24"/>
                <w:color w:val="auto"/>
              </w:rPr>
            </w:pPr>
          </w:p>
        </w:tc>
        <w:tc>
          <w:tcPr>
            <w:tcW w:w="53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The Reporting Person is a Delaware corporation</w:t>
            </w:r>
          </w:p>
        </w:tc>
      </w:tr>
      <w:tr>
        <w:trPr>
          <w:trHeight w:val="338"/>
        </w:trPr>
        <w:tc>
          <w:tcPr>
            <w:tcW w:w="494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(d)    Title of Class of Securities</w:t>
            </w:r>
          </w:p>
        </w:tc>
        <w:tc>
          <w:tcPr>
            <w:tcW w:w="780" w:type="dxa"/>
            <w:vAlign w:val="bottom"/>
          </w:tcPr>
          <w:p>
            <w:pPr>
              <w:spacing w:after="0"/>
              <w:rPr>
                <w:sz w:val="24"/>
                <w:szCs w:val="24"/>
                <w:color w:val="auto"/>
              </w:rPr>
            </w:pPr>
          </w:p>
        </w:tc>
        <w:tc>
          <w:tcPr>
            <w:tcW w:w="53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Common stock, $5.00 par value per share</w:t>
            </w:r>
          </w:p>
        </w:tc>
      </w:tr>
      <w:tr>
        <w:trPr>
          <w:trHeight w:val="338"/>
        </w:trPr>
        <w:tc>
          <w:tcPr>
            <w:tcW w:w="494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(e)    CUSIP Number</w:t>
            </w:r>
          </w:p>
        </w:tc>
        <w:tc>
          <w:tcPr>
            <w:tcW w:w="780" w:type="dxa"/>
            <w:vAlign w:val="bottom"/>
          </w:tcPr>
          <w:p>
            <w:pPr>
              <w:spacing w:after="0"/>
              <w:rPr>
                <w:sz w:val="24"/>
                <w:szCs w:val="24"/>
                <w:color w:val="auto"/>
              </w:rPr>
            </w:pPr>
          </w:p>
        </w:tc>
        <w:tc>
          <w:tcPr>
            <w:tcW w:w="53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070203104</w:t>
            </w:r>
          </w:p>
        </w:tc>
      </w:tr>
    </w:tbl>
    <w:p>
      <w:pPr>
        <w:spacing w:after="0" w:line="302"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p>
    <w:p>
      <w:pPr>
        <w:ind w:left="4"/>
        <w:spacing w:after="0"/>
        <w:rPr>
          <w:sz w:val="20"/>
          <w:szCs w:val="20"/>
          <w:color w:val="auto"/>
        </w:rPr>
      </w:pPr>
      <w:r>
        <w:rPr>
          <w:rFonts w:ascii="Times New Roman" w:cs="Times New Roman" w:eastAsia="Times New Roman" w:hAnsi="Times New Roman"/>
          <w:sz w:val="18"/>
          <w:szCs w:val="18"/>
          <w:b w:val="1"/>
          <w:bCs w:val="1"/>
          <w:color w:val="auto"/>
        </w:rPr>
        <w:t>Item 3. If this statement is filed pursuant to §§240.13d-1(b) or 240.13d-2(b) or (c), check whether the person filing is a:</w:t>
      </w:r>
    </w:p>
    <w:p>
      <w:pPr>
        <w:spacing w:after="0" w:line="106" w:lineRule="exact"/>
        <w:rPr>
          <w:sz w:val="20"/>
          <w:szCs w:val="20"/>
          <w:color w:val="auto"/>
        </w:rPr>
      </w:pPr>
    </w:p>
    <w:p>
      <w:pPr>
        <w:ind w:left="344" w:hanging="344"/>
        <w:spacing w:after="0" w:line="207" w:lineRule="exact"/>
        <w:tabs>
          <w:tab w:leader="none" w:pos="344" w:val="left"/>
        </w:tabs>
        <w:numPr>
          <w:ilvl w:val="0"/>
          <w:numId w:val="8"/>
        </w:numPr>
        <w:rPr>
          <w:rFonts w:ascii="Times New Roman" w:cs="Times New Roman" w:eastAsia="Times New Roman" w:hAnsi="Times New Roman"/>
          <w:sz w:val="18"/>
          <w:szCs w:val="18"/>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Broker or dealer registered under section 15 of the Act (15 U.S.C. 78o).</w:t>
      </w:r>
    </w:p>
    <w:p>
      <w:pPr>
        <w:spacing w:after="0" w:line="117" w:lineRule="exact"/>
        <w:rPr>
          <w:rFonts w:ascii="Times New Roman" w:cs="Times New Roman" w:eastAsia="Times New Roman" w:hAnsi="Times New Roman"/>
          <w:sz w:val="18"/>
          <w:szCs w:val="18"/>
          <w:color w:val="auto"/>
        </w:rPr>
      </w:pPr>
    </w:p>
    <w:p>
      <w:pPr>
        <w:ind w:left="344" w:hanging="344"/>
        <w:spacing w:after="0" w:line="207" w:lineRule="exact"/>
        <w:tabs>
          <w:tab w:leader="none" w:pos="344" w:val="left"/>
        </w:tabs>
        <w:numPr>
          <w:ilvl w:val="0"/>
          <w:numId w:val="8"/>
        </w:numPr>
        <w:rPr>
          <w:rFonts w:ascii="Times New Roman" w:cs="Times New Roman" w:eastAsia="Times New Roman" w:hAnsi="Times New Roman"/>
          <w:sz w:val="18"/>
          <w:szCs w:val="18"/>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Bank as defined in section 3(a)(6) of the Act (15 U.S.C. 78c).</w:t>
      </w:r>
    </w:p>
    <w:p>
      <w:pPr>
        <w:spacing w:after="0" w:line="117" w:lineRule="exact"/>
        <w:rPr>
          <w:rFonts w:ascii="Times New Roman" w:cs="Times New Roman" w:eastAsia="Times New Roman" w:hAnsi="Times New Roman"/>
          <w:sz w:val="18"/>
          <w:szCs w:val="18"/>
          <w:color w:val="auto"/>
        </w:rPr>
      </w:pPr>
    </w:p>
    <w:p>
      <w:pPr>
        <w:ind w:left="344" w:hanging="344"/>
        <w:spacing w:after="0" w:line="207" w:lineRule="exact"/>
        <w:tabs>
          <w:tab w:leader="none" w:pos="344" w:val="left"/>
        </w:tabs>
        <w:numPr>
          <w:ilvl w:val="0"/>
          <w:numId w:val="8"/>
        </w:numPr>
        <w:rPr>
          <w:rFonts w:ascii="Times New Roman" w:cs="Times New Roman" w:eastAsia="Times New Roman" w:hAnsi="Times New Roman"/>
          <w:sz w:val="18"/>
          <w:szCs w:val="18"/>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Insurance company as defined in section 3(a)(19) of the Act (15 U.S.C. 78c).</w:t>
      </w:r>
    </w:p>
    <w:p>
      <w:pPr>
        <w:spacing w:after="0" w:line="117" w:lineRule="exact"/>
        <w:rPr>
          <w:rFonts w:ascii="Times New Roman" w:cs="Times New Roman" w:eastAsia="Times New Roman" w:hAnsi="Times New Roman"/>
          <w:sz w:val="18"/>
          <w:szCs w:val="18"/>
          <w:color w:val="auto"/>
        </w:rPr>
      </w:pPr>
    </w:p>
    <w:p>
      <w:pPr>
        <w:ind w:left="344" w:hanging="344"/>
        <w:spacing w:after="0" w:line="207" w:lineRule="exact"/>
        <w:tabs>
          <w:tab w:leader="none" w:pos="344" w:val="left"/>
        </w:tabs>
        <w:numPr>
          <w:ilvl w:val="0"/>
          <w:numId w:val="8"/>
        </w:numPr>
        <w:rPr>
          <w:rFonts w:ascii="Times New Roman" w:cs="Times New Roman" w:eastAsia="Times New Roman" w:hAnsi="Times New Roman"/>
          <w:sz w:val="18"/>
          <w:szCs w:val="18"/>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Investment company registered under section 8 of the Investment Company Act of 1940 (15 U.S.C. 80a-8).</w:t>
      </w:r>
    </w:p>
    <w:p>
      <w:pPr>
        <w:spacing w:after="0" w:line="117" w:lineRule="exact"/>
        <w:rPr>
          <w:rFonts w:ascii="Times New Roman" w:cs="Times New Roman" w:eastAsia="Times New Roman" w:hAnsi="Times New Roman"/>
          <w:sz w:val="18"/>
          <w:szCs w:val="18"/>
          <w:color w:val="auto"/>
        </w:rPr>
      </w:pPr>
    </w:p>
    <w:p>
      <w:pPr>
        <w:ind w:left="344" w:hanging="344"/>
        <w:spacing w:after="0" w:line="207" w:lineRule="exact"/>
        <w:tabs>
          <w:tab w:leader="none" w:pos="344" w:val="left"/>
        </w:tabs>
        <w:numPr>
          <w:ilvl w:val="0"/>
          <w:numId w:val="8"/>
        </w:numPr>
        <w:rPr>
          <w:rFonts w:ascii="Times New Roman" w:cs="Times New Roman" w:eastAsia="Times New Roman" w:hAnsi="Times New Roman"/>
          <w:sz w:val="18"/>
          <w:szCs w:val="18"/>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An investment adviser in accordance with §240.13d-1(b)(1)(ii)(E);</w:t>
      </w:r>
    </w:p>
    <w:p>
      <w:pPr>
        <w:spacing w:after="0" w:line="117" w:lineRule="exact"/>
        <w:rPr>
          <w:rFonts w:ascii="Times New Roman" w:cs="Times New Roman" w:eastAsia="Times New Roman" w:hAnsi="Times New Roman"/>
          <w:sz w:val="18"/>
          <w:szCs w:val="18"/>
          <w:color w:val="auto"/>
        </w:rPr>
      </w:pPr>
    </w:p>
    <w:p>
      <w:pPr>
        <w:ind w:left="344" w:hanging="344"/>
        <w:spacing w:after="0" w:line="207" w:lineRule="exact"/>
        <w:tabs>
          <w:tab w:leader="none" w:pos="344" w:val="left"/>
        </w:tabs>
        <w:numPr>
          <w:ilvl w:val="0"/>
          <w:numId w:val="8"/>
        </w:numPr>
        <w:rPr>
          <w:rFonts w:ascii="Times New Roman" w:cs="Times New Roman" w:eastAsia="Times New Roman" w:hAnsi="Times New Roman"/>
          <w:sz w:val="18"/>
          <w:szCs w:val="18"/>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An employee benefit plan or endowment fund in accordance with §240.13d-1(b)(1)(ii)(F);</w:t>
      </w:r>
    </w:p>
    <w:p>
      <w:pPr>
        <w:spacing w:after="0" w:line="117" w:lineRule="exact"/>
        <w:rPr>
          <w:rFonts w:ascii="Times New Roman" w:cs="Times New Roman" w:eastAsia="Times New Roman" w:hAnsi="Times New Roman"/>
          <w:sz w:val="18"/>
          <w:szCs w:val="18"/>
          <w:color w:val="auto"/>
        </w:rPr>
      </w:pPr>
    </w:p>
    <w:p>
      <w:pPr>
        <w:ind w:left="344" w:hanging="344"/>
        <w:spacing w:after="0" w:line="207" w:lineRule="exact"/>
        <w:tabs>
          <w:tab w:leader="none" w:pos="344" w:val="left"/>
        </w:tabs>
        <w:numPr>
          <w:ilvl w:val="0"/>
          <w:numId w:val="8"/>
        </w:numPr>
        <w:rPr>
          <w:rFonts w:ascii="Times New Roman" w:cs="Times New Roman" w:eastAsia="Times New Roman" w:hAnsi="Times New Roman"/>
          <w:sz w:val="18"/>
          <w:szCs w:val="18"/>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A parent holding company or control person in accordance with §240.13d-1(b)(1)(ii)(G);</w:t>
      </w:r>
    </w:p>
    <w:p>
      <w:pPr>
        <w:spacing w:after="0" w:line="117" w:lineRule="exact"/>
        <w:rPr>
          <w:rFonts w:ascii="Times New Roman" w:cs="Times New Roman" w:eastAsia="Times New Roman" w:hAnsi="Times New Roman"/>
          <w:sz w:val="18"/>
          <w:szCs w:val="18"/>
          <w:color w:val="auto"/>
        </w:rPr>
      </w:pPr>
    </w:p>
    <w:p>
      <w:pPr>
        <w:ind w:left="344" w:hanging="344"/>
        <w:spacing w:after="0" w:line="207" w:lineRule="exact"/>
        <w:tabs>
          <w:tab w:leader="none" w:pos="344" w:val="left"/>
        </w:tabs>
        <w:numPr>
          <w:ilvl w:val="0"/>
          <w:numId w:val="8"/>
        </w:numPr>
        <w:rPr>
          <w:rFonts w:ascii="Times New Roman" w:cs="Times New Roman" w:eastAsia="Times New Roman" w:hAnsi="Times New Roman"/>
          <w:sz w:val="18"/>
          <w:szCs w:val="18"/>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A savings associations as defined in Section 3(b) of the Federal Deposit Insurance Act (12 U.S.C. 1813);</w:t>
      </w:r>
    </w:p>
    <w:p>
      <w:pPr>
        <w:spacing w:after="0" w:line="117" w:lineRule="exact"/>
        <w:rPr>
          <w:rFonts w:ascii="Times New Roman" w:cs="Times New Roman" w:eastAsia="Times New Roman" w:hAnsi="Times New Roman"/>
          <w:sz w:val="18"/>
          <w:szCs w:val="18"/>
          <w:color w:val="auto"/>
        </w:rPr>
      </w:pPr>
    </w:p>
    <w:p>
      <w:pPr>
        <w:ind w:left="664" w:right="220" w:hanging="664"/>
        <w:spacing w:after="0" w:line="239" w:lineRule="exact"/>
        <w:tabs>
          <w:tab w:leader="none" w:pos="340" w:val="left"/>
        </w:tabs>
        <w:numPr>
          <w:ilvl w:val="0"/>
          <w:numId w:val="8"/>
        </w:numPr>
        <w:rPr>
          <w:rFonts w:ascii="Times New Roman" w:cs="Times New Roman" w:eastAsia="Times New Roman" w:hAnsi="Times New Roman"/>
          <w:sz w:val="18"/>
          <w:szCs w:val="18"/>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A church plan that is excluded from the definition of an investment company under section 3(c)(14) of the Investment Company Act of 1940 (15 U.S.C. 80a-3);</w:t>
      </w:r>
    </w:p>
    <w:p>
      <w:pPr>
        <w:spacing w:after="0" w:line="62" w:lineRule="exact"/>
        <w:rPr>
          <w:rFonts w:ascii="Times New Roman" w:cs="Times New Roman" w:eastAsia="Times New Roman" w:hAnsi="Times New Roman"/>
          <w:sz w:val="18"/>
          <w:szCs w:val="18"/>
          <w:color w:val="auto"/>
        </w:rPr>
      </w:pPr>
    </w:p>
    <w:p>
      <w:pPr>
        <w:ind w:left="344" w:hanging="344"/>
        <w:spacing w:after="0" w:line="207" w:lineRule="exact"/>
        <w:tabs>
          <w:tab w:leader="none" w:pos="344" w:val="left"/>
        </w:tabs>
        <w:numPr>
          <w:ilvl w:val="0"/>
          <w:numId w:val="8"/>
        </w:numPr>
        <w:rPr>
          <w:rFonts w:ascii="Times New Roman" w:cs="Times New Roman" w:eastAsia="Times New Roman" w:hAnsi="Times New Roman"/>
          <w:sz w:val="18"/>
          <w:szCs w:val="18"/>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Group, in accordance with §240.13d-1(b)(1)(ii)(J).</w:t>
      </w:r>
    </w:p>
    <w:p>
      <w:pPr>
        <w:sectPr>
          <w:pgSz w:w="11900" w:h="16838" w:orient="portrait"/>
          <w:cols w:equalWidth="0" w:num="1">
            <w:col w:w="11024"/>
          </w:cols>
          <w:pgMar w:left="436" w:top="513" w:right="439" w:bottom="1440" w:gutter="0" w:footer="0" w:header="0"/>
        </w:sectPr>
      </w:pPr>
    </w:p>
    <w:bookmarkStart w:id="3" w:name="page4"/>
    <w:bookmarkEnd w:id="3"/>
    <w:p>
      <w:pPr>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Item 4. Ownership.</w:t>
      </w:r>
    </w:p>
    <w:p>
      <w:pPr>
        <w:spacing w:after="0" w:line="121" w:lineRule="exact"/>
        <w:rPr>
          <w:sz w:val="20"/>
          <w:szCs w:val="20"/>
          <w:color w:val="auto"/>
        </w:rPr>
      </w:pPr>
    </w:p>
    <w:p>
      <w:pPr>
        <w:jc w:val="both"/>
        <w:ind w:left="440" w:right="500"/>
        <w:spacing w:after="0" w:line="266" w:lineRule="auto"/>
        <w:rPr>
          <w:sz w:val="20"/>
          <w:szCs w:val="20"/>
          <w:color w:val="auto"/>
        </w:rPr>
      </w:pPr>
      <w:r>
        <w:rPr>
          <w:rFonts w:ascii="Times New Roman" w:cs="Times New Roman" w:eastAsia="Times New Roman" w:hAnsi="Times New Roman"/>
          <w:sz w:val="18"/>
          <w:szCs w:val="18"/>
          <w:color w:val="auto"/>
        </w:rPr>
        <w:t>The information required by this item with respect to the Reporting Person is set forth in Rows 5 through 9 and 11 of the cover page to this Schedule 13G. The ownership percentages reported are based on 9,659,932 outstanding shares of Common Stock as of March 25, 2022, as reported in the Issuer’s Quarterly Report on Form 10-Q filed with the Securities and Exchange Commission on March 31, 2022.</w:t>
      </w:r>
    </w:p>
    <w:p>
      <w:pPr>
        <w:spacing w:after="0" w:line="68" w:lineRule="exact"/>
        <w:rPr>
          <w:sz w:val="20"/>
          <w:szCs w:val="20"/>
          <w:color w:val="auto"/>
        </w:rPr>
      </w:pPr>
    </w:p>
    <w:p>
      <w:pPr>
        <w:jc w:val="both"/>
        <w:ind w:left="440"/>
        <w:spacing w:after="0" w:line="261" w:lineRule="auto"/>
        <w:rPr>
          <w:sz w:val="20"/>
          <w:szCs w:val="20"/>
          <w:color w:val="auto"/>
        </w:rPr>
      </w:pPr>
      <w:r>
        <w:rPr>
          <w:rFonts w:ascii="Times New Roman" w:cs="Times New Roman" w:eastAsia="Times New Roman" w:hAnsi="Times New Roman"/>
          <w:sz w:val="18"/>
          <w:szCs w:val="18"/>
          <w:color w:val="auto"/>
        </w:rPr>
        <w:t>As of May 25, 2022, the Reporting Person may be deemed to be the beneficial owner of 761,443 shares held by entities and separately managed accounts under its control. The 761,443 shares includes underlying options to purchase shares of Common Stock which are exercisable within 60 days. Justin Yoshimura is the Chairman and Chief Executive Officer of the Reporting Person and has sole power to direct the vote and disposition of the shares of Common Stock.</w:t>
      </w:r>
    </w:p>
    <w:p>
      <w:pPr>
        <w:spacing w:after="0" w:line="2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5. Ownership of Five Percent or Less of a Class.</w:t>
      </w:r>
    </w:p>
    <w:p>
      <w:pPr>
        <w:spacing w:after="0" w:line="12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N/A</w:t>
      </w:r>
    </w:p>
    <w:p>
      <w:pPr>
        <w:spacing w:after="0" w:line="3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6. Ownership of More than Five Percent on Behalf of Another Person.</w:t>
      </w:r>
    </w:p>
    <w:p>
      <w:pPr>
        <w:spacing w:after="0" w:line="12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N/A</w:t>
      </w:r>
    </w:p>
    <w:p>
      <w:pPr>
        <w:spacing w:after="0" w:line="3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7. Identification and Classification of the Subsidiary Which Acquired the Security Being Reported on By the Parent Holding Company.</w:t>
      </w:r>
    </w:p>
    <w:p>
      <w:pPr>
        <w:spacing w:after="0" w:line="12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N/A</w:t>
      </w:r>
    </w:p>
    <w:p>
      <w:pPr>
        <w:spacing w:after="0" w:line="3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8. Identification and Classification of Members of the Group.</w:t>
      </w:r>
    </w:p>
    <w:p>
      <w:pPr>
        <w:spacing w:after="0" w:line="12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N/A</w:t>
      </w:r>
    </w:p>
    <w:p>
      <w:pPr>
        <w:spacing w:after="0" w:line="3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9. Notice of Dissolution of Group.</w:t>
      </w:r>
    </w:p>
    <w:p>
      <w:pPr>
        <w:spacing w:after="0" w:line="12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N/A</w:t>
      </w:r>
    </w:p>
    <w:p>
      <w:pPr>
        <w:spacing w:after="0" w:line="3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10. Certification.</w:t>
      </w:r>
    </w:p>
    <w:p>
      <w:pPr>
        <w:spacing w:after="0" w:line="121" w:lineRule="exact"/>
        <w:rPr>
          <w:sz w:val="20"/>
          <w:szCs w:val="20"/>
          <w:color w:val="auto"/>
        </w:rPr>
      </w:pPr>
    </w:p>
    <w:p>
      <w:pPr>
        <w:ind w:left="440" w:right="40"/>
        <w:spacing w:after="0" w:line="266" w:lineRule="auto"/>
        <w:rPr>
          <w:sz w:val="20"/>
          <w:szCs w:val="20"/>
          <w:color w:val="auto"/>
        </w:rPr>
      </w:pPr>
      <w:r>
        <w:rPr>
          <w:rFonts w:ascii="Times New Roman" w:cs="Times New Roman" w:eastAsia="Times New Roman" w:hAnsi="Times New Roman"/>
          <w:sz w:val="18"/>
          <w:szCs w:val="18"/>
          <w:color w:val="auto"/>
        </w:rPr>
        <w:t>By signing below I certify that, to the best of my knowledge and belief, the securities referred to above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ectPr>
          <w:pgSz w:w="11900" w:h="16838" w:orient="portrait"/>
          <w:cols w:equalWidth="0" w:num="1">
            <w:col w:w="10940"/>
          </w:cols>
          <w:pgMar w:left="440" w:top="266" w:right="519" w:bottom="1440" w:gutter="0" w:footer="0" w:header="0"/>
        </w:sectPr>
      </w:pPr>
    </w:p>
    <w:bookmarkStart w:id="4" w:name="page5"/>
    <w:bookmarkEnd w:id="4"/>
    <w:p>
      <w:pPr>
        <w:ind w:right="120" w:firstLine="440"/>
        <w:spacing w:after="0" w:line="282"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After reasonable inquiry and to the best of my knowledge and belief, I certify that the information set forth in this statement is true, complete and correct.</w:t>
      </w:r>
    </w:p>
    <w:p>
      <w:pPr>
        <w:spacing w:after="0" w:line="67"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Date: June 3, 2022</w:t>
      </w:r>
    </w:p>
    <w:p>
      <w:pPr>
        <w:spacing w:after="0" w:line="225"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CSC GENERATION HOLDINGS, INC.</w:t>
      </w:r>
    </w:p>
    <w:p>
      <w:pPr>
        <w:spacing w:after="0" w:line="225" w:lineRule="exact"/>
        <w:rPr>
          <w:sz w:val="20"/>
          <w:szCs w:val="20"/>
          <w:color w:val="auto"/>
        </w:rPr>
      </w:pPr>
    </w:p>
    <w:tbl>
      <w:tblPr>
        <w:tblLayout w:type="fixed"/>
        <w:tblInd w:w="6620" w:type="dxa"/>
        <w:tblCellMar>
          <w:top w:w="0" w:type="dxa"/>
          <w:left w:w="0" w:type="dxa"/>
          <w:bottom w:w="0" w:type="dxa"/>
          <w:right w:w="0" w:type="dxa"/>
        </w:tblCellMar>
      </w:tblPr>
      <w:tr>
        <w:trPr>
          <w:trHeight w:val="234"/>
        </w:trPr>
        <w:tc>
          <w:tcPr>
            <w:tcW w:w="520" w:type="dxa"/>
            <w:vAlign w:val="bottom"/>
          </w:tcPr>
          <w:p>
            <w:pPr>
              <w:spacing w:after="0"/>
              <w:rPr>
                <w:sz w:val="20"/>
                <w:szCs w:val="20"/>
                <w:color w:val="auto"/>
              </w:rPr>
            </w:pPr>
            <w:r>
              <w:rPr>
                <w:rFonts w:ascii="Times New Roman" w:cs="Times New Roman" w:eastAsia="Times New Roman" w:hAnsi="Times New Roman"/>
                <w:sz w:val="18"/>
                <w:szCs w:val="18"/>
                <w:color w:val="auto"/>
              </w:rPr>
              <w:t>By:</w:t>
            </w:r>
          </w:p>
        </w:tc>
        <w:tc>
          <w:tcPr>
            <w:tcW w:w="38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/s/ Elizabeth Brown</w:t>
            </w:r>
          </w:p>
        </w:tc>
      </w:tr>
      <w:tr>
        <w:trPr>
          <w:trHeight w:val="191"/>
        </w:trPr>
        <w:tc>
          <w:tcPr>
            <w:tcW w:w="520" w:type="dxa"/>
            <w:vAlign w:val="bottom"/>
          </w:tcPr>
          <w:p>
            <w:pPr>
              <w:spacing w:after="0" w:line="191" w:lineRule="exact"/>
              <w:rPr>
                <w:sz w:val="20"/>
                <w:szCs w:val="20"/>
                <w:color w:val="auto"/>
              </w:rPr>
            </w:pPr>
            <w:r>
              <w:rPr>
                <w:rFonts w:ascii="Times New Roman" w:cs="Times New Roman" w:eastAsia="Times New Roman" w:hAnsi="Times New Roman"/>
                <w:sz w:val="18"/>
                <w:szCs w:val="18"/>
                <w:color w:val="auto"/>
              </w:rPr>
              <w:t>Name:</w:t>
            </w:r>
          </w:p>
        </w:tc>
        <w:tc>
          <w:tcPr>
            <w:tcW w:w="3880" w:type="dxa"/>
            <w:vAlign w:val="bottom"/>
          </w:tcPr>
          <w:p>
            <w:pPr>
              <w:ind w:left="60"/>
              <w:spacing w:after="0" w:line="191" w:lineRule="exact"/>
              <w:rPr>
                <w:sz w:val="20"/>
                <w:szCs w:val="20"/>
                <w:color w:val="auto"/>
              </w:rPr>
            </w:pPr>
            <w:r>
              <w:rPr>
                <w:rFonts w:ascii="Times New Roman" w:cs="Times New Roman" w:eastAsia="Times New Roman" w:hAnsi="Times New Roman"/>
                <w:sz w:val="18"/>
                <w:szCs w:val="18"/>
                <w:color w:val="auto"/>
              </w:rPr>
              <w:t>Elizabeth Brown</w:t>
            </w:r>
          </w:p>
        </w:tc>
      </w:tr>
      <w:tr>
        <w:trPr>
          <w:trHeight w:val="234"/>
        </w:trPr>
        <w:tc>
          <w:tcPr>
            <w:tcW w:w="520" w:type="dxa"/>
            <w:vAlign w:val="bottom"/>
          </w:tcPr>
          <w:p>
            <w:pPr>
              <w:spacing w:after="0"/>
              <w:rPr>
                <w:sz w:val="20"/>
                <w:szCs w:val="20"/>
                <w:color w:val="auto"/>
              </w:rPr>
            </w:pPr>
            <w:r>
              <w:rPr>
                <w:rFonts w:ascii="Times New Roman" w:cs="Times New Roman" w:eastAsia="Times New Roman" w:hAnsi="Times New Roman"/>
                <w:sz w:val="18"/>
                <w:szCs w:val="18"/>
                <w:color w:val="auto"/>
              </w:rPr>
              <w:t>Title:</w:t>
            </w:r>
          </w:p>
        </w:tc>
        <w:tc>
          <w:tcPr>
            <w:tcW w:w="388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Authorized Person</w:t>
            </w:r>
          </w:p>
        </w:tc>
      </w:tr>
    </w:tbl>
    <w:p>
      <w:pPr>
        <w:spacing w:after="0" w:line="1" w:lineRule="exact"/>
        <w:rPr>
          <w:sz w:val="20"/>
          <w:szCs w:val="20"/>
          <w:color w:val="auto"/>
        </w:rPr>
      </w:pPr>
    </w:p>
    <w:sectPr>
      <w:pgSz w:w="11900" w:h="16838" w:orient="portrait"/>
      <w:cols w:equalWidth="0" w:num="1">
        <w:col w:w="11020"/>
      </w:cols>
      <w:pgMar w:left="440" w:top="270" w:right="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38E1F29"/>
    <w:multiLevelType w:val="hybridMultilevel"/>
    <w:lvl w:ilvl="0">
      <w:lvlJc w:val="left"/>
      <w:lvlText w:val="☐"/>
      <w:numFmt w:val="bullet"/>
      <w:start w:val="1"/>
    </w:lvl>
  </w:abstractNum>
  <w:abstractNum w:abstractNumId="1">
    <w:nsid w:val="46E87CCD"/>
    <w:multiLevelType w:val="hybridMultilevel"/>
    <w:lvl w:ilvl="0">
      <w:lvlJc w:val="left"/>
      <w:lvlText w:val="☑"/>
      <w:numFmt w:val="bullet"/>
      <w:start w:val="1"/>
    </w:lvl>
  </w:abstractNum>
  <w:abstractNum w:abstractNumId="2">
    <w:nsid w:val="3D1B58BA"/>
    <w:multiLevelType w:val="hybridMultilevel"/>
    <w:lvl w:ilvl="0">
      <w:lvlJc w:val="left"/>
      <w:lvlText w:val="☐"/>
      <w:numFmt w:val="bullet"/>
      <w:start w:val="1"/>
    </w:lvl>
  </w:abstractNum>
  <w:abstractNum w:abstractNumId="3">
    <w:nsid w:val="507ED7AB"/>
    <w:multiLevelType w:val="hybridMultilevel"/>
    <w:lvl w:ilvl="0">
      <w:lvlJc w:val="left"/>
      <w:lvlText w:val="*"/>
      <w:numFmt w:val="bullet"/>
      <w:start w:val="1"/>
    </w:lvl>
  </w:abstractNum>
  <w:abstractNum w:abstractNumId="4">
    <w:nsid w:val="2EB141F2"/>
    <w:multiLevelType w:val="hybridMultilevel"/>
    <w:lvl w:ilvl="0">
      <w:lvlJc w:val="left"/>
      <w:lvlText w:val="%1."/>
      <w:numFmt w:val="decimal"/>
      <w:start w:val="1"/>
    </w:lvl>
  </w:abstractNum>
  <w:abstractNum w:abstractNumId="5">
    <w:nsid w:val="41B71EFB"/>
    <w:multiLevelType w:val="hybridMultilevel"/>
    <w:lvl w:ilvl="0">
      <w:lvlJc w:val="left"/>
      <w:lvlText w:val="%1."/>
      <w:numFmt w:val="decimal"/>
      <w:start w:val="3"/>
    </w:lvl>
    <w:lvl w:ilvl="1">
      <w:lvlJc w:val="left"/>
      <w:lvlText w:val="%2."/>
      <w:numFmt w:val="decimal"/>
      <w:start w:val="5"/>
    </w:lvl>
  </w:abstractNum>
  <w:abstractNum w:abstractNumId="6">
    <w:nsid w:val="79E2A9E3"/>
    <w:multiLevelType w:val="hybridMultilevel"/>
    <w:lvl w:ilvl="0">
      <w:lvlJc w:val="left"/>
      <w:lvlText w:val="%1."/>
      <w:numFmt w:val="decimal"/>
      <w:start w:val="9"/>
    </w:lvl>
  </w:abstractNum>
  <w:abstractNum w:abstractNumId="7">
    <w:nsid w:val="7545E146"/>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2022-06-03T16:18:12Z</dcterms:created>
  <dcterms:modified xsi:type="dcterms:W3CDTF">2022-06-03T16:18:12Z</dcterms:modified>
</cp:coreProperties>
</file>