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set20260228_10q.htm"/>
      <w:bookmarkStart w:id="1" w:name="ksbset20260228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 xml:space="preserve">UNITED STATES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4"/>
        </w:rPr>
        <w:t>QUARTERLY REPORT PURSUANT TO SECTION 13 OR 15(d) OF</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 the quarterly period ended February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4"/>
        </w:rPr>
        <w:t>TRANSITION REPORT PURSUANT TO SECTION 13 OR 15(d) OF</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No. 000-00209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BASSETT FURNITURE INDUSTRIES,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2690"/>
        <w:gridCol w:w="60"/>
        <w:gridCol w:w="1520"/>
        <w:gridCol w:w="60"/>
      </w:tblGrid>
      <w:tr>
        <w:trPr/>
        <w:tc>
          <w:tcPr>
            <w:tcW w:w="60" w:type="dxa"/>
            <w:tcBorders/>
            <w:vAlign w:val="center"/>
          </w:tcPr>
          <w:p>
            <w:pPr>
              <w:pStyle w:val="TableContents"/>
              <w:bidi w:val="0"/>
              <w:spacing w:before="0" w:after="283"/>
              <w:jc w:val="left"/>
              <w:rPr/>
            </w:pPr>
            <w:r>
              <w:rPr/>
              <w:t> </w:t>
            </w:r>
          </w:p>
        </w:tc>
        <w:tc>
          <w:tcPr>
            <w:tcW w:w="26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Virginia</w:t>
            </w:r>
          </w:p>
        </w:tc>
        <w:tc>
          <w:tcPr>
            <w:tcW w:w="60" w:type="dxa"/>
            <w:tcBorders/>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4"/>
              </w:rPr>
            </w:pPr>
            <w:r>
              <w:rPr>
                <w:rFonts w:ascii="Times New Roman" w:hAnsi="Times New Roman"/>
                <w:caps w:val="false"/>
                <w:smallCaps w:val="false"/>
                <w:sz w:val="24"/>
              </w:rPr>
              <w:t>54-0135270</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(I.R.S. Employer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 incorporation or organization)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Identification No.)</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3525 Fairystone Park Highway</w:t>
      </w:r>
    </w:p>
    <w:p>
      <w:pPr>
        <w:pStyle w:val="TextBody"/>
        <w:bidi w:val="0"/>
        <w:spacing w:before="0" w:after="0"/>
        <w:ind w:left="0" w:right="0" w:hanging="0"/>
        <w:jc w:val="center"/>
        <w:rPr>
          <w:rFonts w:ascii="Times New Roman" w:hAnsi="Times New Roman"/>
          <w:caps w:val="false"/>
          <w:smallCaps w:val="false"/>
          <w:sz w:val="24"/>
          <w:u w:val="single"/>
        </w:rPr>
      </w:pPr>
      <w:r>
        <w:rPr>
          <w:rFonts w:ascii="Times New Roman" w:hAnsi="Times New Roman"/>
          <w:caps w:val="false"/>
          <w:smallCaps w:val="false"/>
          <w:sz w:val="24"/>
          <w:u w:val="single"/>
        </w:rPr>
        <w:t>Bassett, Virginia 24055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caps w:val="false"/>
          <w:smallCaps w:val="false"/>
          <w:sz w:val="24"/>
        </w:rPr>
        <w:t>(276) 629-6000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720"/>
        <w:gridCol w:w="60"/>
        <w:gridCol w:w="1340"/>
        <w:gridCol w:w="60"/>
        <w:gridCol w:w="3170"/>
      </w:tblGrid>
      <w:tr>
        <w:trPr/>
        <w:tc>
          <w:tcPr>
            <w:tcW w:w="27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exchange on which registered</w:t>
            </w:r>
          </w:p>
        </w:tc>
      </w:tr>
      <w:tr>
        <w:trPr/>
        <w:tc>
          <w:tcPr>
            <w:tcW w:w="272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($5.00 par value)</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BSET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1910"/>
        <w:gridCol w:w="230"/>
        <w:gridCol w:w="2345"/>
        <w:gridCol w:w="290"/>
      </w:tblGrid>
      <w:tr>
        <w:trPr/>
        <w:tc>
          <w:tcPr>
            <w:tcW w:w="1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26, 2026 8,647,234 shares of common stock of the Registrant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 of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BASSETT FURNITURE INDUSTRIES, INCORPORATED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8990"/>
        <w:gridCol w:w="1065"/>
      </w:tblGrid>
      <w:tr>
        <w:trPr/>
        <w:tc>
          <w:tcPr>
            <w:tcW w:w="9140" w:type="dxa"/>
            <w:gridSpan w:val="2"/>
            <w:tcBorders/>
            <w:vAlign w:val="center"/>
          </w:tcPr>
          <w:p>
            <w:pPr>
              <w:pStyle w:val="TableContents"/>
              <w:bidi w:val="0"/>
              <w:spacing w:before="0" w:after="283"/>
              <w:jc w:val="left"/>
              <w:rPr/>
            </w:pPr>
            <w:r>
              <w:rPr/>
              <w:t>ITEM</w:t>
            </w:r>
          </w:p>
        </w:tc>
        <w:tc>
          <w:tcPr>
            <w:tcW w:w="1065" w:type="dxa"/>
            <w:tcBorders/>
            <w:vAlign w:val="center"/>
          </w:tcPr>
          <w:p>
            <w:pPr>
              <w:pStyle w:val="TableContents"/>
              <w:bidi w:val="0"/>
              <w:spacing w:before="0" w:after="283"/>
              <w:jc w:val="left"/>
              <w:rPr/>
            </w:pPr>
            <w:r>
              <w:rPr/>
              <w:t>PAGE</w:t>
            </w:r>
          </w:p>
        </w:tc>
      </w:tr>
      <w:tr>
        <w:trPr/>
        <w:tc>
          <w:tcPr>
            <w:tcW w:w="15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pPr>
            <w:r>
              <w:rPr/>
              <w:t> </w:t>
            </w:r>
          </w:p>
        </w:tc>
      </w:tr>
      <w:tr>
        <w:trPr/>
        <w:tc>
          <w:tcPr>
            <w:tcW w:w="10205" w:type="dxa"/>
            <w:gridSpan w:val="3"/>
            <w:tcBorders/>
            <w:shd w:fill="CCEEFF" w:val="clear"/>
            <w:vAlign w:val="center"/>
          </w:tcPr>
          <w:p>
            <w:pPr>
              <w:pStyle w:val="TableContents"/>
              <w:bidi w:val="0"/>
              <w:spacing w:before="0" w:after="283"/>
              <w:jc w:val="center"/>
              <w:rPr/>
            </w:pPr>
            <w:r>
              <w:rPr/>
              <w:t>PART I - FINANCIAL INFORMATION</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5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Financial Statements as of February 28, 2026 (unaudited) and November 29, 2025 and for the three months ended February 28, 2026 (unaudited) and March 1, 2025 (unaudited)</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Income</w:t>
            </w:r>
          </w:p>
        </w:tc>
        <w:tc>
          <w:tcPr>
            <w:tcW w:w="1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Comprehensive Income</w:t>
            </w:r>
          </w:p>
        </w:tc>
        <w:tc>
          <w:tcPr>
            <w:tcW w:w="1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Balance Sheets</w:t>
            </w:r>
          </w:p>
        </w:tc>
        <w:tc>
          <w:tcPr>
            <w:tcW w:w="1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tc>
        <w:tc>
          <w:tcPr>
            <w:tcW w:w="1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283"/>
              <w:jc w:val="left"/>
              <w:rPr/>
            </w:pPr>
            <w:r>
              <w:rPr/>
              <w:t> </w:t>
            </w:r>
          </w:p>
        </w:tc>
        <w:tc>
          <w:tcPr>
            <w:tcW w:w="899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tc>
        <w:tc>
          <w:tcPr>
            <w:tcW w:w="1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1065" w:type="dxa"/>
            <w:tcBorders/>
            <w:shd w:fill="CCEEFF" w:val="clear"/>
            <w:vAlign w:val="center"/>
          </w:tcPr>
          <w:p>
            <w:pPr>
              <w:pStyle w:val="TableContents"/>
              <w:bidi w:val="0"/>
              <w:spacing w:before="0" w:after="283"/>
              <w:jc w:val="left"/>
              <w:rPr/>
            </w:pPr>
            <w:r>
              <w:rPr/>
              <w:t>19</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Quantitative and Qualitative Disclosures About Market Risk</w:t>
            </w:r>
          </w:p>
        </w:tc>
        <w:tc>
          <w:tcPr>
            <w:tcW w:w="1065" w:type="dxa"/>
            <w:tcBorders/>
            <w:shd w:fill="CCEEFF" w:val="clear"/>
            <w:vAlign w:val="center"/>
          </w:tcPr>
          <w:p>
            <w:pPr>
              <w:pStyle w:val="TableContents"/>
              <w:bidi w:val="0"/>
              <w:spacing w:before="0" w:after="283"/>
              <w:jc w:val="left"/>
              <w:rPr/>
            </w:pPr>
            <w:r>
              <w:rPr/>
              <w:t>28</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1065" w:type="dxa"/>
            <w:tcBorders/>
            <w:shd w:fill="CCEEFF" w:val="clear"/>
            <w:vAlign w:val="center"/>
          </w:tcPr>
          <w:p>
            <w:pPr>
              <w:pStyle w:val="TableContents"/>
              <w:bidi w:val="0"/>
              <w:spacing w:before="0" w:after="283"/>
              <w:jc w:val="left"/>
              <w:rPr/>
            </w:pPr>
            <w:r>
              <w:rPr/>
              <w:t>28</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0205" w:type="dxa"/>
            <w:gridSpan w:val="3"/>
            <w:tcBorders/>
            <w:shd w:fill="CCEEFF" w:val="clear"/>
            <w:vAlign w:val="center"/>
          </w:tcPr>
          <w:p>
            <w:pPr>
              <w:pStyle w:val="TableContents"/>
              <w:bidi w:val="0"/>
              <w:spacing w:before="0" w:after="283"/>
              <w:jc w:val="center"/>
              <w:rPr/>
            </w:pPr>
            <w:r>
              <w:rPr/>
              <w:t>PART II - OTHER INFORMATION</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Proceedings</w:t>
            </w:r>
          </w:p>
        </w:tc>
        <w:tc>
          <w:tcPr>
            <w:tcW w:w="1065" w:type="dxa"/>
            <w:tcBorders/>
            <w:shd w:fill="CCEEFF" w:val="clear"/>
            <w:vAlign w:val="center"/>
          </w:tcPr>
          <w:p>
            <w:pPr>
              <w:pStyle w:val="TableContents"/>
              <w:bidi w:val="0"/>
              <w:spacing w:before="0" w:after="283"/>
              <w:jc w:val="left"/>
              <w:rPr/>
            </w:pPr>
            <w:r>
              <w:rPr/>
              <w:t>29</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Unregistered Sales of Equity Securities and Use of Proceeds</w:t>
            </w:r>
          </w:p>
        </w:tc>
        <w:tc>
          <w:tcPr>
            <w:tcW w:w="1065" w:type="dxa"/>
            <w:tcBorders/>
            <w:shd w:fill="CCEEFF" w:val="clear"/>
            <w:vAlign w:val="center"/>
          </w:tcPr>
          <w:p>
            <w:pPr>
              <w:pStyle w:val="TableContents"/>
              <w:bidi w:val="0"/>
              <w:spacing w:before="0" w:after="283"/>
              <w:jc w:val="left"/>
              <w:rPr/>
            </w:pPr>
            <w:r>
              <w:rPr/>
              <w:t>29</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Defaults Upon Senior Securities</w:t>
            </w:r>
          </w:p>
        </w:tc>
        <w:tc>
          <w:tcPr>
            <w:tcW w:w="1065" w:type="dxa"/>
            <w:tcBorders/>
            <w:shd w:fill="CCEEFF" w:val="clear"/>
            <w:vAlign w:val="center"/>
          </w:tcPr>
          <w:p>
            <w:pPr>
              <w:pStyle w:val="TableContents"/>
              <w:bidi w:val="0"/>
              <w:spacing w:before="0" w:after="283"/>
              <w:jc w:val="left"/>
              <w:rPr/>
            </w:pPr>
            <w:r>
              <w:rPr/>
              <w:t>29</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1065" w:type="dxa"/>
            <w:tcBorders/>
            <w:shd w:fill="CCEEFF" w:val="clear"/>
            <w:vAlign w:val="center"/>
          </w:tcPr>
          <w:p>
            <w:pPr>
              <w:pStyle w:val="TableContents"/>
              <w:bidi w:val="0"/>
              <w:spacing w:before="0" w:after="283"/>
              <w:jc w:val="left"/>
              <w:rPr/>
            </w:pPr>
            <w:r>
              <w:rPr/>
              <w:t>29</w:t>
            </w:r>
          </w:p>
        </w:tc>
      </w:tr>
      <w:tr>
        <w:trPr/>
        <w:tc>
          <w:tcPr>
            <w:tcW w:w="150" w:type="dxa"/>
            <w:tcBorders/>
            <w:shd w:fill="FFFFFF" w:val="clear"/>
            <w:vAlign w:val="center"/>
          </w:tcPr>
          <w:p>
            <w:pPr>
              <w:pStyle w:val="TableContents"/>
              <w:bidi w:val="0"/>
              <w:spacing w:before="0" w:after="283"/>
              <w:jc w:val="left"/>
              <w:rPr/>
            </w:pPr>
            <w:r>
              <w:rPr/>
              <w:t> </w:t>
            </w:r>
          </w:p>
        </w:tc>
        <w:tc>
          <w:tcPr>
            <w:tcW w:w="8990"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r>
      <w:tr>
        <w:trPr/>
        <w:tc>
          <w:tcPr>
            <w:tcW w:w="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8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w:t>
            </w:r>
          </w:p>
        </w:tc>
        <w:tc>
          <w:tcPr>
            <w:tcW w:w="1065" w:type="dxa"/>
            <w:tcBorders/>
            <w:shd w:fill="CCEEFF" w:val="clear"/>
            <w:vAlign w:val="center"/>
          </w:tcPr>
          <w:p>
            <w:pPr>
              <w:pStyle w:val="TableContents"/>
              <w:bidi w:val="0"/>
              <w:spacing w:before="0" w:after="283"/>
              <w:jc w:val="left"/>
              <w:rPr/>
            </w:pPr>
            <w:r>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 of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ITEM 1. FINANCIAL STATEMENTS </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CONDENSED CONSOLIDATED STATEMENTS OF INCOME</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FEBRUARY 28, 2026 AND MARCH 1, 2025 – UNAUDITED</w:t>
      </w:r>
    </w:p>
    <w:p>
      <w:pPr>
        <w:pStyle w:val="TextBody"/>
        <w:bidi w:val="0"/>
        <w:spacing w:before="0" w:after="0"/>
        <w:ind w:left="54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6758" w:type="dxa"/>
        <w:jc w:val="left"/>
        <w:tblInd w:w="0" w:type="dxa"/>
        <w:tblLayout w:type="fixed"/>
        <w:tblCellMar>
          <w:top w:w="0" w:type="dxa"/>
          <w:left w:w="0" w:type="dxa"/>
          <w:bottom w:w="0" w:type="dxa"/>
          <w:right w:w="0" w:type="dxa"/>
        </w:tblCellMar>
      </w:tblPr>
      <w:tblGrid>
        <w:gridCol w:w="3635"/>
        <w:gridCol w:w="60"/>
        <w:gridCol w:w="278"/>
        <w:gridCol w:w="1316"/>
        <w:gridCol w:w="80"/>
        <w:gridCol w:w="60"/>
        <w:gridCol w:w="218"/>
        <w:gridCol w:w="1031"/>
        <w:gridCol w:w="8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0"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03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46,830</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 pre-opening costs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0"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Regular dividends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 of 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PART I – FINANCIAL INFORMATION – CONTINUED </w:t>
      </w:r>
    </w:p>
    <w:p>
      <w:pPr>
        <w:pStyle w:val="TextBody"/>
        <w:bidi w:val="0"/>
        <w:spacing w:before="0" w:after="0"/>
        <w:ind w:left="0" w:right="0" w:firstLine="10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ITEM 1. FINANCIAL STATEMENTS </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STATEMENTS OF COMPREHENSIVE INCOME </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FEBRUARY 28, 2026 AND MARCH 1, 2025 – UNAUDITED</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7"/>
        <w:gridCol w:w="60"/>
        <w:gridCol w:w="316"/>
        <w:gridCol w:w="1231"/>
        <w:gridCol w:w="80"/>
        <w:gridCol w:w="60"/>
        <w:gridCol w:w="248"/>
        <w:gridCol w:w="962"/>
        <w:gridCol w:w="81"/>
      </w:tblGrid>
      <w:tr>
        <w:trPr/>
        <w:tc>
          <w:tcPr>
            <w:tcW w:w="7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1" w:type="dxa"/>
            <w:tcBorders/>
            <w:vAlign w:val="center"/>
          </w:tcPr>
          <w:p>
            <w:pPr>
              <w:pStyle w:val="TableContents"/>
              <w:bidi w:val="0"/>
              <w:spacing w:before="0" w:after="283"/>
              <w:jc w:val="left"/>
              <w:rPr/>
            </w:pPr>
            <w:r>
              <w:rPr/>
              <w:t> </w:t>
            </w:r>
          </w:p>
        </w:tc>
      </w:tr>
      <w:tr>
        <w:trPr/>
        <w:tc>
          <w:tcPr>
            <w:tcW w:w="7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1" w:type="dxa"/>
            <w:tcBorders/>
            <w:vAlign w:val="center"/>
          </w:tcPr>
          <w:p>
            <w:pPr>
              <w:pStyle w:val="TableContents"/>
              <w:bidi w:val="0"/>
              <w:spacing w:before="0" w:after="283"/>
              <w:jc w:val="left"/>
              <w:rPr/>
            </w:pPr>
            <w:r>
              <w:rPr/>
              <w:t> </w:t>
            </w:r>
          </w:p>
        </w:tc>
      </w:tr>
      <w:tr>
        <w:trPr/>
        <w:tc>
          <w:tcPr>
            <w:tcW w:w="7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71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1" w:type="dxa"/>
            <w:tcBorders/>
            <w:shd w:fill="CCEEFF" w:val="clear"/>
            <w:vAlign w:val="center"/>
          </w:tcPr>
          <w:p>
            <w:pPr>
              <w:pStyle w:val="TableContents"/>
              <w:bidi w:val="0"/>
              <w:spacing w:before="0" w:after="283"/>
              <w:jc w:val="left"/>
              <w:rPr/>
            </w:pPr>
            <w:r>
              <w:rPr/>
              <w:t> </w:t>
            </w:r>
          </w:p>
        </w:tc>
      </w:tr>
      <w:tr>
        <w:trPr/>
        <w:tc>
          <w:tcPr>
            <w:tcW w:w="7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16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associated with supplemental executive retirement defined benefit plan (SERP)</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12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6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related to SERP</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1" w:type="dxa"/>
            <w:tcBorders/>
            <w:shd w:fill="FFFFFF" w:val="clear"/>
            <w:vAlign w:val="center"/>
          </w:tcPr>
          <w:p>
            <w:pPr>
              <w:pStyle w:val="TableContents"/>
              <w:bidi w:val="0"/>
              <w:spacing w:before="0" w:after="283"/>
              <w:jc w:val="left"/>
              <w:rPr/>
            </w:pPr>
            <w:r>
              <w:rPr/>
              <w:t> </w:t>
            </w:r>
          </w:p>
        </w:tc>
      </w:tr>
      <w:tr>
        <w:trPr/>
        <w:tc>
          <w:tcPr>
            <w:tcW w:w="7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167"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net of tax</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1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 of 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 – CONTINUED</w:t>
      </w:r>
    </w:p>
    <w:p>
      <w:pPr>
        <w:pStyle w:val="TextBody"/>
        <w:bidi w:val="0"/>
        <w:spacing w:before="0" w:after="0"/>
        <w:ind w:left="0" w:right="0" w:firstLine="100"/>
        <w:jc w:val="center"/>
        <w:rPr>
          <w:rFonts w:ascii="Times New Roman" w:hAnsi="Times New Roman"/>
          <w:caps w:val="false"/>
          <w:smallCaps w:val="false"/>
          <w:sz w:val="20"/>
          <w:u w:val="single"/>
        </w:rPr>
      </w:pPr>
      <w:r>
        <w:rPr>
          <w:rFonts w:ascii="Times New Roman" w:hAnsi="Times New Roman"/>
          <w:caps w:val="false"/>
          <w:smallCaps w:val="false"/>
          <w:sz w:val="20"/>
          <w:u w:val="single"/>
        </w:rPr>
        <w:t>ITEM 1. FINANCIAL STATEMENTS</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BALANCE SHEETS </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FEBRUARY 28, 2026 AND NOVEMBER 29, 2025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483" w:type="dxa"/>
        <w:jc w:val="left"/>
        <w:tblInd w:w="0" w:type="dxa"/>
        <w:tblLayout w:type="fixed"/>
        <w:tblCellMar>
          <w:top w:w="0" w:type="dxa"/>
          <w:left w:w="0" w:type="dxa"/>
          <w:bottom w:w="0" w:type="dxa"/>
          <w:right w:w="0" w:type="dxa"/>
        </w:tblCellMar>
      </w:tblPr>
      <w:tblGrid>
        <w:gridCol w:w="3980"/>
        <w:gridCol w:w="60"/>
        <w:gridCol w:w="241"/>
        <w:gridCol w:w="1353"/>
        <w:gridCol w:w="60"/>
        <w:gridCol w:w="60"/>
        <w:gridCol w:w="252"/>
        <w:gridCol w:w="1417"/>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6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17,963</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61,790</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Recoverable income taxes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7,224</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145,542</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73,175</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76,727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assets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105,102</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Liabilities and Stockholders</w:t>
            </w:r>
            <w:r>
              <w:rPr>
                <w:rFonts w:ascii="Times New Roman;Times;serif" w:hAnsi="Times New Roman;Times;serif"/>
                <w:caps w:val="false"/>
                <w:smallCaps w:val="false"/>
                <w:sz w:val="20"/>
                <w:u w:val="single"/>
              </w:rPr>
              <w:t xml:space="preserve">’ </w:t>
            </w:r>
            <w:r>
              <w:rPr>
                <w:rFonts w:ascii="Times New Roman;Times;serif" w:hAnsi="Times New Roman;Times;serif"/>
                <w:b/>
                <w:caps w:val="false"/>
                <w:smallCaps w:val="false"/>
                <w:sz w:val="20"/>
                <w:u w:val="single"/>
              </w:rPr>
              <w:t>Equity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24,969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19,299</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liabilites and accrued expenses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76,984</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employment benefit obligations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portion of operating lease obligations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69,353</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81,728</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43,256</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3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3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165,107</w:t>
            </w:r>
          </w:p>
        </w:tc>
        <w:tc>
          <w:tcPr>
            <w:tcW w:w="60"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 of 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 – FINANCIAL INFORMATION – CONTINUED</w:t>
      </w:r>
    </w:p>
    <w:p>
      <w:pPr>
        <w:pStyle w:val="TextBody"/>
        <w:bidi w:val="0"/>
        <w:spacing w:before="0" w:after="0"/>
        <w:ind w:left="0" w:right="0" w:firstLine="100"/>
        <w:jc w:val="center"/>
        <w:rPr>
          <w:rFonts w:ascii="Times New Roman" w:hAnsi="Times New Roman"/>
          <w:caps w:val="false"/>
          <w:smallCaps w:val="false"/>
          <w:sz w:val="20"/>
          <w:u w:val="single"/>
        </w:rPr>
      </w:pPr>
      <w:r>
        <w:rPr>
          <w:rFonts w:ascii="Times New Roman" w:hAnsi="Times New Roman"/>
          <w:caps w:val="false"/>
          <w:smallCaps w:val="false"/>
          <w:sz w:val="20"/>
          <w:u w:val="single"/>
        </w:rPr>
        <w:t>ITEM 1. FINANCIAL STATEMENTS</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BASSETT FURNITURE INDUSTRIES, INCORPORATED AND SUBSIDIARIES </w:t>
      </w:r>
    </w:p>
    <w:p>
      <w:pPr>
        <w:pStyle w:val="TextBody"/>
        <w:bidi w:val="0"/>
        <w:spacing w:before="0" w:after="0"/>
        <w:ind w:left="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 xml:space="preserve">CONDENSED CONSOLIDATED STATEMENTS OF CASH FLOWS </w:t>
      </w:r>
    </w:p>
    <w:p>
      <w:pPr>
        <w:pStyle w:val="TextBody"/>
        <w:bidi w:val="0"/>
        <w:spacing w:before="0" w:after="0"/>
        <w:ind w:left="54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FOR THE PERIODS ENDED FEBRUARY 28, 2026 AND MARCH 1, 2025 – UNAUDITED</w:t>
      </w:r>
    </w:p>
    <w:p>
      <w:pPr>
        <w:pStyle w:val="TextBody"/>
        <w:bidi w:val="0"/>
        <w:spacing w:before="0" w:after="0"/>
        <w:ind w:left="54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16"/>
        <w:gridCol w:w="60"/>
        <w:gridCol w:w="272"/>
        <w:gridCol w:w="1290"/>
        <w:gridCol w:w="90"/>
        <w:gridCol w:w="67"/>
        <w:gridCol w:w="214"/>
        <w:gridCol w:w="1013"/>
        <w:gridCol w:w="83"/>
      </w:tblGrid>
      <w:tr>
        <w:trPr/>
        <w:tc>
          <w:tcPr>
            <w:tcW w:w="7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3"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3" w:type="dxa"/>
            <w:tcBorders/>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1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Recoverable income taxes and other current assets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 of use assets under operating leases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4,211</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under operating leases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(6,327</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(5,468</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issuance of common stock</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10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finance lease obligations</w:t>
            </w:r>
          </w:p>
        </w:tc>
        <w:tc>
          <w:tcPr>
            <w:tcW w:w="60" w:type="dxa"/>
            <w:tcBorders/>
            <w:shd w:fill="CCEEFF" w:val="cle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54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 in cash and cash equivalents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(8,288</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10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1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39,551</w:t>
            </w:r>
          </w:p>
        </w:tc>
        <w:tc>
          <w:tcPr>
            <w:tcW w:w="83" w:type="dxa"/>
            <w:tcBorders/>
            <w:shd w:fill="FFFFFF" w:val="clear"/>
            <w:vAlign w:val="center"/>
          </w:tcPr>
          <w:p>
            <w:pPr>
              <w:pStyle w:val="TableContents"/>
              <w:bidi w:val="0"/>
              <w:spacing w:before="0" w:after="283"/>
              <w:jc w:val="left"/>
              <w:rPr/>
            </w:pPr>
            <w:r>
              <w:rPr/>
              <w:t> </w:t>
            </w:r>
          </w:p>
        </w:tc>
      </w:tr>
      <w:tr>
        <w:trPr/>
        <w:tc>
          <w:tcPr>
            <w:tcW w:w="711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36,062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to condensed consolidated financial statements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 of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I-FINANCIAL INFORMATION-CONTINUED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NOTES TO CONDENSED CONSOLIDATED FINANCIAL STATEMENTS-UNAUDITED</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FEBRUARY 28, 2026</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(Dollars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accordance with the instructions to Form 10-Q and do not include all of the information and footnotes required by accounting principles generally accepted in the United States (“GAAP”) for complete financial statements. In our opinion, all adjustments (consisting of normal recurring adjustments) considered necessary for a fair presentation have been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References to “ASC” included hereinafter refer to the Accounting Standards Codification established by the Financial Accounting Standards Board (“FASB”) as the source of authoritative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condensed consolidated financial statements include the accounts of Bassett Furniture Industries, Incorporated (“Bassett”, “we”, “our”, or the “Company”) and our subsidiaries, all of which are wholly owned. In accordance with ASC Topic 810, we have evaluated our licensees and certain other entities to determine whether they are variable interest entities (“VIEs”) of which we are the primary beneficiary and thus would require consolidation in our financial statements. As of and for the periods ended February 28, 2026 and March 1, 2025 and as of November 29, 2025 we have concluded that none of the evaluated entities represent VIEs.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the sale of furniture and accessories is reported in the accompanying condensed consolidated statements of income net of estimates for returns and allowances. We exclude from revenues amounts collected from customers for sales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amounts for the three months ended March 1, 2025 have been reclassified to conform to the current year’s presentation. See Note 13,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Interim Financial Presentation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intercompany accounts and transactions have been eliminated in the condensed consolidated financial statements. The results of operations for the three months ended February 28, 2026 are not necessarily indicative of results for the full fiscal year. These interim condensed consolidated financial statements should be read in conjunction with the consolidated financial statements and accompanying notes included in our Annual Report on Form 10-K for the year ended November 29, 2025. Certain prior period amounts have been reclassified to conform to current 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26.5% for the three months ended February 28, 2026.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27.4% for the three months ended March 1, 2025. The effective rate differs from the federal statutory rate of 21% primarily due to the effects of state income taxes and various permanent differences.</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Supplemental Cash Flow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February 28, 2026 and March 1, 2025, $2,787 and $0, respectively, of lease right-of-use assets were added through the recognition of the corresponding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refunds received, net of taxes paid, during the three months ended February 28, 2026 and March 1, 2025 were as follows:</w:t>
      </w:r>
    </w:p>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3125"/>
        <w:gridCol w:w="60"/>
        <w:gridCol w:w="240"/>
        <w:gridCol w:w="934"/>
        <w:gridCol w:w="71"/>
        <w:gridCol w:w="71"/>
        <w:gridCol w:w="438"/>
        <w:gridCol w:w="811"/>
        <w:gridCol w:w="60"/>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February 28,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6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4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refunds received, net</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paid during the three months ended February 28, 2026 and March 1, 2025 was $15 and $4,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Lessor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receive lease income as the lessor on a small number of leased premises which we have subleased to other tenants. Sublease income for closed stores and warehouses is included in selling, general and administrative expense in the accompanying condensed consolidated statements of income and was $155 and $103 for the three months ended February 28, 2026 and March 1, 2025, respectively. We also sublease one location to a licensee. This sublease income is included in other loss, net in the accompanying condensed consolidated statements of income and was $118 and $114 for the three months ended February 28, 2026 and March 1,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Financial Instruments and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instruments include cash and cash equivalents, short-term investments in certificates of deposit (CDs), accounts receivable, and accounts payable. Because of their short maturities, the carrying amounts of cash and cash equivalents, accounts receivable, and accounts payable approximate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Investments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short-term investments of $17,963 at both February 28, 2026 and November 29, 2025 consisted of CDs. At February 28, 2026, the CDs had original terms averaging seven months, bearing interest at rates ranging from 2.0% to 4.1% and the weighted average remaining time to maturity was approximately five months and the weighted average yield of the CDs was approximately 3.6%. Each CD is placed with a federally insured financial institution and all deposits are within federal deposit insurance limits. Due to the nature of these investments and their relatively short maturities, the carrying amount of the short-term investments at February 28, 2026 and November 29, 2025 approximates their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4.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consists of the following:</w:t>
      </w:r>
    </w:p>
    <w:p>
      <w:pPr>
        <w:pStyle w:val="TextBody"/>
        <w:bidi w:val="0"/>
        <w:spacing w:before="0" w:after="0"/>
        <w:ind w:left="0" w:right="0" w:hanging="0"/>
        <w:jc w:val="left"/>
        <w:rPr>
          <w:caps w:val="false"/>
          <w:smallCaps w:val="false"/>
        </w:rPr>
      </w:pPr>
      <w:r>
        <w:rPr>
          <w:caps w:val="false"/>
          <w:smallCaps w:val="false"/>
        </w:rPr>
        <w:t> </w:t>
      </w:r>
    </w:p>
    <w:tbl>
      <w:tblPr>
        <w:tblW w:w="5273" w:type="dxa"/>
        <w:jc w:val="left"/>
        <w:tblInd w:w="0" w:type="dxa"/>
        <w:tblLayout w:type="fixed"/>
        <w:tblCellMar>
          <w:top w:w="0" w:type="dxa"/>
          <w:left w:w="0" w:type="dxa"/>
          <w:bottom w:w="0" w:type="dxa"/>
          <w:right w:w="0" w:type="dxa"/>
        </w:tblCellMar>
      </w:tblPr>
      <w:tblGrid>
        <w:gridCol w:w="2195"/>
        <w:gridCol w:w="60"/>
        <w:gridCol w:w="278"/>
        <w:gridCol w:w="1316"/>
        <w:gridCol w:w="80"/>
        <w:gridCol w:w="60"/>
        <w:gridCol w:w="210"/>
        <w:gridCol w:w="994"/>
        <w:gridCol w:w="8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14,839</w:t>
            </w:r>
          </w:p>
        </w:tc>
        <w:tc>
          <w:tcPr>
            <w:tcW w:w="8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collectability of accounts receivable within each pool based on historical experience, current payment practices and current economic conditions. Actual credit losses could differ from those estimates. We have elected to use the practical expedient under ASC Topic 326 which allows us to assume that current conditions as of the balance sheet date do not change over the expected life of the receivables, which is generally ninety days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Activity in the allowance for credit losses for the three months ended February 28, 2026 and March 1, 2025 was as follows:</w:t>
      </w:r>
    </w:p>
    <w:p>
      <w:pPr>
        <w:pStyle w:val="TextBody"/>
        <w:bidi w:val="0"/>
        <w:spacing w:before="0" w:after="0"/>
        <w:ind w:left="0" w:right="0" w:firstLine="540"/>
        <w:jc w:val="left"/>
        <w:rPr>
          <w:caps w:val="false"/>
          <w:smallCaps w:val="false"/>
        </w:rPr>
      </w:pPr>
      <w:r>
        <w:rPr>
          <w:caps w:val="false"/>
          <w:smallCaps w:val="false"/>
        </w:rPr>
        <w:t> </w:t>
      </w:r>
    </w:p>
    <w:tbl>
      <w:tblPr>
        <w:tblW w:w="5624" w:type="dxa"/>
        <w:jc w:val="left"/>
        <w:tblInd w:w="0" w:type="dxa"/>
        <w:tblLayout w:type="fixed"/>
        <w:tblCellMar>
          <w:top w:w="0" w:type="dxa"/>
          <w:left w:w="0" w:type="dxa"/>
          <w:bottom w:w="0" w:type="dxa"/>
          <w:right w:w="0" w:type="dxa"/>
        </w:tblCellMar>
      </w:tblPr>
      <w:tblGrid>
        <w:gridCol w:w="2435"/>
        <w:gridCol w:w="60"/>
        <w:gridCol w:w="432"/>
        <w:gridCol w:w="1162"/>
        <w:gridCol w:w="118"/>
        <w:gridCol w:w="88"/>
        <w:gridCol w:w="255"/>
        <w:gridCol w:w="994"/>
        <w:gridCol w:w="80"/>
      </w:tblGrid>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w:t>
            </w:r>
          </w:p>
        </w:tc>
        <w:tc>
          <w:tcPr>
            <w:tcW w:w="80" w:type="dxa"/>
            <w:tcBorders/>
            <w:shd w:fill="CCEEFF" w:val="clear"/>
            <w:vAlign w:val="center"/>
          </w:tcPr>
          <w:p>
            <w:pPr>
              <w:pStyle w:val="TableContents"/>
              <w:bidi w:val="0"/>
              <w:spacing w:before="0" w:after="283"/>
              <w:jc w:val="left"/>
              <w:rPr/>
            </w:pPr>
            <w:r>
              <w:rPr/>
              <w:t> </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to expense</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ind w:left="0" w:right="0" w:hanging="0"/>
              <w:jc w:val="left"/>
              <w:rPr/>
            </w:pPr>
            <w:r>
              <w:rPr/>
              <w:t> </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against allowance</w:t>
            </w:r>
          </w:p>
        </w:tc>
        <w:tc>
          <w:tcPr>
            <w:tcW w:w="60" w:type="dxa"/>
            <w:tcBorders/>
            <w:shd w:fill="CCEEFF" w:val="clear"/>
            <w:vAlign w:val="center"/>
          </w:tcPr>
          <w:p>
            <w:pPr>
              <w:pStyle w:val="TableContents"/>
              <w:bidi w:val="0"/>
              <w:spacing w:before="0" w:after="283"/>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Substantially all of the accounts receivable written off against the reserve during the three months ended February 28, 2026 and March 1, 2025 originated during our fiscal years ended November 29, 2025 and November 30,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hAnsi="Times New Roman"/>
          <w:i/>
          <w:caps w:val="false"/>
          <w:smallCaps w:val="false"/>
          <w:sz w:val="20"/>
        </w:rPr>
        <w:t>Fair Value Measurements and Disclosures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5. 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Domestic furniture inventories are valued at the lower of cost, which is determined using the last-in, first-out (LIFO) method, or market. Imported inventories and those applicable to our Lane Venture and Bassett Outdoor lines are valued at the lower of cost, which is determined using the first-in, first-out (FIFO) method, or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were comprised of the following:</w:t>
      </w:r>
    </w:p>
    <w:p>
      <w:pPr>
        <w:pStyle w:val="TextBody"/>
        <w:bidi w:val="0"/>
        <w:spacing w:before="0" w:after="0"/>
        <w:ind w:left="0" w:right="0" w:firstLine="180"/>
        <w:jc w:val="left"/>
        <w:rPr>
          <w:caps w:val="false"/>
          <w:smallCaps w:val="false"/>
        </w:rPr>
      </w:pPr>
      <w:r>
        <w:rPr>
          <w:caps w:val="false"/>
          <w:smallCaps w:val="false"/>
        </w:rPr>
        <w:t> </w:t>
      </w:r>
    </w:p>
    <w:tbl>
      <w:tblPr>
        <w:tblW w:w="7193" w:type="dxa"/>
        <w:jc w:val="left"/>
        <w:tblInd w:w="0" w:type="dxa"/>
        <w:tblLayout w:type="fixed"/>
        <w:tblCellMar>
          <w:top w:w="0" w:type="dxa"/>
          <w:left w:w="0" w:type="dxa"/>
          <w:bottom w:w="0" w:type="dxa"/>
          <w:right w:w="0" w:type="dxa"/>
        </w:tblCellMar>
      </w:tblPr>
      <w:tblGrid>
        <w:gridCol w:w="3650"/>
        <w:gridCol w:w="60"/>
        <w:gridCol w:w="255"/>
        <w:gridCol w:w="1339"/>
        <w:gridCol w:w="80"/>
        <w:gridCol w:w="60"/>
        <w:gridCol w:w="267"/>
        <w:gridCol w:w="1402"/>
        <w:gridCol w:w="80"/>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8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 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30,746</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3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supplies</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16,040</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merchandise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32,503</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 on first-in, first-out method</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3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79,833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LIFO adjustment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3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4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excess and obsolete inventory</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61,790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and/or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Activity in the reserves for excess quantities and obsolete inventory by segment are as follows:</w:t>
      </w:r>
    </w:p>
    <w:p>
      <w:pPr>
        <w:pStyle w:val="TextBody"/>
        <w:bidi w:val="0"/>
        <w:spacing w:before="0" w:after="0"/>
        <w:ind w:left="0" w:right="0" w:hanging="0"/>
        <w:jc w:val="left"/>
        <w:rPr>
          <w:caps w:val="false"/>
          <w:smallCaps w:val="false"/>
        </w:rPr>
      </w:pPr>
      <w:r>
        <w:rPr>
          <w:caps w:val="false"/>
          <w:smallCaps w:val="false"/>
        </w:rPr>
        <w:t> </w:t>
      </w:r>
    </w:p>
    <w:tbl>
      <w:tblPr>
        <w:tblW w:w="6379" w:type="dxa"/>
        <w:jc w:val="left"/>
        <w:tblInd w:w="0" w:type="dxa"/>
        <w:tblLayout w:type="fixed"/>
        <w:tblCellMar>
          <w:top w:w="0" w:type="dxa"/>
          <w:left w:w="0" w:type="dxa"/>
          <w:bottom w:w="0" w:type="dxa"/>
          <w:right w:w="0" w:type="dxa"/>
        </w:tblCellMar>
      </w:tblPr>
      <w:tblGrid>
        <w:gridCol w:w="2525"/>
        <w:gridCol w:w="60"/>
        <w:gridCol w:w="202"/>
        <w:gridCol w:w="783"/>
        <w:gridCol w:w="129"/>
        <w:gridCol w:w="96"/>
        <w:gridCol w:w="265"/>
        <w:gridCol w:w="1029"/>
        <w:gridCol w:w="129"/>
        <w:gridCol w:w="96"/>
        <w:gridCol w:w="202"/>
        <w:gridCol w:w="783"/>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1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February 28, 2026</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Wholesale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12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 Segment</w:t>
            </w:r>
          </w:p>
        </w:tc>
        <w:tc>
          <w:tcPr>
            <w:tcW w:w="12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November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12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6,027</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to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February 28, 2026</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199" w:type="dxa"/>
        <w:jc w:val="left"/>
        <w:tblInd w:w="0" w:type="dxa"/>
        <w:tblLayout w:type="fixed"/>
        <w:tblCellMar>
          <w:top w:w="0" w:type="dxa"/>
          <w:left w:w="0" w:type="dxa"/>
          <w:bottom w:w="0" w:type="dxa"/>
          <w:right w:w="0" w:type="dxa"/>
        </w:tblCellMar>
      </w:tblPr>
      <w:tblGrid>
        <w:gridCol w:w="2525"/>
        <w:gridCol w:w="60"/>
        <w:gridCol w:w="194"/>
        <w:gridCol w:w="755"/>
        <w:gridCol w:w="116"/>
        <w:gridCol w:w="87"/>
        <w:gridCol w:w="264"/>
        <w:gridCol w:w="1030"/>
        <w:gridCol w:w="116"/>
        <w:gridCol w:w="87"/>
        <w:gridCol w:w="181"/>
        <w:gridCol w:w="704"/>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1, 2025</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Wholesale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 Segment</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November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4,158</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5,395</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charged to expense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4,331</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estimates and assumptions have been reasonably accurate in the past. We have not made any significant changes to our methodology for determining inventory reserves in 2026 and do not anticipate that our methodology is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6. Goodwill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goodwill by reportable segment, including accumulated impairment losses, at both February 28, 2026 and November 29, 2025 were as follows:</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640"/>
        <w:gridCol w:w="60"/>
        <w:gridCol w:w="145"/>
        <w:gridCol w:w="685"/>
        <w:gridCol w:w="60"/>
        <w:gridCol w:w="60"/>
        <w:gridCol w:w="194"/>
        <w:gridCol w:w="846"/>
        <w:gridCol w:w="80"/>
        <w:gridCol w:w="60"/>
        <w:gridCol w:w="176"/>
        <w:gridCol w:w="683"/>
        <w:gridCol w:w="6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Carrying </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7.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at February 28, 2026 and November 29,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773" w:type="dxa"/>
        <w:jc w:val="left"/>
        <w:tblInd w:w="0" w:type="dxa"/>
        <w:tblLayout w:type="fixed"/>
        <w:tblCellMar>
          <w:top w:w="0" w:type="dxa"/>
          <w:left w:w="0" w:type="dxa"/>
          <w:bottom w:w="0" w:type="dxa"/>
          <w:right w:w="0" w:type="dxa"/>
        </w:tblCellMar>
      </w:tblPr>
      <w:tblGrid>
        <w:gridCol w:w="3230"/>
        <w:gridCol w:w="60"/>
        <w:gridCol w:w="326"/>
        <w:gridCol w:w="1268"/>
        <w:gridCol w:w="80"/>
        <w:gridCol w:w="60"/>
        <w:gridCol w:w="341"/>
        <w:gridCol w:w="1328"/>
        <w:gridCol w:w="80"/>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8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subject to amortization:</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subject to amortization, net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not subject to amortization:</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w:t>
            </w:r>
          </w:p>
        </w:tc>
        <w:tc>
          <w:tcPr>
            <w:tcW w:w="80"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 associated with intangible assets during the three months ended February 28, 2026 and March 1, 2025 was as follows:</w:t>
      </w:r>
    </w:p>
    <w:p>
      <w:pPr>
        <w:pStyle w:val="TextBody"/>
        <w:bidi w:val="0"/>
        <w:spacing w:before="0" w:after="0"/>
        <w:ind w:left="0" w:right="0" w:hanging="0"/>
        <w:jc w:val="left"/>
        <w:rPr>
          <w:caps w:val="false"/>
          <w:smallCaps w:val="false"/>
        </w:rPr>
      </w:pPr>
      <w:r>
        <w:rPr>
          <w:caps w:val="false"/>
          <w:smallCaps w:val="false"/>
        </w:rPr>
        <w:t> </w:t>
      </w:r>
    </w:p>
    <w:tbl>
      <w:tblPr>
        <w:tblW w:w="6229" w:type="dxa"/>
        <w:jc w:val="left"/>
        <w:tblInd w:w="0" w:type="dxa"/>
        <w:tblLayout w:type="fixed"/>
        <w:tblCellMar>
          <w:top w:w="0" w:type="dxa"/>
          <w:left w:w="0" w:type="dxa"/>
          <w:bottom w:w="0" w:type="dxa"/>
          <w:right w:w="0" w:type="dxa"/>
        </w:tblCellMar>
      </w:tblPr>
      <w:tblGrid>
        <w:gridCol w:w="3080"/>
        <w:gridCol w:w="60"/>
        <w:gridCol w:w="561"/>
        <w:gridCol w:w="1033"/>
        <w:gridCol w:w="93"/>
        <w:gridCol w:w="93"/>
        <w:gridCol w:w="438"/>
        <w:gridCol w:w="811"/>
        <w:gridCol w:w="6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6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amortization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Estimated future amortization expense for intangible assets that exist at February 28, 2026 is as follows:</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2060"/>
        <w:gridCol w:w="60"/>
        <w:gridCol w:w="125"/>
        <w:gridCol w:w="230"/>
        <w:gridCol w:w="60"/>
      </w:tblGrid>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fiscal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Bank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2024, we entered into the Eighth Amended and Restated Credit Agreement with our bank (the “Credit Facility”). This Credit Facility provides for a line of credit of up to $25,000. At February 28,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(as defined in the Credit Facility)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60"/>
        <w:gridCol w:w="170"/>
        <w:gridCol w:w="8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Fixed Charge Coverage Ratio (as defined in the Credit Facility) of not less than 1.2 times and</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Lease Adjusted Leverage to EBITDAR Ratio (as defined in the Credit Facility) not to exceed 3.35 times.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February 28, 2026, we were in compliance with the Consolidated Minimum Tangible Net Worth requirement. Since our used commitment was less than $8,250 at February 28, 2026,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$19,134. On January 9, 2026, the Credit Facility was amended to extend the expiration to January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 Post Employment Benefit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Defined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unfunded Supplemental Retirement Income Plan (the “Supplemental Plan”) that covers one current and certain former executives. The liability for the Supplemental Plan was $5,617 and $5,611 as of February 28,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the Bassett Furniture Industries, Incorporated Management Savings Plan (the “Management Savings Plan”) which was established in the second quarter of fiscal 2017. The Management Savings Plan is an unfunded, non-qualified deferred compensation plan maintained for the benefit of certain highly compensated or management level employees. As part of the Management Savings Plan, we have made Long Term Cash Awards (“LTC Awards”) totaling $2,000 to five current and former management employees in the amount of $400 each. We are accounting for the LTC Awards as a defined benefit pension plan. Currently, two of those employees have retired and are receiving benefits. The liability for the LTC Awards was $1,393 and $1,379 as of February 28,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Components of net periodic pension costs for our defined benefit plans for the three months ended February 28, 2026 and March 1, 2025 are as follows:</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090"/>
        <w:gridCol w:w="60"/>
        <w:gridCol w:w="480"/>
        <w:gridCol w:w="1114"/>
        <w:gridCol w:w="106"/>
        <w:gridCol w:w="80"/>
        <w:gridCol w:w="375"/>
        <w:gridCol w:w="875"/>
        <w:gridCol w:w="8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1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loss</w:t>
            </w:r>
          </w:p>
        </w:tc>
        <w:tc>
          <w:tcPr>
            <w:tcW w:w="60" w:type="dxa"/>
            <w:tcBorders/>
            <w:shd w:fill="CCEEFF" w:val="clear"/>
            <w:vAlign w:val="center"/>
          </w:tcPr>
          <w:p>
            <w:pPr>
              <w:pStyle w:val="TableContents"/>
              <w:bidi w:val="0"/>
              <w:spacing w:before="0" w:after="283"/>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pension cost</w:t>
            </w:r>
          </w:p>
        </w:tc>
        <w:tc>
          <w:tcPr>
            <w:tcW w:w="60" w:type="dxa"/>
            <w:tcBorders/>
            <w:shd w:fill="FFFFFF" w:val="clear"/>
            <w:vAlign w:val="center"/>
          </w:tcPr>
          <w:p>
            <w:pPr>
              <w:pStyle w:val="TableContents"/>
              <w:bidi w:val="0"/>
              <w:spacing w:before="0" w:after="283"/>
              <w:ind w:left="0" w:right="0" w:hanging="0"/>
              <w:jc w:val="left"/>
              <w:rPr/>
            </w:pPr>
            <w:r>
              <w:rPr/>
              <w:t> </w:t>
            </w:r>
          </w:p>
        </w:tc>
        <w:tc>
          <w:tcPr>
            <w:tcW w:w="4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net periodic pension cost other than the service cost component, which is included in selling, general and administrative expenses, are included in other loss, net in our condensed consolidated statements of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Deferred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unfunded deferred compensation plan that covers one current executive and certain former executives and provides for voluntary deferral of compensation. This plan has been frozen with no additional participants or deferrals permitted. Our liability under this plan was $1,580 and $1,562 as of February 28,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an unfunded, nonqualified deferred compensation plan maintained for the benefit of certain highly compensated or management level employees which was established under the Management Savings Plan. Our liability under this plan, including both accrued Company contributions and participant salary deferrals, was $4,181 and $3,968 as of February 28, 2026 and November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non-current portion of the obligations under our defined benefit and deferred compensation plans are included in post employment benefit obligations in the accompanying balance sheets as follows:</w:t>
      </w:r>
    </w:p>
    <w:p>
      <w:pPr>
        <w:pStyle w:val="TextBody"/>
        <w:bidi w:val="0"/>
        <w:spacing w:before="0" w:after="0"/>
        <w:ind w:left="0" w:right="0" w:hanging="0"/>
        <w:jc w:val="left"/>
        <w:rPr>
          <w:caps w:val="false"/>
          <w:smallCaps w:val="false"/>
        </w:rPr>
      </w:pPr>
      <w:r>
        <w:rPr>
          <w:caps w:val="false"/>
          <w:smallCaps w:val="false"/>
        </w:rPr>
        <w:t> </w:t>
      </w:r>
    </w:p>
    <w:tbl>
      <w:tblPr>
        <w:tblW w:w="6553" w:type="dxa"/>
        <w:jc w:val="left"/>
        <w:tblInd w:w="0" w:type="dxa"/>
        <w:tblLayout w:type="fixed"/>
        <w:tblCellMar>
          <w:top w:w="0" w:type="dxa"/>
          <w:left w:w="0" w:type="dxa"/>
          <w:bottom w:w="0" w:type="dxa"/>
          <w:right w:w="0" w:type="dxa"/>
        </w:tblCellMar>
      </w:tblPr>
      <w:tblGrid>
        <w:gridCol w:w="3035"/>
        <w:gridCol w:w="60"/>
        <w:gridCol w:w="278"/>
        <w:gridCol w:w="1316"/>
        <w:gridCol w:w="60"/>
        <w:gridCol w:w="60"/>
        <w:gridCol w:w="291"/>
        <w:gridCol w:w="1378"/>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Defined benefit plans: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Plan</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4,917</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LTC Awards</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defined benefit plans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6,175</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 plans:</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Savings Plan</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ind w:left="0" w:right="0" w:hanging="0"/>
              <w:jc w:val="left"/>
              <w:rPr/>
            </w:pPr>
            <w:r>
              <w:rPr/>
              <w:t> </w:t>
            </w:r>
          </w:p>
        </w:tc>
        <w:tc>
          <w:tcPr>
            <w:tcW w:w="13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 Plan</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compensation plans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5,204</w:t>
            </w:r>
          </w:p>
        </w:tc>
        <w:tc>
          <w:tcPr>
            <w:tcW w:w="7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7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 employment benefit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portion of these post employment benefit obligations totaled $1,142 at both February 28, 2026 and November 29, 2025 and is included in accrued compensation and benefits in the accompanying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recognized expense under our deferred compensation arrangements during the three months ended February 28, 2026 and March 1, 2025 of $12 and $34,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involved in various legal and environmental matters which arise in the normal course of business. Although the final outcome of these matters cannot be determined, based on the facts presently known, we believe that the final resolution of these matters will not have a material adverse effect on our financial position or future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were contingently liable under licensee lease obligation guarantees in the amounts of $3,902 and $4,148 at February 28, 2026 and November 29, 2025, respectively. The remaining term under these lease guarantees extends for six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default by the licensee, we believe that the risk of loss is mitigated through a combination of options that include, but are not limited to, arranging for a replacement licensee or liquidating the collateral (primarily inventory). The proceeds of the above options are expected to cover the estimated amount of our future payments under the guarantee obligation, net of recorded reserves. The fair value of these lease guarantees (an estimate of the cost to the Company to perform on the guarantee) at February 28, 2026 and November 29, 2025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Lease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February 28, 2026, we had commitments for two leases of real property which are expected to commence during fiscal 2026. Together, these leases call for total annual rents averaging approximately $757 per year for an initial term of ten years. Both leases have two five-year renewal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per common share is computed by dividing net income allocable to common shares by the weighted average number of common shares outstanding, adjusted for participating securities, if any. The following reconciles basic and diluted earnings per share:</w:t>
      </w:r>
    </w:p>
    <w:p>
      <w:pPr>
        <w:pStyle w:val="TextBody"/>
        <w:bidi w:val="0"/>
        <w:spacing w:before="0" w:after="0"/>
        <w:ind w:left="0" w:right="0" w:hanging="0"/>
        <w:jc w:val="left"/>
        <w:rPr>
          <w:caps w:val="false"/>
          <w:smallCaps w:val="false"/>
        </w:rPr>
      </w:pPr>
      <w:r>
        <w:rPr>
          <w:caps w:val="false"/>
          <w:smallCaps w:val="false"/>
        </w:rPr>
        <w:t> </w:t>
      </w:r>
    </w:p>
    <w:tbl>
      <w:tblPr>
        <w:tblW w:w="7217" w:type="dxa"/>
        <w:jc w:val="left"/>
        <w:tblInd w:w="0" w:type="dxa"/>
        <w:tblLayout w:type="fixed"/>
        <w:tblCellMar>
          <w:top w:w="0" w:type="dxa"/>
          <w:left w:w="0" w:type="dxa"/>
          <w:bottom w:w="0" w:type="dxa"/>
          <w:right w:w="0" w:type="dxa"/>
        </w:tblCellMar>
      </w:tblPr>
      <w:tblGrid>
        <w:gridCol w:w="3335"/>
        <w:gridCol w:w="60"/>
        <w:gridCol w:w="194"/>
        <w:gridCol w:w="755"/>
        <w:gridCol w:w="60"/>
        <w:gridCol w:w="60"/>
        <w:gridCol w:w="101"/>
        <w:gridCol w:w="1433"/>
        <w:gridCol w:w="60"/>
        <w:gridCol w:w="60"/>
        <w:gridCol w:w="257"/>
        <w:gridCol w:w="782"/>
        <w:gridCol w:w="6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w:t>
            </w:r>
          </w:p>
        </w:tc>
        <w:tc>
          <w:tcPr>
            <w:tcW w:w="6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quarter ended February 28, 2026:</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8,615,587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For the quarter ended March 1, 2025:</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14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8,678,770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effect of dilutive securities: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shares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8,706,435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February 28, 2026 and March 1, 2025, the following potentially dilutive shares were excluded from the computations as their effect was anti-dilutive:</w:t>
      </w:r>
    </w:p>
    <w:p>
      <w:pPr>
        <w:pStyle w:val="TextBody"/>
        <w:bidi w:val="0"/>
        <w:spacing w:before="0" w:after="0"/>
        <w:ind w:left="0" w:right="0" w:hanging="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1325"/>
        <w:gridCol w:w="60"/>
        <w:gridCol w:w="682"/>
        <w:gridCol w:w="912"/>
        <w:gridCol w:w="85"/>
        <w:gridCol w:w="85"/>
        <w:gridCol w:w="114"/>
        <w:gridCol w:w="1135"/>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Unvested shares</w:t>
            </w:r>
          </w:p>
        </w:tc>
        <w:tc>
          <w:tcPr>
            <w:tcW w:w="60" w:type="dxa"/>
            <w:tcBorders/>
            <w:shd w:fill="CCEEFF" w:val="clear"/>
            <w:vAlign w:val="center"/>
          </w:tcPr>
          <w:p>
            <w:pPr>
              <w:pStyle w:val="TableContents"/>
              <w:bidi w:val="0"/>
              <w:spacing w:before="0" w:after="283"/>
              <w:jc w:val="left"/>
              <w:rPr/>
            </w:pPr>
            <w:r>
              <w:rPr/>
              <w:t> </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12.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report segment information consistent with the way our chief operating decision maker (the “CODM”), a single individual who serves as our Board Chair, President and Chief Executive Officer, evaluates the operating results and performance of the Company. We have strategically aligned our business into two reportable segments as defined in ASC 280, </w:t>
      </w:r>
      <w:r>
        <w:rPr>
          <w:rFonts w:ascii="Times New Roman" w:hAnsi="Times New Roman"/>
          <w:i/>
          <w:caps w:val="false"/>
          <w:smallCaps w:val="false"/>
          <w:sz w:val="20"/>
        </w:rPr>
        <w:t>Segment Reporting</w:t>
      </w:r>
      <w:r>
        <w:rPr>
          <w:rFonts w:ascii="Times New Roman" w:hAnsi="Times New Roman"/>
          <w:caps w:val="false"/>
          <w:smallCaps w:val="false"/>
          <w:sz w:val="20"/>
        </w:rPr>
        <w:t>, and as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Wholesale. </w:t>
            </w:r>
            <w:r>
              <w:rPr>
                <w:rFonts w:ascii="Times New Roman;Times;serif" w:hAnsi="Times New Roman;Times;serif"/>
                <w:caps w:val="false"/>
                <w:smallCaps w:val="false"/>
                <w:sz w:val="20"/>
              </w:rPr>
              <w:t>The wholesale home furnishings segment is involved principally in the design, manufacture, sourcing, sale and distribution of furniture products to a network of Bassett stores (Company-owned and licensee-owned retail stores) and independent furniture retailers. Our wholesale segment includes our wood and upholstery operations, which includes Lane Venture.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Retail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Company-owned stores. </w:t>
            </w:r>
            <w:r>
              <w:rPr>
                <w:rFonts w:ascii="Times New Roman;Times;serif" w:hAnsi="Times New Roman;Times;serif"/>
                <w:caps w:val="false"/>
                <w:smallCaps w:val="false"/>
                <w:sz w:val="20"/>
              </w:rPr>
              <w:t>Our retail segment consists of Company-owned stores and includes the revenues, expenses, assets and liabilities and capital expenditures directly related to these stores and the Company-owned distribution network utilized to deliver products to our retail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months ended February 28, 2026 and March 1, 2025, Corporate and other included no other operating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purpose of evaluating segment performance and allocating resources, our CODM uses a measure of income (loss) from operations excluding special items. These excluded items include such things as asset impairment charges, restructuring charges, and other unusual or infrequent gains and losses which management does not expect to recur on a regular routine basis. During the three months ended February 28, 2026 and March 1, 2025, there were no special items recognized in our results of operations. The CODM assesses performance by regularly reviewing each segment’s significant expense categories which include total cost of goods sold and total SG&amp;A expenses. If these significant expense categories deviate from expected results, the CODM will delegate to his direct reports the task of investigating the underlying causes and, when necessary, making recommendations for remedial action to the CODM for his consideration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our segment information:</w:t>
      </w:r>
    </w:p>
    <w:p>
      <w:pPr>
        <w:pStyle w:val="TextBody"/>
        <w:bidi w:val="0"/>
        <w:spacing w:before="0" w:after="0"/>
        <w:ind w:left="0" w:right="0" w:hanging="0"/>
        <w:jc w:val="left"/>
        <w:rPr>
          <w:caps w:val="false"/>
          <w:smallCaps w:val="false"/>
        </w:rPr>
      </w:pPr>
      <w:r>
        <w:rPr>
          <w:caps w:val="false"/>
          <w:smallCaps w:val="false"/>
        </w:rPr>
        <w:t> </w:t>
      </w:r>
    </w:p>
    <w:tbl>
      <w:tblPr>
        <w:tblW w:w="9549" w:type="dxa"/>
        <w:jc w:val="left"/>
        <w:tblInd w:w="0" w:type="dxa"/>
        <w:tblLayout w:type="fixed"/>
        <w:tblCellMar>
          <w:top w:w="0" w:type="dxa"/>
          <w:left w:w="0" w:type="dxa"/>
          <w:bottom w:w="0" w:type="dxa"/>
          <w:right w:w="0" w:type="dxa"/>
        </w:tblCellMar>
      </w:tblPr>
      <w:tblGrid>
        <w:gridCol w:w="4070"/>
        <w:gridCol w:w="60"/>
        <w:gridCol w:w="152"/>
        <w:gridCol w:w="723"/>
        <w:gridCol w:w="60"/>
        <w:gridCol w:w="60"/>
        <w:gridCol w:w="125"/>
        <w:gridCol w:w="590"/>
        <w:gridCol w:w="80"/>
        <w:gridCol w:w="60"/>
        <w:gridCol w:w="190"/>
        <w:gridCol w:w="834"/>
        <w:gridCol w:w="80"/>
        <w:gridCol w:w="60"/>
        <w:gridCol w:w="172"/>
        <w:gridCol w:w="898"/>
        <w:gridCol w:w="80"/>
        <w:gridCol w:w="60"/>
        <w:gridCol w:w="194"/>
        <w:gridCol w:w="921"/>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3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 February 28, 2026</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43,913</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 new store pre-opening costs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989" w:type="dxa"/>
        <w:jc w:val="left"/>
        <w:tblInd w:w="0" w:type="dxa"/>
        <w:tblLayout w:type="fixed"/>
        <w:tblCellMar>
          <w:top w:w="0" w:type="dxa"/>
          <w:left w:w="0" w:type="dxa"/>
          <w:bottom w:w="0" w:type="dxa"/>
          <w:right w:w="0" w:type="dxa"/>
        </w:tblCellMar>
      </w:tblPr>
      <w:tblGrid>
        <w:gridCol w:w="2510"/>
        <w:gridCol w:w="60"/>
        <w:gridCol w:w="152"/>
        <w:gridCol w:w="723"/>
        <w:gridCol w:w="60"/>
        <w:gridCol w:w="60"/>
        <w:gridCol w:w="125"/>
        <w:gridCol w:w="590"/>
        <w:gridCol w:w="80"/>
        <w:gridCol w:w="60"/>
        <w:gridCol w:w="190"/>
        <w:gridCol w:w="834"/>
        <w:gridCol w:w="80"/>
        <w:gridCol w:w="60"/>
        <w:gridCol w:w="172"/>
        <w:gridCol w:w="898"/>
        <w:gridCol w:w="80"/>
        <w:gridCol w:w="60"/>
        <w:gridCol w:w="194"/>
        <w:gridCol w:w="921"/>
        <w:gridCol w:w="8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3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 March 1, 2025</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44,375</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80"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73" w:type="dxa"/>
        <w:jc w:val="left"/>
        <w:tblInd w:w="0" w:type="dxa"/>
        <w:tblLayout w:type="fixed"/>
        <w:tblCellMar>
          <w:top w:w="0" w:type="dxa"/>
          <w:left w:w="0" w:type="dxa"/>
          <w:bottom w:w="0" w:type="dxa"/>
          <w:right w:w="0" w:type="dxa"/>
        </w:tblCellMar>
      </w:tblPr>
      <w:tblGrid>
        <w:gridCol w:w="2675"/>
        <w:gridCol w:w="60"/>
        <w:gridCol w:w="326"/>
        <w:gridCol w:w="1268"/>
        <w:gridCol w:w="60"/>
        <w:gridCol w:w="60"/>
        <w:gridCol w:w="256"/>
        <w:gridCol w:w="993"/>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12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75"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103" w:type="dxa"/>
        <w:jc w:val="left"/>
        <w:tblInd w:w="0" w:type="dxa"/>
        <w:tblLayout w:type="fixed"/>
        <w:tblCellMar>
          <w:top w:w="0" w:type="dxa"/>
          <w:left w:w="0" w:type="dxa"/>
          <w:bottom w:w="0" w:type="dxa"/>
          <w:right w:w="0" w:type="dxa"/>
        </w:tblCellMar>
      </w:tblPr>
      <w:tblGrid>
        <w:gridCol w:w="2585"/>
        <w:gridCol w:w="60"/>
        <w:gridCol w:w="242"/>
        <w:gridCol w:w="1352"/>
        <w:gridCol w:w="60"/>
        <w:gridCol w:w="60"/>
        <w:gridCol w:w="252"/>
        <w:gridCol w:w="1417"/>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tc>
        <w:tc>
          <w:tcPr>
            <w:tcW w:w="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Identifiable Assets</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November 29, 2025</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92,805</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 Company-owned stores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13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140,507</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90,507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13, Revenue Recognition, for disaggregated revenue information regarding sales of furniture and accessories by product type for the wholesale and retail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revenue when we transfer promised goods or services to our customers in an amount that reflects the consideration we expect to receive in exchange for those goods or services. For our wholesale and retail segments, revenue is recognized when the risks and rewards of ownership and title to the product have transferred to the buyer. At wholesale, transfer occurs and revenue is recognized upon the shipment of goods to independent dealers and licensee-owned BHF stores. At retail, transfer occurs and revenue is recognized upon delivery of goods to the customer. All wholesale and retail revenues are recorded net of estimated returns and allowances based on historical patterns. Our accounts receivable, net, which are associated with our wholesale segment, were $14,662, $14,410, $14,218 and $13,181 at February 28, 2026, November 29, 2025, March 1, 2025 and November 30, 2024, respectively. We typically collect a significant portion of the purchase price from our retail customers as a deposit upon order, with the balance typically collected at the time delivery is scheduled. These customer deposits are carried on our balance sheet as a current liability until delivery is fulfilled and amounted to $24,745, $24,969, $25,352 and $25,742 as of February 28, 2026, November 29, 2025, March 1, 2025 and November 30, 2024, respectively. Substantially all of the customer deposits held as of November 29, 2025 related to performance obligations that were satisfied during the current year-to-date period and have therefore been recognized in revenue for the three months ended February 28, 2026. Similarly, substantially all of the customer deposits held at February 28, 2026 are expected to be recognized as revenue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February 28, 2026, November 29, 2025, March 1, 2025 and November 30, 2024, our balance of prepaid commissions included in other current assets was $2,656, $2,662, $2,805 and $2,928,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exclude from revenue all amounts collected from customers for sales tax. We do not disclose amounts allocated to remaining unsatisfied performance obligations as they are expected to be satisfied within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Disaggregated revenue information for sales of furniture and accessories by product category for the three months ended February 28, 2026 and March 1, 2025, excluding intercompany transactions between our segments, is as follows:</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4100"/>
        <w:gridCol w:w="60"/>
        <w:gridCol w:w="152"/>
        <w:gridCol w:w="723"/>
        <w:gridCol w:w="60"/>
        <w:gridCol w:w="60"/>
        <w:gridCol w:w="125"/>
        <w:gridCol w:w="590"/>
        <w:gridCol w:w="60"/>
        <w:gridCol w:w="60"/>
        <w:gridCol w:w="125"/>
        <w:gridCol w:w="590"/>
        <w:gridCol w:w="60"/>
        <w:gridCol w:w="60"/>
        <w:gridCol w:w="152"/>
        <w:gridCol w:w="723"/>
        <w:gridCol w:w="60"/>
        <w:gridCol w:w="60"/>
        <w:gridCol w:w="125"/>
        <w:gridCol w:w="590"/>
        <w:gridCol w:w="60"/>
        <w:gridCol w:w="60"/>
        <w:gridCol w:w="125"/>
        <w:gridCol w:w="590"/>
        <w:gridCol w:w="6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1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6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4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 (1)</w:t>
            </w:r>
          </w:p>
        </w:tc>
        <w:tc>
          <w:tcPr>
            <w:tcW w:w="6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50,036</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Leather Imports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Wood</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10,866</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Casegoods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9,399</w:t>
            </w:r>
          </w:p>
        </w:tc>
        <w:tc>
          <w:tcPr>
            <w:tcW w:w="6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Accessories, mattresses and other (2)</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7,515</w:t>
            </w:r>
          </w:p>
        </w:tc>
        <w:tc>
          <w:tcPr>
            <w:tcW w:w="6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 of furniture and accessories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hanging="280"/>
        <w:jc w:val="both"/>
        <w:rPr>
          <w:rFonts w:ascii="Times New Roman" w:hAnsi="Times New Roman"/>
          <w:caps w:val="false"/>
          <w:smallCaps w:val="false"/>
          <w:sz w:val="20"/>
        </w:rPr>
      </w:pPr>
      <w:r>
        <w:rPr>
          <w:rFonts w:ascii="Times New Roman" w:hAnsi="Times New Roman"/>
          <w:caps w:val="false"/>
          <w:smallCaps w:val="false"/>
          <w:sz w:val="20"/>
        </w:rPr>
        <w:t>(1) Certain amounts within each category have been reclassified to conform to the 2026 presentation.</w:t>
      </w:r>
    </w:p>
    <w:p>
      <w:pPr>
        <w:pStyle w:val="TextBody"/>
        <w:bidi w:val="0"/>
        <w:spacing w:before="0" w:after="0"/>
        <w:ind w:left="280" w:right="0" w:hanging="280"/>
        <w:jc w:val="both"/>
        <w:rPr>
          <w:rFonts w:ascii="Times New Roman" w:hAnsi="Times New Roman"/>
          <w:caps w:val="false"/>
          <w:smallCaps w:val="false"/>
          <w:sz w:val="20"/>
        </w:rPr>
      </w:pPr>
      <w:r>
        <w:rPr>
          <w:rFonts w:ascii="Times New Roman" w:hAnsi="Times New Roman"/>
          <w:caps w:val="false"/>
          <w:smallCaps w:val="false"/>
          <w:sz w:val="20"/>
        </w:rPr>
        <w:t>(2) Includes the sale of goods other than Bassett-branded products, such as accessories and bedding, and also includes the sale of furniture protection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14. Changes to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changes in our stockholders’ equity occurred during the three months ended February 28, 2026 and March 1, 2025:</w:t>
      </w:r>
    </w:p>
    <w:p>
      <w:pPr>
        <w:pStyle w:val="TextBody"/>
        <w:bidi w:val="0"/>
        <w:spacing w:before="0" w:after="0"/>
        <w:ind w:left="0" w:right="0" w:hanging="0"/>
        <w:jc w:val="left"/>
        <w:rPr>
          <w:caps w:val="false"/>
          <w:smallCaps w:val="false"/>
        </w:rPr>
      </w:pPr>
      <w:r>
        <w:rPr>
          <w:caps w:val="false"/>
          <w:smallCaps w:val="false"/>
        </w:rPr>
        <w:t> </w:t>
      </w:r>
    </w:p>
    <w:tbl>
      <w:tblPr>
        <w:tblW w:w="6893" w:type="dxa"/>
        <w:jc w:val="left"/>
        <w:tblInd w:w="0" w:type="dxa"/>
        <w:tblLayout w:type="fixed"/>
        <w:tblCellMar>
          <w:top w:w="0" w:type="dxa"/>
          <w:left w:w="0" w:type="dxa"/>
          <w:bottom w:w="0" w:type="dxa"/>
          <w:right w:w="0" w:type="dxa"/>
        </w:tblCellMar>
      </w:tblPr>
      <w:tblGrid>
        <w:gridCol w:w="3770"/>
        <w:gridCol w:w="60"/>
        <w:gridCol w:w="205"/>
        <w:gridCol w:w="1389"/>
        <w:gridCol w:w="80"/>
        <w:gridCol w:w="60"/>
        <w:gridCol w:w="161"/>
        <w:gridCol w:w="1088"/>
        <w:gridCol w:w="8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 Ended</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1, 2025</w:t>
            </w:r>
          </w:p>
        </w:tc>
        <w:tc>
          <w:tcPr>
            <w:tcW w:w="80"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43,681</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43,462</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Shares Issued and Outstanding:</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8,651,054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8,736,046</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15,735</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8,649,567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8,692,134</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122,847</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for the period</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and paid</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122,556</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pension costs, net of tax</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3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NOTES TO CONDENSED CONSOLIDATED FINANCIAL STATEMENTS-UNAUDITED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 Recent Accounting Pronouncements</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November 29, 2025, we adopted Accounting Standards Update 2023-07 – Segment Reporting (Topic ASC 740) Improvements to Reportable Segment Disclosures. The ASU improves reportable segment disclosure requirements, primarily through enhanced disclosures about significant segment expenses. The amendments in this update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and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The enhanced disclosures required by ASU 2023-07 are reflected in our segment disclosures in Note 12. The adoption of this guidance related solely to disclosures and did not have an impact upon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2023-09 become effective for us as of the end of our 2026 fiscal year. We are still assessing the impact of this guidance on our disclosures and plan to adopt ASU 2023-09 for our financial statements for the year ending November 28, 2026.</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Accounting Standards Update 2024-03 – Income Statement – Reporting Comprehensive Income – Expense Disaggregation Disclosures (Subtopic ASC 220-40) Disaggregation of Income Statement Expenses. The amendments in this ASU require a public business entity to disclose specific information about certain costs and expenses in the notes to its financial statements for interim and annual reporting periods. The objective of the disclosure requirements is to provide disaggregated information about a public business entity's expenses to help investors (a) better understand the entity's performance, (b) better assess the entity's prospects for future cash flows, and (c) compare an entity's performance over time and with that of other entities. The amendments in ASU 2024-03 will become effective for us for our 2028 fiscal year and for interim periods beginning with our 2029 fiscal year. Early adoption is permitted. We do not expect that this guidance will have a material impact upon our financial position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2. 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Safe-harbor,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aims</w:t>
      </w:r>
      <w:r>
        <w:rPr>
          <w:rFonts w:ascii="Times New Roman" w:hAnsi="Times New Roman"/>
          <w:caps w:val="false"/>
          <w:smallCaps w:val="false"/>
          <w:sz w:val="20"/>
        </w:rPr>
        <w:t>” and “</w:t>
      </w:r>
      <w:r>
        <w:rPr>
          <w:rFonts w:ascii="Times New Roman" w:hAnsi="Times New Roman"/>
          <w:i/>
          <w:caps w:val="false"/>
          <w:smallCaps w:val="false"/>
          <w:sz w:val="20"/>
        </w:rPr>
        <w:t>intends</w:t>
      </w:r>
      <w:r>
        <w:rPr>
          <w:rFonts w:ascii="Times New Roman" w:hAnsi="Times New Roman"/>
          <w:caps w:val="false"/>
          <w:smallCaps w:val="false"/>
          <w:sz w:val="20"/>
        </w:rPr>
        <w:t>” or words or phrases of similar expression. These forward-looking statements involve certain risks and uncertainties. No assurance can be given that any such matters will be realized. Important factors that could cause actual results to differ materially from those contemplated by such forward-looking statements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fluctuations in the cost and availability of raw materials, fuel, labor, delivery costs and sourced products, including those which may result from supply chain disruptions and shortages and the imposition of new or increased tariffs, retaliatory tariffs, duties and trade limitations with respect to foreign-sourced products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ind w:left="0" w:right="0" w:hanging="0"/>
              <w:jc w:val="both"/>
              <w:rPr/>
            </w:pPr>
            <w:r>
              <w:rPr/>
              <w:t>•</w:t>
            </w:r>
          </w:p>
        </w:tc>
        <w:tc>
          <w:tcPr>
            <w:tcW w:w="45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competitive conditions in the home furnishings industry</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10"/>
        <w:gridCol w:w="7685"/>
      </w:tblGrid>
      <w:tr>
        <w:trPr/>
        <w:tc>
          <w:tcPr>
            <w:tcW w:w="110" w:type="dxa"/>
            <w:tcBorders/>
            <w:vAlign w:val="center"/>
          </w:tcPr>
          <w:p>
            <w:pPr>
              <w:pStyle w:val="TableContents"/>
              <w:bidi w:val="0"/>
              <w:spacing w:before="0" w:after="0"/>
              <w:ind w:left="0" w:right="0" w:hanging="0"/>
              <w:jc w:val="both"/>
              <w:rPr/>
            </w:pPr>
            <w:r>
              <w:rPr/>
              <w:t>•</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overall retail traffic levels in stores and on the web and consumer demand for home furnishings</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ind w:left="0" w:right="0" w:hanging="0"/>
              <w:jc w:val="both"/>
              <w:rPr/>
            </w:pPr>
            <w:r>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of our customers and consumers to obtain affordable credit due to increased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profitability of the stores (independent licensees and Company-owned retail stores) which may result in future store closings</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ind w:left="0" w:right="0" w:hanging="0"/>
              <w:jc w:val="both"/>
              <w:rPr/>
            </w:pPr>
            <w:r>
              <w:rPr/>
              <w:t>•</w:t>
            </w:r>
          </w:p>
        </w:tc>
        <w:tc>
          <w:tcPr>
            <w:tcW w:w="9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risk of additional asset impairment charges arising from the ongoing efforts to consolidate our retail warehouses.</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ind w:left="0" w:right="0" w:hanging="0"/>
              <w:jc w:val="both"/>
              <w:rPr/>
            </w:pPr>
            <w:r>
              <w:rPr/>
              <w:t>•</w:t>
            </w:r>
          </w:p>
        </w:tc>
        <w:tc>
          <w:tcPr>
            <w:tcW w:w="8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to implement our Company-owned retail strategies and realize the benefits from such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effectiveness and security of our information technology systems and possible disruptions due to cybersecurity threats, including any impacts from a network security incident; and the sufficiency of our insurance coverage, including cybersecurity insurance</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10"/>
        <w:gridCol w:w="4535"/>
      </w:tblGrid>
      <w:tr>
        <w:trPr/>
        <w:tc>
          <w:tcPr>
            <w:tcW w:w="110" w:type="dxa"/>
            <w:tcBorders/>
            <w:vAlign w:val="center"/>
          </w:tcPr>
          <w:p>
            <w:pPr>
              <w:pStyle w:val="TableContents"/>
              <w:bidi w:val="0"/>
              <w:spacing w:before="0" w:after="0"/>
              <w:ind w:left="0" w:right="0" w:hanging="0"/>
              <w:jc w:val="both"/>
              <w:rPr/>
            </w:pPr>
            <w:r>
              <w:rPr/>
              <w:t>•</w:t>
            </w:r>
          </w:p>
        </w:tc>
        <w:tc>
          <w:tcPr>
            <w:tcW w:w="45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tax legislation, or regulatory or judicial positions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ind w:left="0" w:right="0" w:hanging="0"/>
              <w:jc w:val="both"/>
              <w:rPr/>
            </w:pPr>
            <w:r>
              <w:rPr/>
              <w:t>•</w:t>
            </w:r>
          </w:p>
        </w:tc>
        <w:tc>
          <w:tcPr>
            <w:tcW w:w="70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ability to efficiently manage the import supply chain to minimize business interruption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both"/>
              <w:rPr/>
            </w:pPr>
            <w:r>
              <w:rPr/>
              <w:t>•</w:t>
            </w:r>
          </w:p>
        </w:tc>
        <w:tc>
          <w:tcPr>
            <w:tcW w:w="100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concentration of domestic manufacturing, particularly of upholstery products, and the resulting exposure to business interruption from accidents, weather and other events and circumstances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other risks that could cause actual results to differ materially from those contemplated by such forward-looking statements are set forth in Part I, Item 1A. Risk Factors in the Company’s Annual Report on Form 10-K for the fiscal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keep in mind that any forward-looking statement made by us in this report or elsewhere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discussion after the date hereof, except as may be required by law. In light of these risks and uncertainties, you should keep in mind that the events described in any forward-looking statement made in this report or elsewhere might not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is a leading retailer, manufacturer and marketer of branded home furnishings. We were founded in 1902 and incorporated under the laws of Virginia in 1930. Our rich 124-year history has instilled the principles of quality, value, and integrity in everything we do, while simultaneously providing us with the expertise to respond to ever-changing consumer tastes and meet the demands of a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Approximately 60% of our wholesale sales arise from our network of 86 Company-owned and licensee-owned Bassett Home Furnishings (“BHF”) stores. Our store program is designed to provide a single source home furnishings retail store with a unique combination of stylish, quality furniture and accessories with a high level of customer service. The stores highlight our custom furniture design and manufacturing capabilities,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through a network of over 30 independent sales representatives who have stated geographical territories. These sales representatives are compensated based on a standard commission rate. The Lane Venture outdoor brand was recently introduced in the Bassett Home Furnishings stores representing a new outlet for that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our website to be the front door to our brand experience where customers can research our furniture and accessory offerings and subsequently buy online or engage with an in-store design consultant. We know that we are driving a significant percentage of the retail foot traffic to our store network and our open market customers through engagement with www.bassettfurniture.com. Digital outreach strategies have been the primary vehicle for brand advertising and customer acquisition. We began supplementing the digital outreach strategy with added direct mail and television late in 2024 and expect to continue with a balanced blend of both digital and traditional direct mail and television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introduced a new web platform late in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Building on the 25% increase in web sales for fiscal 2025, written sales orders for the web increased 28% for the quarter while delivered sales increased 46%. Although e-commerce sales continue to be small relative to in-store sales, we will continue to invest in ongoing improvements to the aesthetics and user experience on our website while not compromising on our in-store experience or the quality of our in-home makeover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factories in Newton, North Carolina that manufacture both stationary and motion upholstered furniture for inside the home along with our outdoor furniture offerings. We have a factory in Martinsville, Virginia that assembles and finishes our custom bedroom and dining offerings. We also have a facility in Haleyville, Alabama where we manufacture aluminum frames for our outdoor furniture.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furniture that we manufacture domestically, we source most of our formal bedroom and dining room furniture (casegoods) and certain leather upholstery offerings from several foreign plants, primarily in Vietnam. Over 75% of our wholesale revenues are derived from products that are manufactured in the United States using a mix of domestic and globally sourced components and raw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caps w:val="false"/>
          <w:smallCaps w:val="false"/>
          <w:sz w:val="20"/>
        </w:rPr>
        <w:t>Period ended February 28, 2026 compared with the period ended March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results of operations for the three months ended February 28, 2026 and March 1, 2025 are as follows:</w:t>
      </w:r>
    </w:p>
    <w:p>
      <w:pPr>
        <w:pStyle w:val="TextBody"/>
        <w:bidi w:val="0"/>
        <w:spacing w:before="0" w:after="0"/>
        <w:ind w:left="0" w:right="0" w:hanging="0"/>
        <w:jc w:val="left"/>
        <w:rPr>
          <w:caps w:val="false"/>
          <w:smallCaps w:val="false"/>
        </w:rPr>
      </w:pPr>
      <w:r>
        <w:rPr>
          <w:caps w:val="false"/>
          <w:smallCaps w:val="false"/>
        </w:rPr>
        <w:t> </w:t>
      </w:r>
    </w:p>
    <w:tbl>
      <w:tblPr>
        <w:tblW w:w="8082" w:type="dxa"/>
        <w:jc w:val="left"/>
        <w:tblInd w:w="0" w:type="dxa"/>
        <w:tblLayout w:type="fixed"/>
        <w:tblCellMar>
          <w:top w:w="0" w:type="dxa"/>
          <w:left w:w="0" w:type="dxa"/>
          <w:bottom w:w="0" w:type="dxa"/>
          <w:right w:w="0" w:type="dxa"/>
        </w:tblCellMar>
      </w:tblPr>
      <w:tblGrid>
        <w:gridCol w:w="3035"/>
        <w:gridCol w:w="60"/>
        <w:gridCol w:w="136"/>
        <w:gridCol w:w="643"/>
        <w:gridCol w:w="65"/>
        <w:gridCol w:w="65"/>
        <w:gridCol w:w="65"/>
        <w:gridCol w:w="528"/>
        <w:gridCol w:w="185"/>
        <w:gridCol w:w="60"/>
        <w:gridCol w:w="125"/>
        <w:gridCol w:w="590"/>
        <w:gridCol w:w="60"/>
        <w:gridCol w:w="60"/>
        <w:gridCol w:w="60"/>
        <w:gridCol w:w="485"/>
        <w:gridCol w:w="185"/>
        <w:gridCol w:w="60"/>
        <w:gridCol w:w="125"/>
        <w:gridCol w:w="545"/>
        <w:gridCol w:w="80"/>
        <w:gridCol w:w="60"/>
        <w:gridCol w:w="68"/>
        <w:gridCol w:w="552"/>
        <w:gridCol w:w="18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2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of furniture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furniture and accessories sold</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 pre-opening costs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Analysis of Quarterly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sales revenue for the three months ended February 28, 2026 decreased $1,822 or 2.2% from the prior year period primarily due to the impact of widespread winter weather disruptions in late January on store operations and retail and wholesale logistics. This consisted of a $749 or 1.4% decrease in retail sales from our Company-owned stores and a $1,073 or 3.7% decrease in sales to external wholesale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margins for the three months ended February 28, 2026 decreased 80 basis points from the prior year period primarily due to lower margins in both the wholesale and retail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(excluding new store pre-opening costs) as a percentage of sales for the three months ended February 28, 2026 increased 70 basis points from 2025 reflecting reduced leverage of fixed costs due to lower sales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the following discussions of quarterly results by segment for additional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strategically aligned our business into two reportable segments as defined in ASC 280, </w:t>
      </w:r>
      <w:r>
        <w:rPr>
          <w:rFonts w:ascii="Times New Roman" w:hAnsi="Times New Roman"/>
          <w:i/>
          <w:caps w:val="false"/>
          <w:smallCaps w:val="false"/>
          <w:sz w:val="20"/>
        </w:rPr>
        <w:t>Segment Reporting</w:t>
      </w:r>
      <w:r>
        <w:rPr>
          <w:rFonts w:ascii="Times New Roman" w:hAnsi="Times New Roman"/>
          <w:caps w:val="false"/>
          <w:smallCaps w:val="false"/>
          <w:sz w:val="20"/>
        </w:rPr>
        <w:t>, and as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Wholesale. </w:t>
            </w:r>
            <w:r>
              <w:rPr>
                <w:rFonts w:ascii="Times New Roman;Times;serif" w:hAnsi="Times New Roman;Times;serif"/>
                <w:caps w:val="false"/>
                <w:smallCaps w:val="false"/>
                <w:sz w:val="20"/>
              </w:rPr>
              <w:t>The wholesale home furnishings segment is involved principally in the design, manufacture, sourcing, sale and distribution of furniture products to a network of Bassett stores (Company-owned and licensee-owned retail stores) and independent furniture retailers. Our wholesale segment includes our wood and upholstery operations, which includes Lane Venture.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Retail </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Company-owned stores. </w:t>
            </w:r>
            <w:r>
              <w:rPr>
                <w:rFonts w:ascii="Times New Roman;Times;serif" w:hAnsi="Times New Roman;Times;serif"/>
                <w:caps w:val="false"/>
                <w:smallCaps w:val="false"/>
                <w:sz w:val="20"/>
              </w:rPr>
              <w:t>Our retail segment consists of Company-owned stores and includes the revenues, expenses, assets and liabilities and capital expenditures directly related to these stores and the Company-owned distribution network utilized to deliver products to our retail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described above, we include our remaining business activities and assets in a reconciling category known as Corporate and other. This category includes the shared costs of corporate functions such as treasury and 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any of our operating segments that do not meet the requirements to be reportable segments. As of and for the three months ended February 28, 2026 and March 1, 2025, Corporate and other included no other operating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Reconciliation of Segment Results to Consolidated Income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as well as non-operating income and expenses are included in consolidated income (loss) before income taxes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2"/>
        <w:gridCol w:w="60"/>
        <w:gridCol w:w="152"/>
        <w:gridCol w:w="723"/>
        <w:gridCol w:w="60"/>
        <w:gridCol w:w="60"/>
        <w:gridCol w:w="125"/>
        <w:gridCol w:w="590"/>
        <w:gridCol w:w="80"/>
        <w:gridCol w:w="60"/>
        <w:gridCol w:w="175"/>
        <w:gridCol w:w="770"/>
        <w:gridCol w:w="80"/>
        <w:gridCol w:w="60"/>
        <w:gridCol w:w="172"/>
        <w:gridCol w:w="898"/>
        <w:gridCol w:w="80"/>
        <w:gridCol w:w="247"/>
        <w:gridCol w:w="378"/>
        <w:gridCol w:w="242"/>
        <w:gridCol w:w="60"/>
        <w:gridCol w:w="60"/>
        <w:gridCol w:w="296"/>
        <w:gridCol w:w="939"/>
        <w:gridCol w:w="80"/>
        <w:gridCol w:w="60"/>
        <w:gridCol w:w="272"/>
        <w:gridCol w:w="1120"/>
        <w:gridCol w:w="84"/>
      </w:tblGrid>
      <w:tr>
        <w:trPr/>
        <w:tc>
          <w:tcPr>
            <w:tcW w:w="2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9"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 February 28, 2026</w:t>
            </w:r>
          </w:p>
        </w:tc>
        <w:tc>
          <w:tcPr>
            <w:tcW w:w="84" w:type="dxa"/>
            <w:tcBorders/>
            <w:vAlign w:val="center"/>
          </w:tcPr>
          <w:p>
            <w:pPr>
              <w:pStyle w:val="TableContents"/>
              <w:bidi w:val="0"/>
              <w:spacing w:before="0" w:after="283"/>
              <w:jc w:val="left"/>
              <w:rPr/>
            </w:pPr>
            <w:r>
              <w:rPr/>
              <w:t> </w:t>
            </w:r>
          </w:p>
        </w:tc>
      </w:tr>
      <w:tr>
        <w:trPr/>
        <w:tc>
          <w:tcPr>
            <w:tcW w:w="2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GAAP Presentation</w:t>
            </w:r>
          </w:p>
        </w:tc>
        <w:tc>
          <w:tcPr>
            <w:tcW w:w="84" w:type="dxa"/>
            <w:tcBorders/>
            <w:vAlign w:val="center"/>
          </w:tcPr>
          <w:p>
            <w:pPr>
              <w:pStyle w:val="TableContents"/>
              <w:bidi w:val="0"/>
              <w:spacing w:before="0" w:after="283"/>
              <w:jc w:val="left"/>
              <w:rPr/>
            </w:pPr>
            <w:r>
              <w:rPr/>
              <w:t> </w:t>
            </w:r>
          </w:p>
        </w:tc>
      </w:tr>
      <w:tr>
        <w:trPr/>
        <w:tc>
          <w:tcPr>
            <w:tcW w:w="2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4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Special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4" w:type="dxa"/>
            <w:tcBorders/>
            <w:vAlign w:val="center"/>
          </w:tcPr>
          <w:p>
            <w:pPr>
              <w:pStyle w:val="TableContents"/>
              <w:bidi w:val="0"/>
              <w:spacing w:before="0" w:after="283"/>
              <w:jc w:val="left"/>
              <w:rPr/>
            </w:pPr>
            <w:r>
              <w:rPr/>
              <w:t> </w:t>
            </w:r>
          </w:p>
        </w:tc>
      </w:tr>
      <w:tr>
        <w:trPr/>
        <w:tc>
          <w:tcPr>
            <w:tcW w:w="2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22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of furniture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80,340</w:t>
            </w:r>
          </w:p>
        </w:tc>
        <w:tc>
          <w:tcPr>
            <w:tcW w:w="84" w:type="dxa"/>
            <w:tcBorders/>
            <w:shd w:fill="CCEEFF" w:val="clear"/>
            <w:vAlign w:val="center"/>
          </w:tcPr>
          <w:p>
            <w:pPr>
              <w:pStyle w:val="TableContents"/>
              <w:bidi w:val="0"/>
              <w:spacing w:before="0" w:after="283"/>
              <w:jc w:val="left"/>
              <w:rPr/>
            </w:pPr>
            <w:r>
              <w:rPr/>
              <w:t> </w:t>
            </w:r>
          </w:p>
        </w:tc>
      </w:tr>
      <w:tr>
        <w:trPr/>
        <w:tc>
          <w:tcPr>
            <w:tcW w:w="22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furniture and accessories sold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35,175</w:t>
            </w:r>
          </w:p>
        </w:tc>
        <w:tc>
          <w:tcPr>
            <w:tcW w:w="84" w:type="dxa"/>
            <w:tcBorders/>
            <w:shd w:fill="FFFFFF" w:val="clear"/>
            <w:vAlign w:val="center"/>
          </w:tcPr>
          <w:p>
            <w:pPr>
              <w:pStyle w:val="TableContents"/>
              <w:bidi w:val="0"/>
              <w:spacing w:before="0" w:after="283"/>
              <w:jc w:val="left"/>
              <w:rPr/>
            </w:pPr>
            <w:r>
              <w:rPr/>
              <w:t> </w:t>
            </w:r>
          </w:p>
        </w:tc>
      </w:tr>
      <w:tr>
        <w:trPr/>
        <w:tc>
          <w:tcPr>
            <w:tcW w:w="22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45,165</w:t>
            </w:r>
          </w:p>
        </w:tc>
        <w:tc>
          <w:tcPr>
            <w:tcW w:w="84" w:type="dxa"/>
            <w:tcBorders/>
            <w:shd w:fill="CCEEFF" w:val="clear"/>
            <w:vAlign w:val="center"/>
          </w:tcPr>
          <w:p>
            <w:pPr>
              <w:pStyle w:val="TableContents"/>
              <w:bidi w:val="0"/>
              <w:spacing w:before="0" w:after="283"/>
              <w:jc w:val="left"/>
              <w:rPr/>
            </w:pPr>
            <w:r>
              <w:rPr/>
              <w:t> </w:t>
            </w:r>
          </w:p>
        </w:tc>
      </w:tr>
      <w:tr>
        <w:trPr/>
        <w:tc>
          <w:tcPr>
            <w:tcW w:w="22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w:t>
            </w:r>
          </w:p>
        </w:tc>
        <w:tc>
          <w:tcPr>
            <w:tcW w:w="378"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43,913</w:t>
            </w:r>
          </w:p>
        </w:tc>
        <w:tc>
          <w:tcPr>
            <w:tcW w:w="84" w:type="dxa"/>
            <w:tcBorders/>
            <w:shd w:fill="FFFFFF" w:val="clear"/>
            <w:vAlign w:val="center"/>
          </w:tcPr>
          <w:p>
            <w:pPr>
              <w:pStyle w:val="TableContents"/>
              <w:bidi w:val="0"/>
              <w:spacing w:before="0" w:after="283"/>
              <w:jc w:val="left"/>
              <w:rPr/>
            </w:pPr>
            <w:r>
              <w:rPr/>
              <w:t> </w:t>
            </w:r>
          </w:p>
        </w:tc>
      </w:tr>
      <w:tr>
        <w:trPr/>
        <w:tc>
          <w:tcPr>
            <w:tcW w:w="22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 pre-opening costs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4" w:type="dxa"/>
            <w:tcBorders/>
            <w:shd w:fill="CCEEFF" w:val="clear"/>
            <w:vAlign w:val="center"/>
          </w:tcPr>
          <w:p>
            <w:pPr>
              <w:pStyle w:val="TableContents"/>
              <w:bidi w:val="0"/>
              <w:spacing w:before="0" w:after="283"/>
              <w:jc w:val="left"/>
              <w:rPr/>
            </w:pPr>
            <w:r>
              <w:rPr/>
              <w:t> </w:t>
            </w:r>
          </w:p>
        </w:tc>
      </w:tr>
      <w:tr>
        <w:trPr/>
        <w:tc>
          <w:tcPr>
            <w:tcW w:w="22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7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1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4" w:type="dxa"/>
            <w:tcBorders/>
            <w:shd w:fill="FFFFFF" w:val="clear"/>
            <w:vAlign w:val="center"/>
          </w:tcPr>
          <w:p>
            <w:pPr>
              <w:pStyle w:val="TableContents"/>
              <w:bidi w:val="0"/>
              <w:spacing w:before="0" w:after="283"/>
              <w:jc w:val="left"/>
              <w:rPr/>
            </w:pPr>
            <w:r>
              <w:rPr/>
              <w:t> </w:t>
            </w:r>
          </w:p>
        </w:tc>
      </w:tr>
      <w:tr>
        <w:trPr/>
        <w:tc>
          <w:tcPr>
            <w:tcW w:w="22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7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1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4" w:type="dxa"/>
            <w:tcBorders/>
            <w:shd w:fill="CCEEFF" w:val="clear"/>
            <w:vAlign w:val="center"/>
          </w:tcPr>
          <w:p>
            <w:pPr>
              <w:pStyle w:val="TableContents"/>
              <w:bidi w:val="0"/>
              <w:spacing w:before="0" w:after="283"/>
              <w:jc w:val="left"/>
              <w:rPr/>
            </w:pPr>
            <w:r>
              <w:rPr/>
              <w:t> </w:t>
            </w:r>
          </w:p>
        </w:tc>
      </w:tr>
      <w:tr>
        <w:trPr/>
        <w:tc>
          <w:tcPr>
            <w:tcW w:w="22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13"/>
        <w:gridCol w:w="60"/>
        <w:gridCol w:w="152"/>
        <w:gridCol w:w="723"/>
        <w:gridCol w:w="60"/>
        <w:gridCol w:w="60"/>
        <w:gridCol w:w="125"/>
        <w:gridCol w:w="590"/>
        <w:gridCol w:w="80"/>
        <w:gridCol w:w="60"/>
        <w:gridCol w:w="176"/>
        <w:gridCol w:w="772"/>
        <w:gridCol w:w="80"/>
        <w:gridCol w:w="60"/>
        <w:gridCol w:w="172"/>
        <w:gridCol w:w="898"/>
        <w:gridCol w:w="80"/>
        <w:gridCol w:w="249"/>
        <w:gridCol w:w="378"/>
        <w:gridCol w:w="242"/>
        <w:gridCol w:w="60"/>
        <w:gridCol w:w="60"/>
        <w:gridCol w:w="296"/>
        <w:gridCol w:w="939"/>
        <w:gridCol w:w="80"/>
        <w:gridCol w:w="60"/>
        <w:gridCol w:w="272"/>
        <w:gridCol w:w="1126"/>
        <w:gridCol w:w="82"/>
      </w:tblGrid>
      <w:tr>
        <w:trPr/>
        <w:tc>
          <w:tcPr>
            <w:tcW w:w="2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0"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 March 1, 2025</w:t>
            </w:r>
          </w:p>
        </w:tc>
        <w:tc>
          <w:tcPr>
            <w:tcW w:w="82" w:type="dxa"/>
            <w:tcBorders/>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9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Non-GAAP Presentation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GAAP Presentation</w:t>
            </w:r>
          </w:p>
        </w:tc>
        <w:tc>
          <w:tcPr>
            <w:tcW w:w="82" w:type="dxa"/>
            <w:tcBorders/>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&amp;</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Eliminations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24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Special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Items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Non-Operating</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82" w:type="dxa"/>
            <w:tcBorders/>
            <w:vAlign w:val="center"/>
          </w:tcPr>
          <w:p>
            <w:pPr>
              <w:pStyle w:val="TableContents"/>
              <w:bidi w:val="0"/>
              <w:spacing w:before="0" w:after="283"/>
              <w:jc w:val="left"/>
              <w:rPr/>
            </w:pPr>
            <w:r>
              <w:rPr/>
              <w:t> </w:t>
            </w:r>
          </w:p>
        </w:tc>
      </w:tr>
      <w:tr>
        <w:trPr/>
        <w:tc>
          <w:tcPr>
            <w:tcW w:w="2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of furniture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 </w:t>
            </w:r>
          </w:p>
        </w:tc>
        <w:tc>
          <w:tcPr>
            <w:tcW w:w="3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82,162</w:t>
            </w:r>
          </w:p>
        </w:tc>
        <w:tc>
          <w:tcPr>
            <w:tcW w:w="82" w:type="dxa"/>
            <w:tcBorders/>
            <w:shd w:fill="CCEEFF" w:val="clear"/>
            <w:vAlign w:val="center"/>
          </w:tcPr>
          <w:p>
            <w:pPr>
              <w:pStyle w:val="TableContents"/>
              <w:bidi w:val="0"/>
              <w:spacing w:before="0" w:after="283"/>
              <w:jc w:val="left"/>
              <w:rPr/>
            </w:pPr>
            <w:r>
              <w:rPr/>
              <w:t> </w:t>
            </w:r>
          </w:p>
        </w:tc>
      </w:tr>
      <w:tr>
        <w:trPr/>
        <w:tc>
          <w:tcPr>
            <w:tcW w:w="22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furniture and accessories sold</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35,332</w:t>
            </w:r>
          </w:p>
        </w:tc>
        <w:tc>
          <w:tcPr>
            <w:tcW w:w="82" w:type="dxa"/>
            <w:tcBorders/>
            <w:shd w:fill="FFFFFF" w:val="clear"/>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9"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46,830</w:t>
            </w:r>
          </w:p>
        </w:tc>
        <w:tc>
          <w:tcPr>
            <w:tcW w:w="82" w:type="dxa"/>
            <w:tcBorders/>
            <w:shd w:fill="CCEEFF" w:val="clear"/>
            <w:vAlign w:val="center"/>
          </w:tcPr>
          <w:p>
            <w:pPr>
              <w:pStyle w:val="TableContents"/>
              <w:bidi w:val="0"/>
              <w:spacing w:before="0" w:after="283"/>
              <w:jc w:val="left"/>
              <w:rPr/>
            </w:pPr>
            <w:r>
              <w:rPr/>
              <w:t> </w:t>
            </w:r>
          </w:p>
        </w:tc>
      </w:tr>
      <w:tr>
        <w:trPr/>
        <w:tc>
          <w:tcPr>
            <w:tcW w:w="22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4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w:t>
            </w:r>
          </w:p>
        </w:tc>
        <w:tc>
          <w:tcPr>
            <w:tcW w:w="3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44,375</w:t>
            </w:r>
          </w:p>
        </w:tc>
        <w:tc>
          <w:tcPr>
            <w:tcW w:w="82" w:type="dxa"/>
            <w:tcBorders/>
            <w:shd w:fill="FFFFFF" w:val="clear"/>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ind w:left="0" w:right="0" w:hanging="0"/>
              <w:jc w:val="left"/>
              <w:rPr/>
            </w:pPr>
            <w:r>
              <w:rPr/>
              <w:t> </w:t>
            </w:r>
          </w:p>
        </w:tc>
        <w:tc>
          <w:tcPr>
            <w:tcW w:w="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82" w:type="dxa"/>
            <w:tcBorders/>
            <w:shd w:fill="CCEEFF" w:val="clear"/>
            <w:vAlign w:val="center"/>
          </w:tcPr>
          <w:p>
            <w:pPr>
              <w:pStyle w:val="TableContents"/>
              <w:bidi w:val="0"/>
              <w:spacing w:before="0" w:after="283"/>
              <w:jc w:val="left"/>
              <w:rPr/>
            </w:pPr>
            <w:r>
              <w:rPr/>
              <w:t> </w:t>
            </w:r>
          </w:p>
        </w:tc>
      </w:tr>
      <w:tr>
        <w:trPr/>
        <w:tc>
          <w:tcPr>
            <w:tcW w:w="22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82" w:type="dxa"/>
            <w:tcBorders/>
            <w:shd w:fill="FFFFFF" w:val="clear"/>
            <w:vAlign w:val="center"/>
          </w:tcPr>
          <w:p>
            <w:pPr>
              <w:pStyle w:val="TableContents"/>
              <w:bidi w:val="0"/>
              <w:spacing w:before="0" w:after="283"/>
              <w:jc w:val="left"/>
              <w:rPr/>
            </w:pPr>
            <w:r>
              <w:rPr/>
              <w:t> </w:t>
            </w:r>
          </w:p>
        </w:tc>
      </w:tr>
      <w:tr>
        <w:trPr/>
        <w:tc>
          <w:tcPr>
            <w:tcW w:w="221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2,555</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 to segment consolidation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elimination of sales from our wholesale segment to our Company-owned BHF stores.</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elimination of purchases by our Company-owned BHF stores from our wholesale segment, as well as the change for the period in the elimination of intercompany profit in ending retail inventory.</w:t>
            </w:r>
          </w:p>
        </w:tc>
      </w:tr>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elimination of rent paid by our retail stores occupying Company-owned real estate.</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Wholesale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for the wholesale segment for the three months ended February 28, 2026 and March 1, 2025 are as follows:</w:t>
      </w:r>
    </w:p>
    <w:p>
      <w:pPr>
        <w:pStyle w:val="TextBody"/>
        <w:bidi w:val="0"/>
        <w:spacing w:before="0" w:after="0"/>
        <w:ind w:left="0" w:right="0" w:hanging="0"/>
        <w:jc w:val="left"/>
        <w:rPr>
          <w:caps w:val="false"/>
          <w:smallCaps w:val="false"/>
        </w:rPr>
      </w:pPr>
      <w:r>
        <w:rPr>
          <w:caps w:val="false"/>
          <w:smallCaps w:val="false"/>
        </w:rPr>
        <w:t> </w:t>
      </w:r>
    </w:p>
    <w:tbl>
      <w:tblPr>
        <w:tblW w:w="6922" w:type="dxa"/>
        <w:jc w:val="left"/>
        <w:tblInd w:w="0" w:type="dxa"/>
        <w:tblLayout w:type="fixed"/>
        <w:tblCellMar>
          <w:top w:w="0" w:type="dxa"/>
          <w:left w:w="0" w:type="dxa"/>
          <w:bottom w:w="0" w:type="dxa"/>
          <w:right w:w="0" w:type="dxa"/>
        </w:tblCellMar>
      </w:tblPr>
      <w:tblGrid>
        <w:gridCol w:w="1940"/>
        <w:gridCol w:w="60"/>
        <w:gridCol w:w="136"/>
        <w:gridCol w:w="643"/>
        <w:gridCol w:w="65"/>
        <w:gridCol w:w="65"/>
        <w:gridCol w:w="65"/>
        <w:gridCol w:w="528"/>
        <w:gridCol w:w="185"/>
        <w:gridCol w:w="60"/>
        <w:gridCol w:w="125"/>
        <w:gridCol w:w="590"/>
        <w:gridCol w:w="60"/>
        <w:gridCol w:w="60"/>
        <w:gridCol w:w="60"/>
        <w:gridCol w:w="485"/>
        <w:gridCol w:w="185"/>
        <w:gridCol w:w="60"/>
        <w:gridCol w:w="145"/>
        <w:gridCol w:w="460"/>
        <w:gridCol w:w="80"/>
        <w:gridCol w:w="60"/>
        <w:gridCol w:w="94"/>
        <w:gridCol w:w="526"/>
        <w:gridCol w:w="185"/>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2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52,961</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(1)</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8,395</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Wholesale sales by major product category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4"/>
        <w:gridCol w:w="60"/>
        <w:gridCol w:w="125"/>
        <w:gridCol w:w="590"/>
        <w:gridCol w:w="60"/>
        <w:gridCol w:w="60"/>
        <w:gridCol w:w="200"/>
        <w:gridCol w:w="945"/>
        <w:gridCol w:w="60"/>
        <w:gridCol w:w="60"/>
        <w:gridCol w:w="125"/>
        <w:gridCol w:w="590"/>
        <w:gridCol w:w="60"/>
        <w:gridCol w:w="60"/>
        <w:gridCol w:w="60"/>
        <w:gridCol w:w="485"/>
        <w:gridCol w:w="185"/>
        <w:gridCol w:w="60"/>
        <w:gridCol w:w="125"/>
        <w:gridCol w:w="590"/>
        <w:gridCol w:w="60"/>
        <w:gridCol w:w="60"/>
        <w:gridCol w:w="200"/>
        <w:gridCol w:w="945"/>
        <w:gridCol w:w="60"/>
        <w:gridCol w:w="60"/>
        <w:gridCol w:w="125"/>
        <w:gridCol w:w="590"/>
        <w:gridCol w:w="60"/>
        <w:gridCol w:w="60"/>
        <w:gridCol w:w="60"/>
        <w:gridCol w:w="485"/>
        <w:gridCol w:w="185"/>
        <w:gridCol w:w="60"/>
        <w:gridCol w:w="145"/>
        <w:gridCol w:w="460"/>
        <w:gridCol w:w="80"/>
        <w:gridCol w:w="60"/>
        <w:gridCol w:w="84"/>
        <w:gridCol w:w="536"/>
        <w:gridCol w:w="186"/>
      </w:tblGrid>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05" w:type="dxa"/>
            <w:gridSpan w:val="3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center"/>
              <w:rPr/>
            </w:pPr>
            <w:r>
              <w:rPr/>
              <w:t> </w:t>
            </w:r>
          </w:p>
        </w:tc>
        <w:tc>
          <w:tcPr>
            <w:tcW w:w="186" w:type="dxa"/>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8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8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 (1)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w:t>
            </w:r>
          </w:p>
        </w:tc>
        <w:tc>
          <w:tcPr>
            <w:tcW w:w="186" w:type="dxa"/>
            <w:tcBorders/>
            <w:vAlign w:val="center"/>
          </w:tcPr>
          <w:p>
            <w:pPr>
              <w:pStyle w:val="TableContents"/>
              <w:bidi w:val="0"/>
              <w:spacing w:before="0" w:after="283"/>
              <w:jc w:val="left"/>
              <w:rPr/>
            </w:pPr>
            <w:r>
              <w:rPr/>
              <w:t> </w:t>
            </w:r>
          </w:p>
        </w:tc>
      </w:tr>
      <w:tr>
        <w:trPr/>
        <w:tc>
          <w:tcPr>
            <w:tcW w:w="1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External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Intercompany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6" w:type="dxa"/>
            <w:tcBorders/>
            <w:vAlign w:val="center"/>
          </w:tcPr>
          <w:p>
            <w:pPr>
              <w:pStyle w:val="TableContents"/>
              <w:bidi w:val="0"/>
              <w:spacing w:before="0" w:after="283"/>
              <w:jc w:val="left"/>
              <w:rPr/>
            </w:pPr>
            <w:r>
              <w:rPr/>
              <w:t> </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Leather Imports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5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Wood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5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Casegoods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1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27,795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24,059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amounts within the Bassett Custom Wood and Bassett Casegoods categories have been reclassified to conform with the 2026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Analysis of Quarterly Results </w:t>
      </w:r>
      <w:r>
        <w:rPr>
          <w:rFonts w:ascii="Times New Roman" w:hAnsi="Times New Roman"/>
          <w:caps w:val="false"/>
          <w:smallCaps w:val="false"/>
          <w:sz w:val="20"/>
        </w:rPr>
        <w:t xml:space="preserve">– </w:t>
      </w:r>
      <w:r>
        <w:rPr>
          <w:rFonts w:ascii="Times New Roman" w:hAnsi="Times New Roman"/>
          <w:i/>
          <w:caps w:val="false"/>
          <w:smallCaps w:val="false"/>
          <w:sz w:val="20"/>
        </w:rPr>
        <w:t>Wholesale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February 28, 2026 increased $34 or 0.1% over the prior year, consisting of a 0.6% increase in shipments to our retail store network and a 2.6% increase in Lane Venture shipments to wholesale customers partially offset by a 5.3% decrease in shipments to the open market. As previously mentioned, we introduced the Lane Venture brand in the Bassett Home Furnishings stores during the first quarter of 2026 and have included those shipments in the above change in shipments to the retail store network. Including those shipments in the total Lane Venture brand, shipments of that brand increased 32%. Shipments were negatively impacted by winter weather as our major distribution centers were closed for multiple days during the quarter. Gross margins for the three months ended February 28, 2026 decreased 50 basis points from the prior year period as margin decreases in the Bassett Custom Upholstery operations due to reduced leverage on fixed costs were partially offset by improved margins in the Bassett Casegoods operations due to improved pricing strategies. SG&amp;A expenses as a percentage of sales were essentially flat compared with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Wholesale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Wholesale backlog at February 28, 2026 was $16,745 as compared to $19,519 at November 29, 2025 and $19,515 at March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 xml:space="preserve">Retail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 xml:space="preserve">Company-owned Stores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Results for the retail segment for the periods ended February 28, 2026 and March 1, 2025 are as follows:</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2300"/>
        <w:gridCol w:w="60"/>
        <w:gridCol w:w="134"/>
        <w:gridCol w:w="634"/>
        <w:gridCol w:w="86"/>
        <w:gridCol w:w="64"/>
        <w:gridCol w:w="64"/>
        <w:gridCol w:w="521"/>
        <w:gridCol w:w="185"/>
        <w:gridCol w:w="60"/>
        <w:gridCol w:w="125"/>
        <w:gridCol w:w="590"/>
        <w:gridCol w:w="80"/>
        <w:gridCol w:w="60"/>
        <w:gridCol w:w="60"/>
        <w:gridCol w:w="485"/>
        <w:gridCol w:w="185"/>
        <w:gridCol w:w="60"/>
        <w:gridCol w:w="125"/>
        <w:gridCol w:w="545"/>
        <w:gridCol w:w="80"/>
        <w:gridCol w:w="60"/>
        <w:gridCol w:w="68"/>
        <w:gridCol w:w="552"/>
        <w:gridCol w:w="18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4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4"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(1)</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27,068</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28,007</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store pre-opening costs</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at the segment level is considered a Non-GAAP financial measure due to the included effects of intercompany transactions. Refer to the reconciliation of gross profit by segment to consolidated gross profit presented under the Reconciliation of Segment Results to Consolidated Income (Loss) Before Income Taxes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Retail sales by major product category are as follows:</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0" w:type="dxa"/>
          <w:right w:w="0" w:type="dxa"/>
        </w:tblCellMar>
      </w:tblPr>
      <w:tblGrid>
        <w:gridCol w:w="2960"/>
        <w:gridCol w:w="60"/>
        <w:gridCol w:w="136"/>
        <w:gridCol w:w="643"/>
        <w:gridCol w:w="65"/>
        <w:gridCol w:w="65"/>
        <w:gridCol w:w="65"/>
        <w:gridCol w:w="528"/>
        <w:gridCol w:w="185"/>
        <w:gridCol w:w="60"/>
        <w:gridCol w:w="133"/>
        <w:gridCol w:w="630"/>
        <w:gridCol w:w="64"/>
        <w:gridCol w:w="64"/>
        <w:gridCol w:w="64"/>
        <w:gridCol w:w="518"/>
        <w:gridCol w:w="185"/>
        <w:gridCol w:w="60"/>
        <w:gridCol w:w="125"/>
        <w:gridCol w:w="545"/>
        <w:gridCol w:w="80"/>
        <w:gridCol w:w="60"/>
        <w:gridCol w:w="68"/>
        <w:gridCol w:w="552"/>
        <w:gridCol w:w="18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 (1)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2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Upholstery</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Leather Imports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Custom Wood</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Bassett Casegoods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Accessories, mattresses and other (2)</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6,806</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7,515</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52,545</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53,294</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amounts within Bassett Custom Upholstery and Bassett Leather Imports have been reclassified to conform to the 2026 presentation.</w:t>
            </w:r>
          </w:p>
        </w:tc>
      </w:tr>
    </w:tbl>
    <w:tbl>
      <w:tblPr>
        <w:tblW w:w="10205" w:type="dxa"/>
        <w:jc w:val="left"/>
        <w:tblInd w:w="0" w:type="dxa"/>
        <w:tblLayout w:type="fixed"/>
        <w:tblCellMar>
          <w:top w:w="0" w:type="dxa"/>
          <w:left w:w="0" w:type="dxa"/>
          <w:bottom w:w="0" w:type="dxa"/>
          <w:right w:w="0" w:type="dxa"/>
        </w:tblCellMar>
      </w:tblPr>
      <w:tblGrid>
        <w:gridCol w:w="60"/>
        <w:gridCol w:w="231"/>
        <w:gridCol w:w="9914"/>
      </w:tblGrid>
      <w:tr>
        <w:trPr/>
        <w:tc>
          <w:tcPr>
            <w:tcW w:w="60"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the sale of goods other than Bassett-branded products, such as accessories and bedding, and also includes the sale of furniture protection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Analysis of Quarterly Results - Retail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for the three months ended February 28, 2026 decreased $749 or 1.4% from the prior year period due primarily to the previously mentioned winter weather disruptions during the last two weeks of January. Written sales (the value of sales orders taken but not delivered) decreased 0.2% from the first quarter of 2025. Gross margin for the three months ended February 28, 2026 declined 170 basis points from the prior period primarily due to lower margins on in-line goods as we did not institute a price increase related to the increased tariff costs until mid-January of 2026. SG&amp;A expenses (excluding new store pre-opening costs) as a percentage of sales for the three months ended February 28, 2026 were unchanged from the prior year period as reduced leverage of fixed costs due to lower sales levels was substantially offset by improved efficiency in the warehouse and delivery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February 28, 2026, we incurred $95 of new store pre-opening costs associated with new stores in the Cincinnati, Ohio and Orlando, Florida markets, expected to open by the end of the second and third quarters of fiscal 2026, respectively. Prior to opening a new store we incur such expenses as rent, training costs and other payroll-related costs. These costs generally range between $200 to $400 per store depending on the overall rent costs for the location and the period between the time when we take physical possession of the store space and the time of the store opening. Generally, rent payments during a buildout period between delivery of possession and opening of a new store are deferred and therefore straight-line rent expense recognized during that time does not require cash. Inherent in our retail business model, we also incur losses in the two to three months of operation following a new store opening. Like other furniture retailers, we do not recognize a sale until the furniture is delivered to our customer. Because our retail business model does not involve maintaining a stock of retail inventory that would result in quick delivery and because of the custom nature of many of our furniture offerings, delivery to our customers usually occurs about 30 to 45 days after an order is placed. We generally require a deposit at the time of order and collect the remaining balance when the furniture is delivered, at which time the sale is recognized. Coupled with the previously discussed store pre-opening costs, total start-up losses can range from $400 to $600 per store. We generally expect that new stores will operate at or above a retail break-even level within a reasonable period of time following store opening. Factors affecting the length of time required to achieve this goal on a store-by-store basis may include the level of brand recognition, the degree of local competition and the depth of penetration in a particular market. Even as new stores ramp up to break even, we do realize additional wholesale sales volume that leverages the fixed costs in our wholesale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Retail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Retail backlog at February 28, 2026 was $34,247 compared to $34,402 at November 29, 2025 and $36,143 at March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Corporate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two reportable segments discussed above, we include our remaining business activities and assets in a reconciling category known as Corporate and other, which includes the shared costs of various corporate functions. SG&amp;A expenses of Corporate and other for the periods ended February 28, 2026 and March 1, 2025 are as follows:</w:t>
      </w:r>
    </w:p>
    <w:p>
      <w:pPr>
        <w:pStyle w:val="TextBody"/>
        <w:bidi w:val="0"/>
        <w:spacing w:before="0" w:after="0"/>
        <w:ind w:left="0" w:right="0" w:hanging="0"/>
        <w:jc w:val="left"/>
        <w:rPr>
          <w:caps w:val="false"/>
          <w:smallCaps w:val="false"/>
        </w:rPr>
      </w:pPr>
      <w:r>
        <w:rPr>
          <w:caps w:val="false"/>
          <w:smallCaps w:val="false"/>
        </w:rPr>
        <w:t> </w:t>
      </w:r>
    </w:p>
    <w:tbl>
      <w:tblPr>
        <w:tblW w:w="5903" w:type="dxa"/>
        <w:jc w:val="left"/>
        <w:tblInd w:w="0" w:type="dxa"/>
        <w:tblLayout w:type="fixed"/>
        <w:tblCellMar>
          <w:top w:w="0" w:type="dxa"/>
          <w:left w:w="0" w:type="dxa"/>
          <w:bottom w:w="0" w:type="dxa"/>
          <w:right w:w="0" w:type="dxa"/>
        </w:tblCellMar>
      </w:tblPr>
      <w:tblGrid>
        <w:gridCol w:w="1325"/>
        <w:gridCol w:w="60"/>
        <w:gridCol w:w="280"/>
        <w:gridCol w:w="1224"/>
        <w:gridCol w:w="80"/>
        <w:gridCol w:w="60"/>
        <w:gridCol w:w="224"/>
        <w:gridCol w:w="980"/>
        <w:gridCol w:w="80"/>
        <w:gridCol w:w="60"/>
        <w:gridCol w:w="164"/>
        <w:gridCol w:w="441"/>
        <w:gridCol w:w="60"/>
        <w:gridCol w:w="60"/>
        <w:gridCol w:w="94"/>
        <w:gridCol w:w="526"/>
        <w:gridCol w:w="185"/>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28,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Dollars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2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Analysis of Results </w:t>
      </w:r>
      <w:r>
        <w:rPr>
          <w:rFonts w:ascii="Times New Roman" w:hAnsi="Times New Roman"/>
          <w:caps w:val="false"/>
          <w:smallCaps w:val="false"/>
          <w:sz w:val="20"/>
        </w:rPr>
        <w:t xml:space="preserve">– </w:t>
      </w:r>
      <w:r>
        <w:rPr>
          <w:rFonts w:ascii="Times New Roman" w:hAnsi="Times New Roman"/>
          <w:i/>
          <w:caps w:val="false"/>
          <w:smallCaps w:val="false"/>
          <w:sz w:val="20"/>
        </w:rPr>
        <w:t>Corporate and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included in Corporate and other decreased $108 or 1.7% from the prior year primarily due to decreased corporate overhead spending from better expense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Other Items Affecting Net Income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for the three months ended February 28, 2026 and March 1, 2025 was $553 and $559, respectively, a decrease of $6. Lower interest income on CDs and interest-bearing cash equivalents was largely offset by $99 of interest received as a Federal income tax refund during the first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loss, net, for the three months ended February 28, 2026 and March 1, 2025 was $192 and $459, respectively, a decline of $267 from the prior year period. The net change from the prior year quarter and year to date was primarily due to lower net costs associated with Company-owned life insurance partially offset by increased interest expense from finance leases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calculate an anticipated effective tax rate for the year based on our annual estimates of pretax income or loss and use that effective tax rate to record our year-to-date income tax provision.  Any change in annual projections of pretax income or loss could have a significant impact on our effective tax rate for the respective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26.5% for the three months ended February 28, 2026.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was 27.4% for the three months ended March 1, 2025. The effective rate differs from the federal statutory rate of 21% primarily due to the effects of state income taxes and various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operating activities for the first three months of fiscal 2026 was $5,468 compared to cash used in operations of $52 for the first three months of fiscal 2025, representing a decline of $5,416 in cash flows from operations. This decrease was primarily the result of lower income levels and negative changes in working capital which had been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overall cash position declined $8,288 during the first three months of 2026. During the first three months of fiscal 2026, we spent $863 on purchases of property and equipment. We also paid $1,730 in dividends during the first three months of 2026. We repurchased $147 of shares under our stock repurchase program during the first three months of 2026 compared to repurchases of $721 in the prior year period. We expect capital expenditures for the full year to range from $8 million to $12 million. As of February 28, 2026, $18,106 remains available for future purchases under our stock repurchase plan. With cash and cash equivalents and short-term investments totaling $50,952 on hand at February 28, 2026, expected future operating cash flows and the availability under our credit line noted below, we believe we have sufficient liquidity to fund operations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Debt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15, 2024, we entered into the Credit Facility with our bank. This Credit Facility provides for a line of credit of up to $25,000. At February 28, 2026, we had $5,866 outstanding under standby letters of credit against our line. The line bears interest at the One-Month Term Secured Overnight Financing Rate (“One-Month Term SOFR”) plus 1.75% and is secured by our accounts receivable and inventory. Our bank charges a fee of 0.25% on the daily unused balance of the line, payable quarterly. Under the terms of the Credit Facility, Consolidated Minimum Tangible Net Worth shall at no time be less than $120,000. In addition, we must maintain the following financial covenants, measured quarterly on a rolling twelve-month basis and commencing as of the end of the first fiscal quarter after the first date that the used commitment (the sum of any outstanding advances plus standby letters of credit) equals or exceeds $8,250:</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Fixed Charge Coverage Ratio of not less than 1.2 times and</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Lease Adjusted Leverage to EBITDAR Ratio not to exceed 3.35 times.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February 28, 2026, we were in compliance with the Consolidated Minimum Tangible Net Worth requirement. Since our used commitment was less than $8,250 at February 28, 2026, we were not required to test the Consolidated Fixed Charge Coverage Ratio or the Consolidated Lease Adjusted Leverage to EBITDAR Ratio. However, had we been required to test those ratios, we would have been in full compliance. Our availability under the Credit Facility is currently $19,134. On January 9, 2026, the Credit Facility was amended to extend the expiration date to January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lease land and buildings that are used in the operation of our Company-owned retail stores as well as in the operation of one of our licensee-owned stores, and we lease land and buildings used in our wholesale manufacturing operations. We also lease certain personal property such as lift trucks, office equipment and local delivery trucks. The present value of our obligations for leases with terms in excess of one year at February 28, 2026 is $85,791 and is included in our accompanying condensed consolidated balance sheet at February 28, 2026. We were contingently liable under licensee lease obligation guarantees in the amount of $3,902 at February 28, 2026. The remaining terms under these lease guarantees extend for six years. See Note 10 to our condensed consolidated financial statements for additional details regarding our lease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post-employment benefits to certain current and former executives and management level employees of the Company. Included among these benefits are two defined-benefit plans with a combined projected benefit obligation of $7,010 at February 28, 2026, the current portion of which is $815. We also have deferred compensation plans with a total liability of $5,764 at February 28, 2026, the current portion of which is $330. See Note 9 to our condensed consolidated financial statements for additional information regarding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 of 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PART I-FINANCIAL INFORMATION-CONTINUED</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BASSETT FURNITURE INDUSTRIES, INCORPORATED AND SUBSIDIARIES</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FEBRUARY 28, 2026</w:t>
      </w:r>
    </w:p>
    <w:p>
      <w:pPr>
        <w:pStyle w:val="TextBody"/>
        <w:bidi w:val="0"/>
        <w:ind w:left="0" w:right="0" w:hanging="0"/>
        <w:jc w:val="center"/>
        <w:rPr>
          <w:rFonts w:ascii="Times New Roman;Times;serif" w:hAnsi="Times New Roman;Times;serif"/>
          <w:sz w:val="20"/>
          <w:u w:val="single"/>
        </w:rPr>
      </w:pPr>
      <w:r>
        <w:rPr>
          <w:rFonts w:ascii="Times New Roman;Times;serif" w:hAnsi="Times New Roman;Times;serif"/>
          <w:sz w:val="20"/>
          <w:u w:val="single"/>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Estimates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and estimates from the information provided in Item 7, “Management’s Discussion and Analysis of Financial Condition and Results of Operations”, included in our Annual Report on Form 10-K for the fiscal year ended November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utilize stand-by letters of credit in the procurement of certain goods in the normal course of business. In addition, we have guaranteed certain lease obligations of licensee operators for some of their store locations. See Note 10 to our condensed consolidated financial statements for further discussion of lease guarantees, including descriptions of the terms of such commitments and methods used to mitigate risks associated with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0" w:hanging="240"/>
        <w:jc w:val="both"/>
        <w:rPr>
          <w:rFonts w:ascii="Times New Roman" w:hAnsi="Times New Roman"/>
          <w:b/>
          <w:caps w:val="false"/>
          <w:smallCaps w:val="false"/>
          <w:sz w:val="20"/>
        </w:rPr>
      </w:pP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involved in various legal and environmental matters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 See Note 10 to our condensed consolidated financial statements for further information regarding certain contingencies as of February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risk from changes in the value of foreign currencies. Substantially all of our imports purchased outside of North America are denominated in U.S. dollars. Therefore, we believe that gains or losses resulting from changes in the value of foreign currencies relating to foreign purchases not denominated in U.S. dollars would not be material to our results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exposed to market risk from changes in the cost and availability of raw materials used in our manufacturing processes, principally wood, woven fabric, and foam products.  The cost of foam products, which are petroleum-based, is sensitive to changes in the price of oil.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potential exposure to market risk related to conditions in the commercial real estate market. Our retail real estate holdings of $23,346 at February 28, 2026 for Company-owned stores could suffer significant impairment in value if we are forced to close additional stores and sell or lease the related properties during periods of weakness in certain markets. Additionally, if we are required to assume responsibility for payment under the lease obligations of $3,902 which we have guaranteed on behalf of certain licensees as of February 28, 2026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manufacturing and warehouse facilities. At February 28, 2026, the unamortized balance of such right-of-use assets used in continuing operations totaled $75,190. Should we have to close or otherwise abandon one of these leased locations, we could incur additional impairment charges if rental market conditions do not support a fair value for the right of use asset in excess of its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principal executive officer and principal financial officer have evaluated the Company’s disclosure controls and procedures (as defined in Exchange Act Rule 13a-15(e)) as of the end of the period covered by this Quarterly Report on Form 10-Q. Based upon their evaluation, the principal executive officer and principal financial officer concluded that the Company’s disclosure controls and procedures are effective. There has been no change in the Company’s internal control over financial reporting during the Company’s most recent fiscal quarter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 of 31</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 - OTHER INFORMATION</w:t>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FEBRUARY 28, 2026</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stock repurchase activity by or on behalf of the Company or any “affiliated purchaser,” as defined by Rule 10b-18(a)(3) of the Exchange Act, for the three months ended February 28, 2026 and the approximate dollar value of shares that may yet be purchased pursuant to our stock repurchase program: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61"/>
        <w:gridCol w:w="60"/>
        <w:gridCol w:w="99"/>
        <w:gridCol w:w="806"/>
        <w:gridCol w:w="302"/>
        <w:gridCol w:w="60"/>
        <w:gridCol w:w="182"/>
        <w:gridCol w:w="715"/>
        <w:gridCol w:w="60"/>
        <w:gridCol w:w="60"/>
        <w:gridCol w:w="244"/>
        <w:gridCol w:w="1980"/>
        <w:gridCol w:w="60"/>
        <w:gridCol w:w="60"/>
        <w:gridCol w:w="434"/>
        <w:gridCol w:w="2057"/>
        <w:gridCol w:w="65"/>
      </w:tblGrid>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Announced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Dollar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that May Yet Be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Under the Plans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(1)</w:t>
            </w:r>
          </w:p>
        </w:tc>
        <w:tc>
          <w:tcPr>
            <w:tcW w:w="65" w:type="dxa"/>
            <w:tcBorders/>
            <w:vAlign w:val="center"/>
          </w:tcPr>
          <w:p>
            <w:pPr>
              <w:pStyle w:val="TableContents"/>
              <w:bidi w:val="0"/>
              <w:spacing w:before="0" w:after="283"/>
              <w:jc w:val="left"/>
              <w:rPr/>
            </w:pPr>
            <w:r>
              <w:rPr/>
              <w:t> </w:t>
            </w:r>
          </w:p>
        </w:tc>
      </w:tr>
      <w:tr>
        <w:trPr/>
        <w:tc>
          <w:tcPr>
            <w:tcW w:w="2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205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30, 2025 -January 3,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18,174</w:t>
            </w:r>
          </w:p>
        </w:tc>
        <w:tc>
          <w:tcPr>
            <w:tcW w:w="65" w:type="dxa"/>
            <w:tcBorders/>
            <w:shd w:fill="CCEEFF" w:val="clear"/>
            <w:vAlign w:val="center"/>
          </w:tcPr>
          <w:p>
            <w:pPr>
              <w:pStyle w:val="TableContents"/>
              <w:bidi w:val="0"/>
              <w:spacing w:before="0" w:after="283"/>
              <w:jc w:val="left"/>
              <w:rPr/>
            </w:pPr>
            <w:r>
              <w:rPr/>
              <w:t> </w:t>
            </w:r>
          </w:p>
        </w:tc>
      </w:tr>
      <w:tr>
        <w:trPr/>
        <w:tc>
          <w:tcPr>
            <w:tcW w:w="296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4, 2026 - January 31, 2026</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6,044</w:t>
            </w:r>
          </w:p>
        </w:tc>
        <w:tc>
          <w:tcPr>
            <w:tcW w:w="302"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1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18,148</w:t>
            </w:r>
          </w:p>
        </w:tc>
        <w:tc>
          <w:tcPr>
            <w:tcW w:w="65" w:type="dxa"/>
            <w:tcBorders/>
            <w:shd w:fill="FFFFFF" w:val="clear"/>
            <w:vAlign w:val="center"/>
          </w:tcPr>
          <w:p>
            <w:pPr>
              <w:pStyle w:val="TableContents"/>
              <w:bidi w:val="0"/>
              <w:spacing w:before="0" w:after="283"/>
              <w:jc w:val="left"/>
              <w:rPr/>
            </w:pPr>
            <w:r>
              <w:rPr/>
              <w:t> </w:t>
            </w:r>
          </w:p>
        </w:tc>
      </w:tr>
      <w:tr>
        <w:trPr/>
        <w:tc>
          <w:tcPr>
            <w:tcW w:w="296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 2026 - February 28, 2026</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1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18,106</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authorized to repurchase Company stock under a plan which was originally announced in 1998. On March 9, 2022, the Board of Directors increased the remaining limit of the repurchase plan to $40,000. At February 28, 2026, $18,106 remained available for share repurchases under the plan.</w:t>
            </w:r>
          </w:p>
        </w:tc>
      </w:tr>
    </w:tbl>
    <w:tbl>
      <w:tblPr>
        <w:tblW w:w="7525" w:type="dxa"/>
        <w:jc w:val="left"/>
        <w:tblInd w:w="0" w:type="dxa"/>
        <w:tblLayout w:type="fixed"/>
        <w:tblCellMar>
          <w:top w:w="0" w:type="dxa"/>
          <w:left w:w="0" w:type="dxa"/>
          <w:bottom w:w="0" w:type="dxa"/>
          <w:right w:w="0" w:type="dxa"/>
        </w:tblCellMar>
      </w:tblPr>
      <w:tblGrid>
        <w:gridCol w:w="245"/>
        <w:gridCol w:w="7280"/>
      </w:tblGrid>
      <w:tr>
        <w:trPr/>
        <w:tc>
          <w:tcPr>
            <w:tcW w:w="245" w:type="dxa"/>
            <w:tcBorders/>
            <w:vAlign w:val="center"/>
          </w:tcPr>
          <w:p>
            <w:pPr>
              <w:pStyle w:val="TableContents"/>
              <w:bidi w:val="0"/>
              <w:spacing w:before="0" w:after="283"/>
              <w:jc w:val="left"/>
              <w:rPr>
                <w:sz w:val="20"/>
              </w:rPr>
            </w:pPr>
            <w:r>
              <w:rPr>
                <w:sz w:val="20"/>
              </w:rPr>
              <w:t>(2)</w:t>
            </w:r>
          </w:p>
        </w:tc>
        <w:tc>
          <w:tcPr>
            <w:tcW w:w="7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4,410 shares deemed to be repurchased in connection with the vesting of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fiscal quarter ended February 28, 2026, none of our directors or officers (as defined in Rule 16a-1(f) of the Securities Exchange Act of 1934, as amended) adopted or terminated a Rule 10b5-1 trading arrangement or a non-Rule 10b5-1 trading arrangement (in each case, as defined in Item 408(a) of Regulation S-K) for the purchase or sale of the Company’s securities.</w:t>
            </w:r>
          </w:p>
        </w:tc>
      </w:tr>
    </w:tbl>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155"/>
        <w:gridCol w:w="770"/>
      </w:tblGrid>
      <w:tr>
        <w:trPr/>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7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3a – Articles of Incorporation as amended to date are incorporated herein by reference to the Exhibit to Form 10-Q for the fiscal quarter ended February 28, 1994.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3b – </w:t>
      </w:r>
      <w:hyperlink r:id="rId2">
        <w:r>
          <w:rPr>
            <w:rStyle w:val="InternetLink"/>
            <w:rFonts w:ascii="Times New Roman" w:hAnsi="Times New Roman"/>
            <w:caps w:val="false"/>
            <w:smallCaps w:val="false"/>
            <w:sz w:val="20"/>
          </w:rPr>
          <w:t>By-laws as amended to date are incorporated herein by reference to Exhibit 3.1 to Form 8-K filed with the SEC on July 22, 2025.</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10 – </w:t>
      </w:r>
      <w:hyperlink r:id="rId3">
        <w:r>
          <w:rPr>
            <w:rStyle w:val="InternetLink"/>
            <w:rFonts w:ascii="Times New Roman" w:hAnsi="Times New Roman"/>
            <w:caps w:val="false"/>
            <w:smallCaps w:val="false"/>
            <w:sz w:val="20"/>
          </w:rPr>
          <w:t>First Amendment to Eighth Amended and Restated Credit Agreement with Truist Bank dated January 9, 2026 is incorporated herein by reference to Exhibit 4B to Form 10-K filed with the SEC on February 5,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31a – </w:t>
      </w:r>
      <w:hyperlink w:anchor="ex_938377.htm">
        <w:r>
          <w:rPr>
            <w:rStyle w:val="InternetLink"/>
            <w:rFonts w:ascii="Times New Roman" w:hAnsi="Times New Roman"/>
            <w:caps w:val="false"/>
            <w:smallCaps w:val="false"/>
            <w:sz w:val="20"/>
          </w:rPr>
          <w:t>Chief Executive Officer’s 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 of 31</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PART II - OTHER INFORMATION-CONTINUED</w:t>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BASSETT FURNITURE INDUSTRIES INCORPORATED AND SUBSIDIARIES</w:t>
      </w:r>
    </w:p>
    <w:p>
      <w:pPr>
        <w:pStyle w:val="TextBody"/>
        <w:bidi w:val="0"/>
        <w:spacing w:before="0" w:after="0"/>
        <w:ind w:left="16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FEBRUARY 28, 2026</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share and per share data)</w:t>
      </w:r>
    </w:p>
    <w:p>
      <w:pPr>
        <w:pStyle w:val="TextBody"/>
        <w:bidi w:val="0"/>
        <w:spacing w:before="0" w:after="0"/>
        <w:ind w:left="0" w:right="0" w:hanging="0"/>
        <w:jc w:val="left"/>
        <w:rPr/>
      </w:pPr>
      <w:r>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31b – </w:t>
      </w:r>
      <w:hyperlink w:anchor="ex_938378.htm">
        <w:r>
          <w:rPr>
            <w:rStyle w:val="InternetLink"/>
            <w:rFonts w:ascii="Times New Roman" w:hAnsi="Times New Roman"/>
            <w:caps w:val="false"/>
            <w:smallCaps w:val="false"/>
            <w:sz w:val="20"/>
          </w:rPr>
          <w:t>Chief Financial Officer’s certification pursuant to Section 302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32a – </w:t>
      </w:r>
      <w:hyperlink w:anchor="ex_938383.htm">
        <w:r>
          <w:rPr>
            <w:rStyle w:val="InternetLink"/>
            <w:rFonts w:ascii="Times New Roman" w:hAnsi="Times New Roman"/>
            <w:caps w:val="false"/>
            <w:smallCaps w:val="false"/>
            <w:sz w:val="20"/>
          </w:rPr>
          <w:t>Chief Executive Officer’s certification pursuant to 18 U.S.C.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Exhibit 32b – </w:t>
      </w:r>
      <w:hyperlink w:anchor="ex_938384.htm">
        <w:r>
          <w:rPr>
            <w:rStyle w:val="InternetLink"/>
            <w:rFonts w:ascii="Times New Roman" w:hAnsi="Times New Roman"/>
            <w:caps w:val="false"/>
            <w:smallCaps w:val="false"/>
            <w:sz w:val="20"/>
          </w:rPr>
          <w:t>Chief Financial Officer’s certification pursuant to 18 U.S.C. 1350, as adopted pursuant to Section 906 of the Sarbanes-Oxley Act of 2002</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101.INS Inline XBRL Instance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101.SCH Inline XBRL Taxonomy Extension Schema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101.CAL Inline XBRL Taxonomy Extension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101.DEF Inline XBRL Taxonomy Extension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101.LAB Inline XBRL Taxonomy Extension Labels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101.PRE Inline XBRL Taxonomy Extension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Exhibit 104. Cover Page Interactive Data File (formatted as Inline XBRL and contained in Exhibit 101).</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 of 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BASSETT FURNITURE INDUSTRIES,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464"/>
        <w:gridCol w:w="4390"/>
        <w:gridCol w:w="129"/>
      </w:tblGrid>
      <w:tr>
        <w:trPr/>
        <w:tc>
          <w:tcPr>
            <w:tcW w:w="4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3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Robert H. Spilman, Jr.</w:t>
            </w:r>
          </w:p>
        </w:tc>
        <w:tc>
          <w:tcPr>
            <w:tcW w:w="129" w:type="dxa"/>
            <w:tcBorders/>
            <w:vAlign w:val="center"/>
          </w:tcPr>
          <w:p>
            <w:pPr>
              <w:pStyle w:val="TableContents"/>
              <w:bidi w:val="0"/>
              <w:spacing w:before="0" w:after="283"/>
              <w:jc w:val="left"/>
              <w:rPr/>
            </w:pPr>
            <w:r>
              <w:rPr/>
              <w:t> </w:t>
            </w:r>
          </w:p>
        </w:tc>
      </w:tr>
      <w:tr>
        <w:trPr/>
        <w:tc>
          <w:tcPr>
            <w:tcW w:w="498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H. Spilman, Jr., Chairman and Chief Executive Officer</w:t>
            </w:r>
          </w:p>
        </w:tc>
      </w:tr>
      <w:tr>
        <w:trPr/>
        <w:tc>
          <w:tcPr>
            <w:tcW w:w="498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10"/>
        <w:gridCol w:w="4743"/>
        <w:gridCol w:w="170"/>
      </w:tblGrid>
      <w:tr>
        <w:trPr/>
        <w:tc>
          <w:tcPr>
            <w:tcW w:w="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7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J. Michael Daniel</w:t>
            </w:r>
          </w:p>
        </w:tc>
        <w:tc>
          <w:tcPr>
            <w:tcW w:w="170" w:type="dxa"/>
            <w:tcBorders/>
            <w:vAlign w:val="center"/>
          </w:tcPr>
          <w:p>
            <w:pPr>
              <w:pStyle w:val="TableContents"/>
              <w:bidi w:val="0"/>
              <w:spacing w:before="0" w:after="283"/>
              <w:jc w:val="left"/>
              <w:rPr/>
            </w:pPr>
            <w:r>
              <w:rPr/>
              <w:t> </w:t>
            </w:r>
          </w:p>
        </w:tc>
      </w:tr>
      <w:tr>
        <w:trPr/>
        <w:tc>
          <w:tcPr>
            <w:tcW w:w="552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Michael Daniel, Senior Vice 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hanging="0"/>
        <w:jc w:val="center"/>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31 of 31</w:t>
      </w:r>
    </w:p>
    <w:p>
      <w:pPr>
        <w:pStyle w:val="TextBody"/>
        <w:bidi w:val="0"/>
        <w:spacing w:before="0" w:after="0"/>
        <w:ind w:left="0" w:right="0" w:hanging="0"/>
        <w:jc w:val="right"/>
        <w:rPr>
          <w:rFonts w:ascii="Times New Roman" w:hAnsi="Times New Roman"/>
          <w:caps w:val="false"/>
          <w:smallCaps w:val="false"/>
          <w:sz w:val="20"/>
        </w:rPr>
      </w:pPr>
      <w:bookmarkStart w:id="2" w:name="ex_938377.htm"/>
      <w:bookmarkStart w:id="3" w:name="ksex_938377"/>
      <w:bookmarkEnd w:id="2"/>
      <w:bookmarkEnd w:id="3"/>
      <w:r>
        <w:rPr>
          <w:rFonts w:ascii="Times New Roman" w:hAnsi="Times New Roman"/>
          <w:caps w:val="false"/>
          <w:smallCaps w:val="false"/>
          <w:sz w:val="20"/>
        </w:rPr>
        <w:t>Exhibit 31a</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H. Spilman, Jr., certify that:</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Bassett Furniture Industries, Incorporated;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464"/>
        <w:gridCol w:w="4390"/>
        <w:gridCol w:w="129"/>
      </w:tblGrid>
      <w:tr>
        <w:trPr/>
        <w:tc>
          <w:tcPr>
            <w:tcW w:w="4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3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Robert H. Spilman, Jr.</w:t>
            </w:r>
          </w:p>
        </w:tc>
        <w:tc>
          <w:tcPr>
            <w:tcW w:w="129" w:type="dxa"/>
            <w:tcBorders/>
            <w:vAlign w:val="center"/>
          </w:tcPr>
          <w:p>
            <w:pPr>
              <w:pStyle w:val="TableContents"/>
              <w:bidi w:val="0"/>
              <w:spacing w:before="0" w:after="283"/>
              <w:jc w:val="left"/>
              <w:rPr/>
            </w:pPr>
            <w:r>
              <w:rPr/>
              <w:t> </w:t>
            </w:r>
          </w:p>
        </w:tc>
      </w:tr>
      <w:tr>
        <w:trPr/>
        <w:tc>
          <w:tcPr>
            <w:tcW w:w="498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H. Spilman, Jr., 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4" w:name="ex_938378.htm"/>
      <w:bookmarkStart w:id="5" w:name="ksex_938378"/>
      <w:bookmarkEnd w:id="4"/>
      <w:bookmarkEnd w:id="5"/>
      <w:r>
        <w:rPr>
          <w:rFonts w:ascii="Times New Roman" w:hAnsi="Times New Roman"/>
          <w:caps w:val="false"/>
          <w:smallCaps w:val="false"/>
          <w:sz w:val="20"/>
        </w:rPr>
        <w:t>Exhibit 31b</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 Michael Daniel, certify that:</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170"/>
        <w:gridCol w:w="777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Bassett Furniture Industries, Incorporated;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10"/>
        <w:gridCol w:w="4743"/>
        <w:gridCol w:w="170"/>
      </w:tblGrid>
      <w:tr>
        <w:trPr/>
        <w:tc>
          <w:tcPr>
            <w:tcW w:w="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47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J. Michael Daniel</w:t>
            </w:r>
          </w:p>
        </w:tc>
        <w:tc>
          <w:tcPr>
            <w:tcW w:w="170" w:type="dxa"/>
            <w:tcBorders/>
            <w:vAlign w:val="center"/>
          </w:tcPr>
          <w:p>
            <w:pPr>
              <w:pStyle w:val="TableContents"/>
              <w:bidi w:val="0"/>
              <w:spacing w:before="0" w:after="283"/>
              <w:jc w:val="left"/>
              <w:rPr/>
            </w:pPr>
            <w:r>
              <w:rPr/>
              <w:t> </w:t>
            </w:r>
          </w:p>
        </w:tc>
      </w:tr>
      <w:tr>
        <w:trPr/>
        <w:tc>
          <w:tcPr>
            <w:tcW w:w="5523"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Michael Daniel,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6" w:name="ex_938383.htm"/>
      <w:bookmarkStart w:id="7" w:name="ksex_938383"/>
      <w:bookmarkEnd w:id="6"/>
      <w:bookmarkEnd w:id="7"/>
      <w:r>
        <w:rPr>
          <w:rFonts w:ascii="Times New Roman" w:hAnsi="Times New Roman"/>
          <w:caps w:val="false"/>
          <w:smallCaps w:val="false"/>
          <w:sz w:val="20"/>
        </w:rPr>
        <w:t>Exhibit 32a</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 SECTION 906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Bassett Furniture Industries, Incorporated (the “Company”) on Form 10-Q for the period ending February 28, 2026, as filed with the Securities and Exchange Commission on the date hereof (the “Report”), I, Robert H. Spilman, Jr., Chief Executive Officer of the Company, certify, pursuant to 18 U.S.C. ss.1350, as adopted pursuant to ss.906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291"/>
        <w:gridCol w:w="2752"/>
        <w:gridCol w:w="81"/>
      </w:tblGrid>
      <w:tr>
        <w:trPr/>
        <w:tc>
          <w:tcPr>
            <w:tcW w:w="2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27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Robert H. Spilman, Jr.</w:t>
            </w:r>
          </w:p>
        </w:tc>
        <w:tc>
          <w:tcPr>
            <w:tcW w:w="81" w:type="dxa"/>
            <w:tcBorders/>
            <w:vAlign w:val="center"/>
          </w:tcPr>
          <w:p>
            <w:pPr>
              <w:pStyle w:val="TableContents"/>
              <w:bidi w:val="0"/>
              <w:spacing w:before="0" w:after="283"/>
              <w:jc w:val="left"/>
              <w:rPr/>
            </w:pPr>
            <w:r>
              <w:rPr/>
              <w:t> </w:t>
            </w:r>
          </w:p>
        </w:tc>
      </w:tr>
      <w:tr>
        <w:trPr/>
        <w:tc>
          <w:tcPr>
            <w:tcW w:w="3124"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H. Spilman, Jr.,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8" w:name="ex_938384.htm"/>
      <w:bookmarkStart w:id="9" w:name="ksex_938384"/>
      <w:bookmarkEnd w:id="8"/>
      <w:bookmarkEnd w:id="9"/>
      <w:r>
        <w:rPr>
          <w:rFonts w:ascii="Times New Roman" w:hAnsi="Times New Roman"/>
          <w:caps w:val="false"/>
          <w:smallCaps w:val="false"/>
          <w:sz w:val="20"/>
        </w:rPr>
        <w:t>Exhibit 32b</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PURSUANT TO 18 U.S.C. SECTION 1350,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 SECTION 906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of Bassett Furniture Industries, Incorporated (the “Company”) on Form 10-Q for the period ending February 28, 2026, as filed with the Securities and Exchange Commission on the date hereof (the “Report”), I, J. Michael Daniel, Chief Financial Officer of the Company, certify, pursuant to 18 U.S.C. ss.1350, as adopted pursuant to ss.906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443"/>
        <w:gridCol w:w="3443"/>
        <w:gridCol w:w="123"/>
      </w:tblGrid>
      <w:tr>
        <w:trPr/>
        <w:tc>
          <w:tcPr>
            <w:tcW w:w="4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w:t>
            </w:r>
          </w:p>
        </w:tc>
        <w:tc>
          <w:tcPr>
            <w:tcW w:w="34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mallCaps/>
                <w:sz w:val="20"/>
              </w:rPr>
            </w:pPr>
            <w:r>
              <w:rPr>
                <w:rFonts w:ascii="Times New Roman" w:hAnsi="Times New Roman"/>
                <w:smallCaps/>
                <w:sz w:val="20"/>
              </w:rPr>
              <w:t>J. Michael Daniel</w:t>
            </w:r>
          </w:p>
        </w:tc>
        <w:tc>
          <w:tcPr>
            <w:tcW w:w="123" w:type="dxa"/>
            <w:tcBorders/>
            <w:vAlign w:val="center"/>
          </w:tcPr>
          <w:p>
            <w:pPr>
              <w:pStyle w:val="TableContents"/>
              <w:bidi w:val="0"/>
              <w:spacing w:before="0" w:after="283"/>
              <w:jc w:val="left"/>
              <w:rPr/>
            </w:pPr>
            <w:r>
              <w:rPr/>
              <w:t> </w:t>
            </w:r>
          </w:p>
        </w:tc>
      </w:tr>
      <w:tr>
        <w:trPr/>
        <w:tc>
          <w:tcPr>
            <w:tcW w:w="4009"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Michael Daniel,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329/000143774925023205/ex_841551.htm" TargetMode="External"/><Relationship Id="rId3" Type="http://schemas.openxmlformats.org/officeDocument/2006/relationships/hyperlink" Target="http://www.sec.gov/Archives/edgar/data/10329/000143774926003189/ex_915167.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14427</Words>
  <Characters>78593</Characters>
  <CharactersWithSpaces>94822</CharactersWithSpaces>
  <Paragraphs>6188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