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910590</wp:posOffset>
            </wp:positionH>
            <wp:positionV relativeFrom="page">
              <wp:posOffset>1077595</wp:posOffset>
            </wp:positionV>
            <wp:extent cx="1533525" cy="384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3525" cy="384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20"/>
        <w:spacing w:after="0"/>
        <w:rPr>
          <w:sz w:val="20"/>
          <w:szCs w:val="20"/>
          <w:color w:val="auto"/>
        </w:rPr>
      </w:pPr>
      <w:r>
        <w:rPr>
          <w:rFonts w:ascii="Arial" w:cs="Arial" w:eastAsia="Arial" w:hAnsi="Arial"/>
          <w:sz w:val="15"/>
          <w:szCs w:val="15"/>
          <w:color w:val="auto"/>
        </w:rPr>
        <w:t>A N N U A L R E P O R T</w:t>
      </w:r>
    </w:p>
    <w:p>
      <w:pPr>
        <w:spacing w:after="0" w:line="41" w:lineRule="exact"/>
        <w:rPr>
          <w:sz w:val="24"/>
          <w:szCs w:val="24"/>
          <w:color w:val="auto"/>
        </w:rPr>
      </w:pPr>
    </w:p>
    <w:p>
      <w:pPr>
        <w:ind w:left="20"/>
        <w:spacing w:after="0"/>
        <w:rPr>
          <w:sz w:val="20"/>
          <w:szCs w:val="20"/>
          <w:color w:val="auto"/>
        </w:rPr>
      </w:pPr>
      <w:r>
        <w:rPr>
          <w:rFonts w:ascii="Arial" w:cs="Arial" w:eastAsia="Arial" w:hAnsi="Arial"/>
          <w:sz w:val="24"/>
          <w:szCs w:val="24"/>
          <w:color w:val="auto"/>
        </w:rPr>
        <w:t>2 0 2 3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-913765</wp:posOffset>
            </wp:positionH>
            <wp:positionV relativeFrom="paragraph">
              <wp:posOffset>2249805</wp:posOffset>
            </wp:positionV>
            <wp:extent cx="7762875"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62875" cy="4694555"/>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3119120</wp:posOffset>
            </wp:positionH>
            <wp:positionV relativeFrom="page">
              <wp:posOffset>4839970</wp:posOffset>
            </wp:positionV>
            <wp:extent cx="1533525" cy="388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352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 o v e r : B e n c h M a d e O r i g i n s</w:t>
      </w:r>
    </w:p>
    <w:p>
      <w:pPr>
        <w:sectPr>
          <w:pgSz w:w="12240" w:h="15840" w:orient="portrait"/>
          <w:cols w:equalWidth="0" w:num="1">
            <w:col w:w="10080"/>
          </w:cols>
          <w:pgMar w:left="720" w:top="1440" w:right="1440" w:bottom="23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34"/>
          <w:szCs w:val="34"/>
          <w:color w:val="auto"/>
        </w:rPr>
        <w:t>FINANCIAL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300"/>
        <w:spacing w:after="0"/>
        <w:rPr>
          <w:sz w:val="20"/>
          <w:szCs w:val="20"/>
          <w:color w:val="auto"/>
        </w:rPr>
      </w:pPr>
      <w:r>
        <w:rPr>
          <w:rFonts w:ascii="Arial" w:cs="Arial" w:eastAsia="Arial" w:hAnsi="Arial"/>
          <w:sz w:val="16"/>
          <w:szCs w:val="16"/>
          <w:color w:val="auto"/>
        </w:rPr>
        <w:t>Fiscal years ended November</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359"/>
        </w:trPr>
        <w:tc>
          <w:tcPr>
            <w:tcW w:w="3300" w:type="dxa"/>
            <w:vAlign w:val="bottom"/>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379"/>
              <w:spacing w:after="0"/>
              <w:rPr>
                <w:sz w:val="20"/>
                <w:szCs w:val="20"/>
                <w:color w:val="auto"/>
              </w:rPr>
            </w:pPr>
            <w:r>
              <w:rPr>
                <w:rFonts w:ascii="Arial" w:cs="Arial" w:eastAsia="Arial" w:hAnsi="Arial"/>
                <w:sz w:val="24"/>
                <w:szCs w:val="24"/>
                <w:color w:val="FFFFFF"/>
              </w:rPr>
              <w:t>2023</w:t>
            </w:r>
          </w:p>
        </w:tc>
        <w:tc>
          <w:tcPr>
            <w:tcW w:w="300" w:type="dxa"/>
            <w:vAlign w:val="bottom"/>
          </w:tcPr>
          <w:p>
            <w:pPr>
              <w:spacing w:after="0"/>
              <w:rPr>
                <w:sz w:val="24"/>
                <w:szCs w:val="24"/>
                <w:color w:val="auto"/>
              </w:rPr>
            </w:pPr>
          </w:p>
        </w:tc>
        <w:tc>
          <w:tcPr>
            <w:tcW w:w="1020" w:type="dxa"/>
            <w:vAlign w:val="bottom"/>
          </w:tcPr>
          <w:p>
            <w:pPr>
              <w:jc w:val="right"/>
              <w:ind w:right="219"/>
              <w:spacing w:after="0"/>
              <w:rPr>
                <w:sz w:val="20"/>
                <w:szCs w:val="20"/>
                <w:color w:val="auto"/>
              </w:rPr>
            </w:pPr>
            <w:r>
              <w:rPr>
                <w:rFonts w:ascii="Arial" w:cs="Arial" w:eastAsia="Arial" w:hAnsi="Arial"/>
                <w:sz w:val="24"/>
                <w:szCs w:val="24"/>
                <w:color w:val="auto"/>
              </w:rPr>
              <w:t>2022</w:t>
            </w:r>
          </w:p>
        </w:tc>
        <w:tc>
          <w:tcPr>
            <w:tcW w:w="440" w:type="dxa"/>
            <w:vAlign w:val="bottom"/>
          </w:tcPr>
          <w:p>
            <w:pPr>
              <w:spacing w:after="0"/>
              <w:rPr>
                <w:sz w:val="24"/>
                <w:szCs w:val="24"/>
                <w:color w:val="auto"/>
              </w:rPr>
            </w:pPr>
          </w:p>
        </w:tc>
        <w:tc>
          <w:tcPr>
            <w:tcW w:w="1040" w:type="dxa"/>
            <w:vAlign w:val="bottom"/>
          </w:tcPr>
          <w:p>
            <w:pPr>
              <w:jc w:val="right"/>
              <w:ind w:right="239"/>
              <w:spacing w:after="0"/>
              <w:rPr>
                <w:sz w:val="20"/>
                <w:szCs w:val="20"/>
                <w:color w:val="auto"/>
              </w:rPr>
            </w:pPr>
            <w:r>
              <w:rPr>
                <w:rFonts w:ascii="Arial" w:cs="Arial" w:eastAsia="Arial" w:hAnsi="Arial"/>
                <w:sz w:val="24"/>
                <w:szCs w:val="24"/>
                <w:color w:val="auto"/>
              </w:rPr>
              <w:t>2021</w:t>
            </w:r>
          </w:p>
        </w:tc>
        <w:tc>
          <w:tcPr>
            <w:tcW w:w="46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Arial" w:cs="Arial" w:eastAsia="Arial" w:hAnsi="Arial"/>
                <w:sz w:val="24"/>
                <w:szCs w:val="24"/>
                <w:color w:val="auto"/>
              </w:rPr>
              <w:t>2020</w:t>
            </w:r>
          </w:p>
        </w:tc>
        <w:tc>
          <w:tcPr>
            <w:tcW w:w="440" w:type="dxa"/>
            <w:vAlign w:val="bottom"/>
          </w:tcPr>
          <w:p>
            <w:pPr>
              <w:spacing w:after="0"/>
              <w:rPr>
                <w:sz w:val="24"/>
                <w:szCs w:val="24"/>
                <w:color w:val="auto"/>
              </w:rPr>
            </w:pPr>
          </w:p>
        </w:tc>
        <w:tc>
          <w:tcPr>
            <w:tcW w:w="1140" w:type="dxa"/>
            <w:vAlign w:val="bottom"/>
          </w:tcPr>
          <w:p>
            <w:pPr>
              <w:jc w:val="right"/>
              <w:ind w:right="379"/>
              <w:spacing w:after="0"/>
              <w:rPr>
                <w:sz w:val="20"/>
                <w:szCs w:val="20"/>
                <w:color w:val="auto"/>
              </w:rPr>
            </w:pPr>
            <w:r>
              <w:rPr>
                <w:rFonts w:ascii="Arial" w:cs="Arial" w:eastAsia="Arial" w:hAnsi="Arial"/>
                <w:sz w:val="24"/>
                <w:szCs w:val="24"/>
                <w:color w:val="auto"/>
              </w:rPr>
              <w:t>2019</w:t>
            </w:r>
          </w:p>
        </w:tc>
      </w:tr>
      <w:tr>
        <w:trPr>
          <w:trHeight w:val="85"/>
        </w:trPr>
        <w:tc>
          <w:tcPr>
            <w:tcW w:w="33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shd w:val="clear" w:color="auto" w:fill="000000"/>
          </w:tcPr>
          <w:p>
            <w:pPr>
              <w:spacing w:after="0"/>
              <w:rPr>
                <w:sz w:val="7"/>
                <w:szCs w:val="7"/>
                <w:color w:val="auto"/>
              </w:rPr>
            </w:pPr>
          </w:p>
        </w:tc>
        <w:tc>
          <w:tcPr>
            <w:tcW w:w="1180" w:type="dxa"/>
            <w:vAlign w:val="bottom"/>
            <w:tcBorders>
              <w:bottom w:val="single" w:sz="8" w:color="auto"/>
            </w:tcBorders>
            <w:shd w:val="clear" w:color="auto" w:fill="000000"/>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r>
        <w:trPr>
          <w:trHeight w:val="331"/>
        </w:trPr>
        <w:tc>
          <w:tcPr>
            <w:tcW w:w="3300" w:type="dxa"/>
            <w:vAlign w:val="bottom"/>
          </w:tcPr>
          <w:p>
            <w:pPr>
              <w:spacing w:after="0"/>
              <w:rPr>
                <w:sz w:val="20"/>
                <w:szCs w:val="20"/>
                <w:color w:val="auto"/>
              </w:rPr>
            </w:pPr>
            <w:r>
              <w:rPr>
                <w:rFonts w:ascii="Arial" w:cs="Arial" w:eastAsia="Arial" w:hAnsi="Arial"/>
                <w:sz w:val="20"/>
                <w:szCs w:val="20"/>
                <w:color w:val="auto"/>
              </w:rPr>
              <w:t>INCOME STATEMENT DATA</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6"/>
        </w:trPr>
        <w:tc>
          <w:tcPr>
            <w:tcW w:w="3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shd w:val="clear" w:color="auto" w:fill="000000"/>
          </w:tcPr>
          <w:p>
            <w:pPr>
              <w:spacing w:after="0"/>
              <w:rPr>
                <w:sz w:val="8"/>
                <w:szCs w:val="8"/>
                <w:color w:val="auto"/>
              </w:rPr>
            </w:pPr>
          </w:p>
        </w:tc>
        <w:tc>
          <w:tcPr>
            <w:tcW w:w="1180" w:type="dxa"/>
            <w:vAlign w:val="bottom"/>
            <w:tcBorders>
              <w:bottom w:val="single" w:sz="8" w:color="auto"/>
            </w:tcBorders>
            <w:shd w:val="clear" w:color="auto" w:fill="000000"/>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399"/>
        </w:trPr>
        <w:tc>
          <w:tcPr>
            <w:tcW w:w="3300" w:type="dxa"/>
            <w:vAlign w:val="bottom"/>
          </w:tcPr>
          <w:p>
            <w:pPr>
              <w:spacing w:after="0"/>
              <w:rPr>
                <w:sz w:val="20"/>
                <w:szCs w:val="20"/>
                <w:color w:val="auto"/>
              </w:rPr>
            </w:pPr>
            <w:r>
              <w:rPr>
                <w:rFonts w:ascii="Arial" w:cs="Arial" w:eastAsia="Arial" w:hAnsi="Arial"/>
                <w:sz w:val="20"/>
                <w:szCs w:val="20"/>
                <w:color w:val="auto"/>
              </w:rPr>
              <w:t>Net Sales</w:t>
            </w:r>
          </w:p>
        </w:tc>
        <w:tc>
          <w:tcPr>
            <w:tcW w:w="400" w:type="dxa"/>
            <w:vAlign w:val="bottom"/>
            <w:shd w:val="clear" w:color="auto" w:fill="000000"/>
          </w:tcPr>
          <w:p>
            <w:pPr>
              <w:ind w:left="100"/>
              <w:spacing w:after="0"/>
              <w:rPr>
                <w:sz w:val="20"/>
                <w:szCs w:val="20"/>
                <w:color w:val="auto"/>
              </w:rPr>
            </w:pPr>
            <w:r>
              <w:rPr>
                <w:rFonts w:ascii="Arial" w:cs="Arial" w:eastAsia="Arial" w:hAnsi="Arial"/>
                <w:sz w:val="20"/>
                <w:szCs w:val="20"/>
                <w:color w:val="FFFFFF"/>
              </w:rPr>
              <w:t>$</w:t>
            </w:r>
          </w:p>
        </w:tc>
        <w:tc>
          <w:tcPr>
            <w:tcW w:w="1180" w:type="dxa"/>
            <w:vAlign w:val="bottom"/>
            <w:shd w:val="clear" w:color="auto" w:fill="000000"/>
          </w:tcPr>
          <w:p>
            <w:pPr>
              <w:jc w:val="right"/>
              <w:ind w:right="159"/>
              <w:spacing w:after="0"/>
              <w:rPr>
                <w:sz w:val="20"/>
                <w:szCs w:val="20"/>
                <w:color w:val="auto"/>
              </w:rPr>
            </w:pPr>
            <w:r>
              <w:rPr>
                <w:rFonts w:ascii="Arial" w:cs="Arial" w:eastAsia="Arial" w:hAnsi="Arial"/>
                <w:sz w:val="20"/>
                <w:szCs w:val="20"/>
                <w:color w:val="FFFFFF"/>
              </w:rPr>
              <w:t>390,136</w:t>
            </w:r>
          </w:p>
        </w:tc>
        <w:tc>
          <w:tcPr>
            <w:tcW w:w="300" w:type="dxa"/>
            <w:vAlign w:val="bottom"/>
          </w:tcPr>
          <w:p>
            <w:pPr>
              <w:jc w:val="right"/>
              <w:ind w:right="8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485,601</w:t>
            </w:r>
          </w:p>
        </w:tc>
        <w:tc>
          <w:tcPr>
            <w:tcW w:w="4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430,886</w:t>
            </w:r>
          </w:p>
        </w:tc>
        <w:tc>
          <w:tcPr>
            <w:tcW w:w="4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337,672</w:t>
            </w:r>
          </w:p>
        </w:tc>
        <w:tc>
          <w:tcPr>
            <w:tcW w:w="4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403,865</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Income (loss) from Operations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(3,135)</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34,865</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24,257</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(17,505)</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(2,450)</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Adjusted Income From Operations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1,261</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30,270</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24,257</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(2,300)</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5,591</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Net Income (loss)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(3,171)</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65,345</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18,042</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(10,421)</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(3,319)</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Adjusted Net Income</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1,225</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21,960</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18,042</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831</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2,631</w:t>
            </w:r>
          </w:p>
        </w:tc>
      </w:tr>
      <w:tr>
        <w:trPr>
          <w:trHeight w:val="279"/>
        </w:trPr>
        <w:tc>
          <w:tcPr>
            <w:tcW w:w="3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shd w:val="clear" w:color="auto" w:fill="000000"/>
          </w:tcPr>
          <w:p>
            <w:pPr>
              <w:spacing w:after="0"/>
              <w:rPr>
                <w:sz w:val="24"/>
                <w:szCs w:val="24"/>
                <w:color w:val="auto"/>
              </w:rPr>
            </w:pPr>
          </w:p>
        </w:tc>
        <w:tc>
          <w:tcPr>
            <w:tcW w:w="1180" w:type="dxa"/>
            <w:vAlign w:val="bottom"/>
            <w:tcBorders>
              <w:bottom w:val="single" w:sz="8" w:color="auto"/>
            </w:tcBorders>
            <w:shd w:val="clear" w:color="auto" w:fill="000000"/>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322"/>
        </w:trPr>
        <w:tc>
          <w:tcPr>
            <w:tcW w:w="3300" w:type="dxa"/>
            <w:vAlign w:val="bottom"/>
          </w:tcPr>
          <w:p>
            <w:pPr>
              <w:spacing w:after="0"/>
              <w:rPr>
                <w:sz w:val="20"/>
                <w:szCs w:val="20"/>
                <w:color w:val="auto"/>
              </w:rPr>
            </w:pPr>
            <w:r>
              <w:rPr>
                <w:rFonts w:ascii="Arial" w:cs="Arial" w:eastAsia="Arial" w:hAnsi="Arial"/>
                <w:sz w:val="20"/>
                <w:szCs w:val="20"/>
                <w:color w:val="auto"/>
              </w:rPr>
              <w:t>PER SHARE DATA</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5"/>
        </w:trPr>
        <w:tc>
          <w:tcPr>
            <w:tcW w:w="3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shd w:val="clear" w:color="auto" w:fill="000000"/>
          </w:tcPr>
          <w:p>
            <w:pPr>
              <w:spacing w:after="0"/>
              <w:rPr>
                <w:sz w:val="9"/>
                <w:szCs w:val="9"/>
                <w:color w:val="auto"/>
              </w:rPr>
            </w:pPr>
          </w:p>
        </w:tc>
        <w:tc>
          <w:tcPr>
            <w:tcW w:w="1180" w:type="dxa"/>
            <w:vAlign w:val="bottom"/>
            <w:tcBorders>
              <w:bottom w:val="single" w:sz="8" w:color="auto"/>
            </w:tcBorders>
            <w:shd w:val="clear" w:color="auto" w:fill="000000"/>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463"/>
        </w:trPr>
        <w:tc>
          <w:tcPr>
            <w:tcW w:w="3300" w:type="dxa"/>
            <w:vAlign w:val="bottom"/>
          </w:tcPr>
          <w:p>
            <w:pPr>
              <w:spacing w:after="0"/>
              <w:rPr>
                <w:sz w:val="20"/>
                <w:szCs w:val="20"/>
                <w:color w:val="auto"/>
              </w:rPr>
            </w:pPr>
            <w:r>
              <w:rPr>
                <w:rFonts w:ascii="Arial" w:cs="Arial" w:eastAsia="Arial" w:hAnsi="Arial"/>
                <w:sz w:val="20"/>
                <w:szCs w:val="20"/>
                <w:color w:val="auto"/>
              </w:rPr>
              <w:t>Diluted Income (loss)</w:t>
            </w:r>
          </w:p>
        </w:tc>
        <w:tc>
          <w:tcPr>
            <w:tcW w:w="400" w:type="dxa"/>
            <w:vAlign w:val="bottom"/>
            <w:shd w:val="clear" w:color="auto" w:fill="000000"/>
          </w:tcPr>
          <w:p>
            <w:pPr>
              <w:ind w:left="100"/>
              <w:spacing w:after="0"/>
              <w:rPr>
                <w:sz w:val="20"/>
                <w:szCs w:val="20"/>
                <w:color w:val="auto"/>
              </w:rPr>
            </w:pPr>
            <w:r>
              <w:rPr>
                <w:rFonts w:ascii="Arial" w:cs="Arial" w:eastAsia="Arial" w:hAnsi="Arial"/>
                <w:sz w:val="20"/>
                <w:szCs w:val="20"/>
                <w:color w:val="FFFFFF"/>
              </w:rPr>
              <w:t>$</w:t>
            </w:r>
          </w:p>
        </w:tc>
        <w:tc>
          <w:tcPr>
            <w:tcW w:w="1180" w:type="dxa"/>
            <w:vAlign w:val="bottom"/>
            <w:shd w:val="clear" w:color="auto" w:fill="000000"/>
          </w:tcPr>
          <w:p>
            <w:pPr>
              <w:jc w:val="right"/>
              <w:ind w:right="159"/>
              <w:spacing w:after="0"/>
              <w:rPr>
                <w:sz w:val="20"/>
                <w:szCs w:val="20"/>
                <w:color w:val="auto"/>
              </w:rPr>
            </w:pPr>
            <w:r>
              <w:rPr>
                <w:rFonts w:ascii="Arial" w:cs="Arial" w:eastAsia="Arial" w:hAnsi="Arial"/>
                <w:sz w:val="20"/>
                <w:szCs w:val="20"/>
                <w:color w:val="FFFFFF"/>
              </w:rPr>
              <w:t>(0.36)</w:t>
            </w:r>
          </w:p>
        </w:tc>
        <w:tc>
          <w:tcPr>
            <w:tcW w:w="300" w:type="dxa"/>
            <w:vAlign w:val="bottom"/>
          </w:tcPr>
          <w:p>
            <w:pPr>
              <w:jc w:val="right"/>
              <w:ind w:right="8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6.96</w:t>
            </w:r>
          </w:p>
        </w:tc>
        <w:tc>
          <w:tcPr>
            <w:tcW w:w="4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1.83</w:t>
            </w:r>
          </w:p>
        </w:tc>
        <w:tc>
          <w:tcPr>
            <w:tcW w:w="4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ind w:left="420"/>
              <w:spacing w:after="0"/>
              <w:rPr>
                <w:sz w:val="20"/>
                <w:szCs w:val="20"/>
                <w:color w:val="auto"/>
              </w:rPr>
            </w:pPr>
            <w:r>
              <w:rPr>
                <w:rFonts w:ascii="Arial" w:cs="Arial" w:eastAsia="Arial" w:hAnsi="Arial"/>
                <w:sz w:val="20"/>
                <w:szCs w:val="20"/>
                <w:color w:val="auto"/>
              </w:rPr>
              <w:t>(1.04)</w:t>
            </w:r>
          </w:p>
        </w:tc>
        <w:tc>
          <w:tcPr>
            <w:tcW w:w="4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(0.32)</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Adjusted Diluted Income</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0.14</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2.34</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1.83</w:t>
            </w:r>
          </w:p>
        </w:tc>
        <w:tc>
          <w:tcPr>
            <w:tcW w:w="4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Arial" w:cs="Arial" w:eastAsia="Arial" w:hAnsi="Arial"/>
                <w:sz w:val="20"/>
                <w:szCs w:val="20"/>
                <w:color w:val="auto"/>
              </w:rPr>
              <w:t>0.08</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0.26</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Cash Dividends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0.68</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2.10</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0.78</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0.455</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0.50</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Book Value</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20.92</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21.85</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16.67</w:t>
            </w:r>
          </w:p>
        </w:tc>
        <w:tc>
          <w:tcPr>
            <w:tcW w:w="460" w:type="dxa"/>
            <w:vAlign w:val="bottom"/>
          </w:tcPr>
          <w:p>
            <w:pPr>
              <w:spacing w:after="0"/>
              <w:rPr>
                <w:sz w:val="24"/>
                <w:szCs w:val="24"/>
                <w:color w:val="auto"/>
              </w:rPr>
            </w:pPr>
          </w:p>
        </w:tc>
        <w:tc>
          <w:tcPr>
            <w:tcW w:w="1080" w:type="dxa"/>
            <w:vAlign w:val="bottom"/>
          </w:tcPr>
          <w:p>
            <w:pPr>
              <w:jc w:val="right"/>
              <w:ind w:right="139"/>
              <w:spacing w:after="0"/>
              <w:rPr>
                <w:sz w:val="20"/>
                <w:szCs w:val="20"/>
                <w:color w:val="auto"/>
              </w:rPr>
            </w:pPr>
            <w:r>
              <w:rPr>
                <w:rFonts w:ascii="Arial" w:cs="Arial" w:eastAsia="Arial" w:hAnsi="Arial"/>
                <w:sz w:val="20"/>
                <w:szCs w:val="20"/>
                <w:color w:val="auto"/>
              </w:rPr>
              <w:t>15.89</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17.66</w:t>
            </w:r>
          </w:p>
        </w:tc>
      </w:tr>
      <w:tr>
        <w:trPr>
          <w:trHeight w:val="377"/>
        </w:trPr>
        <w:tc>
          <w:tcPr>
            <w:tcW w:w="3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shd w:val="clear" w:color="auto" w:fill="000000"/>
          </w:tcPr>
          <w:p>
            <w:pPr>
              <w:spacing w:after="0"/>
              <w:rPr>
                <w:sz w:val="24"/>
                <w:szCs w:val="24"/>
                <w:color w:val="auto"/>
              </w:rPr>
            </w:pPr>
          </w:p>
        </w:tc>
        <w:tc>
          <w:tcPr>
            <w:tcW w:w="1180" w:type="dxa"/>
            <w:vAlign w:val="bottom"/>
            <w:tcBorders>
              <w:bottom w:val="single" w:sz="8" w:color="auto"/>
            </w:tcBorders>
            <w:shd w:val="clear" w:color="auto" w:fill="000000"/>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322"/>
        </w:trPr>
        <w:tc>
          <w:tcPr>
            <w:tcW w:w="3300" w:type="dxa"/>
            <w:vAlign w:val="bottom"/>
          </w:tcPr>
          <w:p>
            <w:pPr>
              <w:spacing w:after="0"/>
              <w:rPr>
                <w:sz w:val="20"/>
                <w:szCs w:val="20"/>
                <w:color w:val="auto"/>
              </w:rPr>
            </w:pPr>
            <w:r>
              <w:rPr>
                <w:rFonts w:ascii="Arial" w:cs="Arial" w:eastAsia="Arial" w:hAnsi="Arial"/>
                <w:sz w:val="20"/>
                <w:szCs w:val="20"/>
                <w:color w:val="auto"/>
              </w:rPr>
              <w:t>BALANCE SHEET DATA</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5"/>
        </w:trPr>
        <w:tc>
          <w:tcPr>
            <w:tcW w:w="3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shd w:val="clear" w:color="auto" w:fill="000000"/>
          </w:tcPr>
          <w:p>
            <w:pPr>
              <w:spacing w:after="0"/>
              <w:rPr>
                <w:sz w:val="9"/>
                <w:szCs w:val="9"/>
                <w:color w:val="auto"/>
              </w:rPr>
            </w:pPr>
          </w:p>
        </w:tc>
        <w:tc>
          <w:tcPr>
            <w:tcW w:w="1180" w:type="dxa"/>
            <w:vAlign w:val="bottom"/>
            <w:tcBorders>
              <w:bottom w:val="single" w:sz="8" w:color="auto"/>
            </w:tcBorders>
            <w:shd w:val="clear" w:color="auto" w:fill="000000"/>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r>
      <w:tr>
        <w:trPr>
          <w:trHeight w:val="414"/>
        </w:trPr>
        <w:tc>
          <w:tcPr>
            <w:tcW w:w="330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400" w:type="dxa"/>
            <w:vAlign w:val="bottom"/>
            <w:shd w:val="clear" w:color="auto" w:fill="000000"/>
          </w:tcPr>
          <w:p>
            <w:pPr>
              <w:ind w:left="100"/>
              <w:spacing w:after="0"/>
              <w:rPr>
                <w:sz w:val="20"/>
                <w:szCs w:val="20"/>
                <w:color w:val="auto"/>
              </w:rPr>
            </w:pPr>
            <w:r>
              <w:rPr>
                <w:rFonts w:ascii="Arial" w:cs="Arial" w:eastAsia="Arial" w:hAnsi="Arial"/>
                <w:sz w:val="20"/>
                <w:szCs w:val="20"/>
                <w:color w:val="FFFFFF"/>
              </w:rPr>
              <w:t>$</w:t>
            </w: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52,407</w:t>
            </w:r>
          </w:p>
        </w:tc>
        <w:tc>
          <w:tcPr>
            <w:tcW w:w="300" w:type="dxa"/>
            <w:vAlign w:val="bottom"/>
          </w:tcPr>
          <w:p>
            <w:pPr>
              <w:jc w:val="right"/>
              <w:ind w:right="80"/>
              <w:spacing w:after="0"/>
              <w:rPr>
                <w:sz w:val="20"/>
                <w:szCs w:val="20"/>
                <w:color w:val="auto"/>
              </w:rPr>
            </w:pPr>
            <w:r>
              <w:rPr>
                <w:rFonts w:ascii="Arial" w:cs="Arial" w:eastAsia="Arial" w:hAnsi="Arial"/>
                <w:sz w:val="20"/>
                <w:szCs w:val="20"/>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61,625</w:t>
            </w:r>
          </w:p>
        </w:tc>
        <w:tc>
          <w:tcPr>
            <w:tcW w:w="4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34,374</w:t>
            </w:r>
          </w:p>
        </w:tc>
        <w:tc>
          <w:tcPr>
            <w:tcW w:w="4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45,799</w:t>
            </w:r>
          </w:p>
        </w:tc>
        <w:tc>
          <w:tcPr>
            <w:tcW w:w="4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19,687</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Investments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17,775</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17,715</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17,715</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17,715</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17,436</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Total Assets</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370,424</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406,273</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421,660</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402,548</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275,766</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Long-Term Debt</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w:t>
            </w:r>
          </w:p>
        </w:tc>
      </w:tr>
      <w:tr>
        <w:trPr>
          <w:trHeight w:val="360"/>
        </w:trPr>
        <w:tc>
          <w:tcPr>
            <w:tcW w:w="3300" w:type="dxa"/>
            <w:vAlign w:val="bottom"/>
          </w:tcPr>
          <w:p>
            <w:pPr>
              <w:spacing w:after="0"/>
              <w:rPr>
                <w:sz w:val="20"/>
                <w:szCs w:val="20"/>
                <w:color w:val="auto"/>
              </w:rPr>
            </w:pPr>
            <w:r>
              <w:rPr>
                <w:rFonts w:ascii="Arial" w:cs="Arial" w:eastAsia="Arial" w:hAnsi="Arial"/>
                <w:sz w:val="20"/>
                <w:szCs w:val="20"/>
                <w:color w:val="auto"/>
              </w:rPr>
              <w:t>Stockholders’ Equity</w:t>
            </w:r>
          </w:p>
        </w:tc>
        <w:tc>
          <w:tcPr>
            <w:tcW w:w="400" w:type="dxa"/>
            <w:vAlign w:val="bottom"/>
            <w:shd w:val="clear" w:color="auto" w:fill="000000"/>
          </w:tcPr>
          <w:p>
            <w:pPr>
              <w:spacing w:after="0"/>
              <w:rPr>
                <w:sz w:val="24"/>
                <w:szCs w:val="24"/>
                <w:color w:val="auto"/>
              </w:rPr>
            </w:pPr>
          </w:p>
        </w:tc>
        <w:tc>
          <w:tcPr>
            <w:tcW w:w="1180" w:type="dxa"/>
            <w:vAlign w:val="bottom"/>
            <w:shd w:val="clear" w:color="auto" w:fill="000000"/>
          </w:tcPr>
          <w:p>
            <w:pPr>
              <w:jc w:val="right"/>
              <w:ind w:right="199"/>
              <w:spacing w:after="0"/>
              <w:rPr>
                <w:sz w:val="20"/>
                <w:szCs w:val="20"/>
                <w:color w:val="auto"/>
              </w:rPr>
            </w:pPr>
            <w:r>
              <w:rPr>
                <w:rFonts w:ascii="Arial" w:cs="Arial" w:eastAsia="Arial" w:hAnsi="Arial"/>
                <w:sz w:val="20"/>
                <w:szCs w:val="20"/>
                <w:color w:val="FFFFFF"/>
              </w:rPr>
              <w:t>183,441</w:t>
            </w:r>
          </w:p>
        </w:tc>
        <w:tc>
          <w:tcPr>
            <w:tcW w:w="300" w:type="dxa"/>
            <w:vAlign w:val="bottom"/>
          </w:tcPr>
          <w:p>
            <w:pPr>
              <w:spacing w:after="0"/>
              <w:rPr>
                <w:sz w:val="24"/>
                <w:szCs w:val="24"/>
                <w:color w:val="auto"/>
              </w:rPr>
            </w:pPr>
          </w:p>
        </w:tc>
        <w:tc>
          <w:tcPr>
            <w:tcW w:w="1020" w:type="dxa"/>
            <w:vAlign w:val="bottom"/>
          </w:tcPr>
          <w:p>
            <w:pPr>
              <w:jc w:val="right"/>
              <w:ind w:right="39"/>
              <w:spacing w:after="0"/>
              <w:rPr>
                <w:sz w:val="20"/>
                <w:szCs w:val="20"/>
                <w:color w:val="auto"/>
              </w:rPr>
            </w:pPr>
            <w:r>
              <w:rPr>
                <w:rFonts w:ascii="Arial" w:cs="Arial" w:eastAsia="Arial" w:hAnsi="Arial"/>
                <w:sz w:val="20"/>
                <w:szCs w:val="20"/>
                <w:color w:val="auto"/>
              </w:rPr>
              <w:t>195,609</w:t>
            </w:r>
          </w:p>
        </w:tc>
        <w:tc>
          <w:tcPr>
            <w:tcW w:w="44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20"/>
                <w:szCs w:val="20"/>
                <w:color w:val="auto"/>
              </w:rPr>
              <w:t>162,732</w:t>
            </w:r>
          </w:p>
        </w:tc>
        <w:tc>
          <w:tcPr>
            <w:tcW w:w="460" w:type="dxa"/>
            <w:vAlign w:val="bottom"/>
          </w:tcPr>
          <w:p>
            <w:pPr>
              <w:spacing w:after="0"/>
              <w:rPr>
                <w:sz w:val="24"/>
                <w:szCs w:val="24"/>
                <w:color w:val="auto"/>
              </w:rPr>
            </w:pPr>
          </w:p>
        </w:tc>
        <w:tc>
          <w:tcPr>
            <w:tcW w:w="1080" w:type="dxa"/>
            <w:vAlign w:val="bottom"/>
          </w:tcPr>
          <w:p>
            <w:pPr>
              <w:jc w:val="right"/>
              <w:ind w:right="99"/>
              <w:spacing w:after="0"/>
              <w:rPr>
                <w:sz w:val="20"/>
                <w:szCs w:val="20"/>
                <w:color w:val="auto"/>
              </w:rPr>
            </w:pPr>
            <w:r>
              <w:rPr>
                <w:rFonts w:ascii="Arial" w:cs="Arial" w:eastAsia="Arial" w:hAnsi="Arial"/>
                <w:sz w:val="20"/>
                <w:szCs w:val="20"/>
                <w:color w:val="auto"/>
              </w:rPr>
              <w:t>158,030</w:t>
            </w:r>
          </w:p>
        </w:tc>
        <w:tc>
          <w:tcPr>
            <w:tcW w:w="44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Arial" w:cs="Arial" w:eastAsia="Arial" w:hAnsi="Arial"/>
                <w:sz w:val="20"/>
                <w:szCs w:val="20"/>
                <w:color w:val="auto"/>
              </w:rPr>
              <w:t>178,670</w:t>
            </w:r>
          </w:p>
        </w:tc>
      </w:tr>
      <w:tr>
        <w:trPr>
          <w:trHeight w:val="111"/>
        </w:trPr>
        <w:tc>
          <w:tcPr>
            <w:tcW w:w="3300" w:type="dxa"/>
            <w:vAlign w:val="bottom"/>
          </w:tcPr>
          <w:p>
            <w:pPr>
              <w:spacing w:after="0"/>
              <w:rPr>
                <w:sz w:val="9"/>
                <w:szCs w:val="9"/>
                <w:color w:val="auto"/>
              </w:rPr>
            </w:pPr>
          </w:p>
        </w:tc>
        <w:tc>
          <w:tcPr>
            <w:tcW w:w="400" w:type="dxa"/>
            <w:vAlign w:val="bottom"/>
            <w:shd w:val="clear" w:color="auto" w:fill="000000"/>
          </w:tcPr>
          <w:p>
            <w:pPr>
              <w:spacing w:after="0"/>
              <w:rPr>
                <w:sz w:val="9"/>
                <w:szCs w:val="9"/>
                <w:color w:val="auto"/>
              </w:rPr>
            </w:pPr>
          </w:p>
        </w:tc>
        <w:tc>
          <w:tcPr>
            <w:tcW w:w="1180" w:type="dxa"/>
            <w:vAlign w:val="bottom"/>
            <w:shd w:val="clear" w:color="auto" w:fill="000000"/>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2303780</wp:posOffset>
                </wp:positionH>
                <wp:positionV relativeFrom="paragraph">
                  <wp:posOffset>-3056890</wp:posOffset>
                </wp:positionV>
                <wp:extent cx="5943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240.6999pt" to="228.2pt,-240.6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2303780</wp:posOffset>
                </wp:positionH>
                <wp:positionV relativeFrom="paragraph">
                  <wp:posOffset>-4697730</wp:posOffset>
                </wp:positionV>
                <wp:extent cx="59436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369.8999pt" to="228.2pt,-369.8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2303780</wp:posOffset>
                </wp:positionH>
                <wp:positionV relativeFrom="paragraph">
                  <wp:posOffset>-4414520</wp:posOffset>
                </wp:positionV>
                <wp:extent cx="5943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347.5999pt" to="228.2pt,-347.5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2303780</wp:posOffset>
                </wp:positionH>
                <wp:positionV relativeFrom="paragraph">
                  <wp:posOffset>-2766695</wp:posOffset>
                </wp:positionV>
                <wp:extent cx="59436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217.8499pt" to="228.2pt,-217.84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2303780</wp:posOffset>
                </wp:positionH>
                <wp:positionV relativeFrom="paragraph">
                  <wp:posOffset>-1546860</wp:posOffset>
                </wp:positionV>
                <wp:extent cx="59436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121.7999pt" to="228.2pt,-121.7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2303780</wp:posOffset>
                </wp:positionH>
                <wp:positionV relativeFrom="paragraph">
                  <wp:posOffset>-1244600</wp:posOffset>
                </wp:positionV>
                <wp:extent cx="59436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4pt,-98pt" to="228.2pt,-98pt" o:allowincell="f" strokecolor="#FFFFFF" strokeweight="0.5pt"/>
            </w:pict>
          </mc:Fallback>
        </mc:AlternateContent>
      </w:r>
    </w:p>
    <w:p>
      <w:pPr>
        <w:sectPr>
          <w:pgSz w:w="12240" w:h="15840" w:orient="portrait"/>
          <w:cols w:equalWidth="0" w:num="1">
            <w:col w:w="10800"/>
          </w:cols>
          <w:pgMar w:left="720" w:top="1440" w:right="720" w:bottom="1440" w:gutter="0" w:footer="0" w:header="0"/>
        </w:sectPr>
      </w:pPr>
    </w:p>
    <w:bookmarkStart w:id="3" w:name="page4"/>
    <w:bookmarkEnd w:id="3"/>
    <w:p>
      <w:pPr>
        <w:jc w:val="center"/>
        <w:spacing w:after="0"/>
        <w:rPr>
          <w:sz w:val="20"/>
          <w:szCs w:val="20"/>
          <w:color w:val="auto"/>
        </w:rPr>
      </w:pPr>
      <w:r>
        <w:rPr>
          <w:rFonts w:ascii="Arial" w:cs="Arial" w:eastAsia="Arial" w:hAnsi="Arial"/>
          <w:sz w:val="24"/>
          <w:szCs w:val="24"/>
          <w:color w:val="auto"/>
        </w:rPr>
        <w:t>TO OUR SHAREHOLDERS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260" w:right="1260"/>
        <w:spacing w:after="0" w:line="443" w:lineRule="auto"/>
        <w:rPr>
          <w:sz w:val="20"/>
          <w:szCs w:val="20"/>
          <w:color w:val="auto"/>
        </w:rPr>
      </w:pPr>
      <w:r>
        <w:rPr>
          <w:rFonts w:ascii="Arial" w:cs="Arial" w:eastAsia="Arial" w:hAnsi="Arial"/>
          <w:sz w:val="19"/>
          <w:szCs w:val="19"/>
          <w:color w:val="auto"/>
        </w:rPr>
        <w:t>The other side of the COVID sales boom has proven to be a rough ride for the home furnishings sector. Demand has decreased dramatically from the frenzy of 2020-2021 and the repercussions have been widespread, including the bankruptcies of several noteworthy players in our industry over the past twelve months. But the depth of those buying furniture for the future is substantial and the millennial generation is now driving the U. S. housing market. Bassett is focused on honing our core strengths as we manage through the short term industry downturn in preparation for the growth in furniture sales that we envision in the future.</w:t>
      </w:r>
    </w:p>
    <w:p>
      <w:pPr>
        <w:spacing w:after="0" w:line="370" w:lineRule="exact"/>
        <w:rPr>
          <w:sz w:val="20"/>
          <w:szCs w:val="20"/>
          <w:color w:val="auto"/>
        </w:rPr>
      </w:pPr>
    </w:p>
    <w:p>
      <w:pPr>
        <w:jc w:val="both"/>
        <w:ind w:left="1260" w:right="1260"/>
        <w:spacing w:after="0" w:line="441" w:lineRule="auto"/>
        <w:rPr>
          <w:sz w:val="20"/>
          <w:szCs w:val="20"/>
          <w:color w:val="auto"/>
        </w:rPr>
      </w:pPr>
      <w:r>
        <w:rPr>
          <w:rFonts w:ascii="Arial" w:cs="Arial" w:eastAsia="Arial" w:hAnsi="Arial"/>
          <w:sz w:val="19"/>
          <w:szCs w:val="19"/>
          <w:color w:val="auto"/>
        </w:rPr>
        <w:t>As the steam ran out of the stay at home trend, nationwide home-related product sales retreated in 2023. While consumer preferences shifted to experiential pursuits, Bassett’s consolidated net sales dropped by 19.7% to $390.1 million. The combination of the sales decline, the burden of the costs from the inflated ocean freight of 2021/2022, and the goodwill impairment charge associated with the 2022 purchase of Canadian e-commerce retailer Noa produced a GAAP operating loss of ($3.1) million and an adjusted operating profit of $1.3 million. Working capital reductions helped us generate $18.7 million of operating cash flow despite the sales decline. Our balance sheet remained strong with a year-end cash and equivalents balance of $70.2 million and no outstanding bank debt. In July, our Board of Directors increased our quarterly dividend for the third consecutive year, which now stands at 0.18 per quarter. We invested $17.5 million of capital into the enterprise, primarily around new stores and technology. The modernization of our Haleyville, Alabama aluminum outdoor furniture manufacturing facility was also completed in 2023. Our plan for capital investment for 2024 is $12-$14 million.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one might imagine, we spent a significant part of 2023 adjusting our</w:t>
      </w:r>
    </w:p>
    <w:p>
      <w:pPr>
        <w:sectPr>
          <w:pgSz w:w="12240" w:h="15840" w:orient="portrait"/>
          <w:cols w:equalWidth="0" w:num="1">
            <w:col w:w="9360"/>
          </w:cols>
          <w:pgMar w:left="1440" w:top="1325" w:right="1440" w:bottom="1440" w:gutter="0" w:footer="0" w:header="0"/>
        </w:sect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ectPr>
          <w:pgSz w:w="12240" w:h="15840" w:orient="portrait"/>
          <w:cols w:equalWidth="0" w:num="1">
            <w:col w:w="9360"/>
          </w:cols>
          <w:pgMar w:left="1440" w:top="1325" w:right="1440"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260" w:right="1260"/>
        <w:spacing w:after="0" w:line="444" w:lineRule="auto"/>
        <w:rPr>
          <w:sz w:val="20"/>
          <w:szCs w:val="20"/>
          <w:color w:val="auto"/>
        </w:rPr>
      </w:pPr>
      <w:r>
        <w:rPr>
          <w:rFonts w:ascii="Arial" w:cs="Arial" w:eastAsia="Arial" w:hAnsi="Arial"/>
          <w:sz w:val="19"/>
          <w:szCs w:val="19"/>
          <w:color w:val="auto"/>
        </w:rPr>
        <w:t>business model to the shrinking furniture environment. In our wholesale sector, this initially entailed the reduction of scheduled hours in our manufacturing facilities and was followed by the general scaling down of our workforce. Simultaneously, we shrank imported finished goods inventories in our Club Level and wood product lines that were built during the pandemic supply chain mess by 42%. The inflated freight costs that were incurred during the pandemic hit our margins hard throughout the year as the inventory reduction unfolded. We twice wrote down the value of certain slow moving styles of Club Level over the course of the year. With the right sizing of our manufacturing work force behind us and with our imported finished goods inventory reductions almost done, we expect to see margin improvements in our wholesale segment in 2024.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left="1260" w:right="1260"/>
        <w:spacing w:after="0" w:line="443" w:lineRule="auto"/>
        <w:rPr>
          <w:sz w:val="20"/>
          <w:szCs w:val="20"/>
          <w:color w:val="auto"/>
        </w:rPr>
      </w:pPr>
      <w:r>
        <w:rPr>
          <w:rFonts w:ascii="Arial" w:cs="Arial" w:eastAsia="Arial" w:hAnsi="Arial"/>
          <w:sz w:val="19"/>
          <w:szCs w:val="19"/>
          <w:color w:val="auto"/>
        </w:rPr>
        <w:t>On the heels of our best year ever in 2022, our retail team steered their segment through the turbulence of a $50 million reduction in delivered sales. They closed two stores and an outlet, temporarily closed another store while undergoing remodeling, and bore the preopening expense prior to the opening of a new location. They were able to keep gross margins largely intact while all this went on. We opened a flagship store in an exciting location in Tampa on January 19, 2024. Two years of planning went into the creation of this beautiful showcase for our brand. Another new store will open in Houston in February before we embark upon a remodeling program that will update five to six stores over the remainder of the year.</w:t>
      </w:r>
    </w:p>
    <w:p>
      <w:pPr>
        <w:spacing w:after="0" w:line="367" w:lineRule="exact"/>
        <w:rPr>
          <w:sz w:val="20"/>
          <w:szCs w:val="20"/>
          <w:color w:val="auto"/>
        </w:rPr>
      </w:pPr>
    </w:p>
    <w:p>
      <w:pPr>
        <w:jc w:val="both"/>
        <w:ind w:left="1260" w:right="1260"/>
        <w:spacing w:after="0" w:line="450" w:lineRule="auto"/>
        <w:rPr>
          <w:sz w:val="20"/>
          <w:szCs w:val="20"/>
          <w:color w:val="auto"/>
        </w:rPr>
      </w:pPr>
      <w:r>
        <w:rPr>
          <w:rFonts w:ascii="Arial" w:cs="Arial" w:eastAsia="Arial" w:hAnsi="Arial"/>
          <w:sz w:val="19"/>
          <w:szCs w:val="19"/>
          <w:color w:val="auto"/>
        </w:rPr>
        <w:t>Significant investments in technology are the norm in business today and Bassett is not an exception. The integration of our business intelligence application in 2022 continues to bear fruit and has changed the culture of the sales and merchandising organizations as more detailed and pertinent</w:t>
      </w:r>
    </w:p>
    <w:p>
      <w:pPr>
        <w:sectPr>
          <w:pgSz w:w="12240" w:h="15840" w:orient="portrait"/>
          <w:cols w:equalWidth="0" w:num="1">
            <w:col w:w="9360"/>
          </w:cols>
          <w:pgMar w:left="1440" w:top="1440" w:right="1440" w:bottom="1440" w:gutter="0" w:footer="0" w:header="0"/>
        </w:sectPr>
      </w:pP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ectPr>
          <w:pgSz w:w="12240" w:h="15840" w:orient="portrait"/>
          <w:cols w:equalWidth="0" w:num="1">
            <w:col w:w="9360"/>
          </w:cols>
          <w:pgMar w:left="1440" w:top="1440" w:right="1440"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520" w:right="1520"/>
        <w:spacing w:after="0" w:line="442" w:lineRule="auto"/>
        <w:rPr>
          <w:sz w:val="20"/>
          <w:szCs w:val="20"/>
          <w:color w:val="auto"/>
        </w:rPr>
      </w:pPr>
      <w:r>
        <w:rPr>
          <w:rFonts w:ascii="Arial" w:cs="Arial" w:eastAsia="Arial" w:hAnsi="Arial"/>
          <w:sz w:val="19"/>
          <w:szCs w:val="19"/>
          <w:color w:val="auto"/>
        </w:rPr>
        <w:t>information is now instantly accessible. The product information management system that also debuted in 2022 now provides visibility to the product development process to the entire organization and forms the basis by which the logic for introducing goods into our new website rests. On August 10, 2023 the new bassettfurniture.com site went live. The system has been stable since day one. The organization is now fully absorbed in the management of our world class platform that is so essential to the future. We have only really begun to take advantage of the opportunity that our investment represents but we are pleased that consumers are opening more pages on the new site and spending more time there when they visit. Our average order value has risen and we are interested to see that consumers are buying more products on the web of the premium portion of our assortment than ever before.</w:t>
      </w:r>
    </w:p>
    <w:p>
      <w:pPr>
        <w:spacing w:after="0" w:line="369" w:lineRule="exact"/>
        <w:rPr>
          <w:sz w:val="20"/>
          <w:szCs w:val="20"/>
          <w:color w:val="auto"/>
        </w:rPr>
      </w:pPr>
    </w:p>
    <w:p>
      <w:pPr>
        <w:jc w:val="both"/>
        <w:ind w:left="1520" w:right="1520"/>
        <w:spacing w:after="0" w:line="443" w:lineRule="auto"/>
        <w:rPr>
          <w:sz w:val="20"/>
          <w:szCs w:val="20"/>
          <w:color w:val="auto"/>
        </w:rPr>
      </w:pPr>
      <w:r>
        <w:rPr>
          <w:rFonts w:ascii="Arial" w:cs="Arial" w:eastAsia="Arial" w:hAnsi="Arial"/>
          <w:sz w:val="19"/>
          <w:szCs w:val="19"/>
          <w:color w:val="auto"/>
        </w:rPr>
        <w:t>The rationale for the acquisition of Noa Home in September 2022 was to gain insight into the model of a pure play e-commerce company for a relatively modest investment. Although the e-commerce landscape for furniture has gotten significantly tougher since mid-2022 when we were considering the acquisition, we remain committed to improving the business and cross-pollinating the Noa and Bassett digital efforts to become a stronger player in the space. In the next few months, we plan to exit the Australian e-commerce market, where we primarily sell mattresses, to concentrate on North America where we primarily sell furniture. With the softening of e-commerce sales in general, however, the financial performance of Noa is behind our original projections, leading us to record a noncash goodwill impairment charge of $5.4 million at the end of 2023.</w:t>
      </w:r>
    </w:p>
    <w:p>
      <w:pPr>
        <w:sectPr>
          <w:pgSz w:w="12240" w:h="15840" w:orient="portrait"/>
          <w:cols w:equalWidth="0" w:num="1">
            <w:col w:w="936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ectPr>
          <w:pgSz w:w="12240" w:h="15840" w:orient="portrait"/>
          <w:cols w:equalWidth="0" w:num="1">
            <w:col w:w="9360"/>
          </w:cols>
          <w:pgMar w:left="1440" w:top="1440" w:right="1440"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1160" w:right="1160"/>
        <w:spacing w:after="0" w:line="441" w:lineRule="auto"/>
        <w:rPr>
          <w:sz w:val="20"/>
          <w:szCs w:val="20"/>
          <w:color w:val="auto"/>
        </w:rPr>
      </w:pPr>
      <w:r>
        <w:rPr>
          <w:rFonts w:ascii="Arial" w:cs="Arial" w:eastAsia="Arial" w:hAnsi="Arial"/>
          <w:sz w:val="19"/>
          <w:szCs w:val="19"/>
          <w:color w:val="auto"/>
        </w:rPr>
        <w:t>Although we import a variety of products from various countries around the world, 77% of our furniture is manufactured domestically. Removing the Club Level program from the total, 86% is boxed at one of our six domestic facilities. This is extremely unusual in today’s home furnishings marketplace where imports dominate. We do this to offer a point of differentiation for Bassett and to support the design projects that drive our business at our stores and in our 100 Bassett Design Center accounts around the U.S. This personalized, high touch selling approach is supported by 250 well trained designers in our store network. As we lead our organization through the soft sales environment, we are burnishing our strengths of design, customization, and personalized service to keep our product line, our manufacturing facilities, and our stores at a high level of productivity. We are integrating and training on the technology that supports our sales efforts, whether it be product visualization, space planning, or name and email capture at the store level. Through this technology, our customized furniture configurations and the fabrics and finishes that make them unique come to life and inspire consumers. Our new website will house many of these offerings and allow consumers to experience Bassett prior to a trip to a store or to making an online purchase. We will begin to upgrade our older stores to present these capabilities in a more compelling manner for the future. These improvements will migrate to our Bassett Design Center accounts as we strengthen our primary sales channel outside of the Bassett store network as well.</w:t>
      </w:r>
    </w:p>
    <w:p>
      <w:pPr>
        <w:spacing w:after="0" w:line="369" w:lineRule="exact"/>
        <w:rPr>
          <w:sz w:val="20"/>
          <w:szCs w:val="20"/>
          <w:color w:val="auto"/>
        </w:rPr>
      </w:pPr>
    </w:p>
    <w:p>
      <w:pPr>
        <w:jc w:val="both"/>
        <w:ind w:left="1160" w:right="1160"/>
        <w:spacing w:after="0" w:line="447" w:lineRule="auto"/>
        <w:rPr>
          <w:sz w:val="20"/>
          <w:szCs w:val="20"/>
          <w:color w:val="auto"/>
        </w:rPr>
      </w:pPr>
      <w:r>
        <w:rPr>
          <w:rFonts w:ascii="Arial" w:cs="Arial" w:eastAsia="Arial" w:hAnsi="Arial"/>
          <w:sz w:val="19"/>
          <w:szCs w:val="19"/>
          <w:color w:val="auto"/>
        </w:rPr>
        <w:t>In short, in times such as these, the best course of action for us is to build upon the strategies that differentiate us and that we know appeal to our targeted consumers. In so doing, we aim to improve our financial performance while maintaining our financial strength. We appreciate the efforts of our associates and the support of our shareholders and customers as we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233680</wp:posOffset>
            </wp:positionV>
            <wp:extent cx="1932305" cy="513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extLst>
                    </a:blip>
                    <a:srcRect/>
                    <a:stretch>
                      <a:fillRect/>
                    </a:stretch>
                  </pic:blipFill>
                  <pic:spPr bwMode="auto">
                    <a:xfrm>
                      <a:off x="0" y="0"/>
                      <a:ext cx="1932305" cy="513080"/>
                    </a:xfrm>
                    <a:prstGeom prst="rect">
                      <a:avLst/>
                    </a:prstGeom>
                    <a:noFill/>
                  </pic:spPr>
                </pic:pic>
              </a:graphicData>
            </a:graphic>
          </wp:anchor>
        </w:drawing>
      </w:r>
    </w:p>
    <w:p>
      <w:pPr>
        <w:sectPr>
          <w:pgSz w:w="12240" w:h="15840" w:orient="portrait"/>
          <w:cols w:equalWidth="0" w:num="1">
            <w:col w:w="9360"/>
          </w:cols>
          <w:pgMar w:left="1440" w:top="1440" w:right="1440" w:bottom="1440" w:gutter="0" w:footer="0" w:header="0"/>
        </w:sectPr>
      </w:pPr>
    </w:p>
    <w:bookmarkStart w:id="7" w:name="page8"/>
    <w:bookmarkEnd w:id="7"/>
    <w:p>
      <w:pPr>
        <w:ind w:right="2340"/>
        <w:spacing w:after="0" w:line="281"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w:t>
      </w:r>
      <w:r>
        <w:rPr>
          <w:rFonts w:ascii="Times New Roman" w:cs="Times New Roman" w:eastAsia="Times New Roman" w:hAnsi="Times New Roman"/>
          <w:sz w:val="20"/>
          <w:szCs w:val="20"/>
          <w:color w:val="auto"/>
        </w:rPr>
        <w:t>(Amounts in thousands except share and per share data)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Bassett is a leading retailer, manufacturer and marketer of branded home furnishings. Our products are sold primarily through a network of Company-owned and licensee-owned branded stores under the Bassett Home Furnishings (“BHF”) name, with additional distribution through other wholesale channels including multi-line furniture stores, many of which feature Bassett galleries or design centers. We also sell our products through our newly redesigned website at </w:t>
      </w:r>
      <w:r>
        <w:rPr>
          <w:rFonts w:ascii="Times New Roman" w:cs="Times New Roman" w:eastAsia="Times New Roman" w:hAnsi="Times New Roman"/>
          <w:sz w:val="20"/>
          <w:szCs w:val="20"/>
          <w:u w:val="single" w:color="auto"/>
          <w:color w:val="auto"/>
        </w:rPr>
        <w:t>www.bassettfurniture.com</w:t>
      </w:r>
      <w:r>
        <w:rPr>
          <w:rFonts w:ascii="Times New Roman" w:cs="Times New Roman" w:eastAsia="Times New Roman" w:hAnsi="Times New Roman"/>
          <w:sz w:val="20"/>
          <w:szCs w:val="20"/>
          <w:color w:val="auto"/>
        </w:rPr>
        <w:t>. We were founded in 1902 and incorporated under the laws of Virginia in 1930. Our rich 121-year history has instilled the principles of quality, value, and integrity in everything we do, while simultaneously providing us with the expertise to respond to ever-changing consumer tastes and meet the demands of a global economy.</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With 87 BHF stores at November 25, 2023, we have leveraged our strong brand name in furniture into a network of Company-owned and licensed stores that focus on providing consumers with a friendly and casual environment for buying furniture and accessories. Our store program is designed to provide a single source home furnishings retail store that provides a unique combination of stylish, quality furniture and accessories with a high level of customer service. In order for the Bassett brand to reach markets that cannot be effectively served by our retail store network, we also distribute our products through other wholesale channels including multi-line furniture stores, many of which feature Bassett galleries or design centers. We use a network of over 30 independent sales representatives who have stated geographical territories. These sales representatives are compensated based on a standard commission rate. We believe this blended strategy provides us the greatest ability to effectively distribute our products throughout the United States and ultimately gain market share.</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BHF stores feature custom order furniture, free in-home or virtual design visits (“home makeovers”) and coordinated decorating accessories. Our philosophy is based on building strong long-term relationships with each customer. Salespeople are referred to as “Design Consultants” and are trained to evaluate customer needs and provide comprehensive solutions for their home decor. Until a rigorous training and design certification program is completed, Design Consultants are not authorized to perform in-home or virtual design services for our customers.</w:t>
      </w:r>
    </w:p>
    <w:p>
      <w:pPr>
        <w:spacing w:after="0" w:line="18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consider our website to be the front door to our brand experience where customers can research our furniture and accessory offerings and subsequently buy online or engage with an in-store design consultant. Digital outreach strategies have become the primary vehicle for brand advertising and customer acquisition. As a result, we have been engaged in a multi-year cross-functional digital transformation initiative with the first phase consisting of the examination and improvement of our underlying data management processes. During fiscal 2022, we implemented a comprehensive Product Information Management system which allows us to enhance and standardize our product development and data management and governance processes. This results in more consistent data that our merchandizing and sales teams can use in analyzing various product and sales trends in order to make better informed decisions. We also introduced a new web platform in August of 2023 that leverages world class features including enhanced customer research capabilities and streamlined navigation. Since the debut of the new site, we have seen increased engagement with the brand through a greater number of page views per customer along with more time spent on the site. We have also seen an increase in average order value that has resulted in increased e-commerce revenue. We plan to implement several enhancements to the site in 2024 that will improve the overall customer experience and brand presentation. While we have made it easier to purchase on-line, we will not compromise our in-store experience or the quality of our in-home makeover capabilities. We spent over $4 million on developing and implementing the new website in 2023.</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During the fourth quarter of fiscal 2022 we acquired Noa Home for $5,878 cash plus contingent consideration of $1,375 (see Note 3 to the Consolidated Financial Statements for additional information regarding the acquisition). A mid-priced e-commerce furniture retailer headquartered in Montreal, Canada, Noa Home has operations in Canada, Australia, Singapore and the United Kingdom. With a lean staffing model, the Noa Home team has built an operational blueprint that has the potential for significant growth. We believe the acquisition will provide Bassett with a greater online presence and will allow us to attract more digitally native consumers. We are currently in the process of expanding Noa Home’s product assortment and categories offered on the Canadian website. In August of 2023, we introduced the Noa Home brand in the United States.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2018, we added outdoor furniture to our offerings with the acquisition of the Lane Venture brand. Our strategy is to distribute these products outside of our BHF store network through independent sales representatives each of which have a stated geographic territory. Using Lane Venture as a platform, we developed the Bassett Outdoor brand that is only marketed through the BHF store network. This allows Bassett branded products to move from inside the home to outside the home to capitalize on the growing trend of outdoor living. In the second quarter of 2023, we debuted the Bassett Outdoor contract line at the HD Expo Show in Las Vegas targeting the hospitality segment.</w:t>
      </w:r>
    </w:p>
    <w:p>
      <w:pPr>
        <w:sectPr>
          <w:pgSz w:w="12240" w:h="15840" w:orient="portrait"/>
          <w:cols w:equalWidth="0" w:num="1">
            <w:col w:w="9940"/>
          </w:cols>
          <w:pgMar w:left="1160" w:top="984" w:right="1140" w:bottom="175" w:gutter="0" w:footer="0" w:header="0"/>
        </w:sectPr>
      </w:pPr>
    </w:p>
    <w:p>
      <w:pPr>
        <w:spacing w:after="0" w:line="27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940"/>
          </w:cols>
          <w:pgMar w:left="1160" w:top="984" w:right="1140" w:bottom="175" w:gutter="0" w:footer="0" w:header="0"/>
          <w:type w:val="continuous"/>
        </w:sectPr>
      </w:pPr>
    </w:p>
    <w:bookmarkStart w:id="8" w:name="page9"/>
    <w:bookmarkEnd w:id="8"/>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factories in Newton, North Carolina that manufacture both stationary and motion upholstered furniture for inside the home along with our outdoor furniture offerings. We also have factories in Martinsville and Bassett, Virginia that assemble and finish our custom bedroom and dining offerings. In 2022, we purchased a facility which we had formerly leased in Haleyville, Alabama where we manufacture aluminum frames for our outdoor furniture.</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 addition to the furniture that we manufacture domestically, we source most of our formal bedroom and dining room furniture (casegoods) and certain leather upholstery offerings from several foreign plants, primarily in Vietnam and China. Over 75% of our wholesale revenues are derived from products that are manufactured in the United States using a mix of domestic and globally sourced components and raw materials.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 of the Assets of Zenith Freight Lines, LLC</w:t>
      </w:r>
    </w:p>
    <w:p>
      <w:pPr>
        <w:spacing w:after="0" w:line="23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During the first quarter of 2022, we entered into a definitive agreement to sell substantially all of the assets of our wholly-owned subsidiary, Zenith, to J.B. Hunt for $86,939 in cash. On February 28, 2022 the transaction was completed with us receiving $85,521 after the payment of $418 in certain transaction costs and the funding of $1,000 held in escrow, which was released to us on the first anniversary of the sale. The final purchase price was subject to a customary post-closing working capital adjustment, which was settled in the amount of $987 resulting in a pre-tax gain of $52,534 on this transaction. As a result of the sale, the operations of our former logistical services segment, which consisted entirely of the operations of Zenith, are presented in the accompanying condensed consolidated statements of income and in the following discussion as discontinued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Analysis of Continuing Operations</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following discussion provides an analysis of our results of operations and reasons for material changes therein for fiscal year 2023 as compared to fiscal year 2022. It also compares fiscal year 2022 to fiscal year 2021 for the wholesale segment and the corporate and other segment due to changes in those segments as of the beginning of fiscal 2023. For additional analysis of the fiscal year 2022 results as compared to fiscal year 2021, see “Analysis of Operations” in Part II, Item 7, Management’s Discussion and Analysis of Financial Condition and Results of Operations in the Company’s 2022 Annual Report on Form 10-K, filed with the SEC on January 24, 2023.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Net sales revenue, cost of furniture and accessories sold, selling, general and administrative (“SG&amp;A”) expense, other charges, and income from operations were as follows for the years ended November 25, 2023, November 26, 2022 and November 27,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80" w:type="dxa"/>
            <w:vAlign w:val="bottom"/>
            <w:gridSpan w:val="8"/>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Comparative Change</w:t>
            </w:r>
          </w:p>
        </w:tc>
        <w:tc>
          <w:tcPr>
            <w:tcW w:w="0" w:type="dxa"/>
            <w:vAlign w:val="bottom"/>
          </w:tcPr>
          <w:p>
            <w:pPr>
              <w:spacing w:after="0"/>
              <w:rPr>
                <w:sz w:val="1"/>
                <w:szCs w:val="1"/>
                <w:color w:val="auto"/>
              </w:rPr>
            </w:pPr>
          </w:p>
        </w:tc>
      </w:tr>
      <w:tr>
        <w:trPr>
          <w:trHeight w:val="225"/>
        </w:trPr>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top w:val="single" w:sz="8" w:color="auto"/>
            </w:tcBorders>
            <w:gridSpan w:val="5"/>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2023 vs 2022</w:t>
            </w:r>
          </w:p>
        </w:tc>
        <w:tc>
          <w:tcPr>
            <w:tcW w:w="1400" w:type="dxa"/>
            <w:vAlign w:val="bottom"/>
            <w:tcBorders>
              <w:top w:val="single" w:sz="8" w:color="auto"/>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2022 vs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6"/>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Net sales of furniture</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 accessories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390,136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485,601</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$430,886</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4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6"/>
              </w:rPr>
              <w:t>$(95,465)</w:t>
            </w:r>
          </w:p>
        </w:tc>
        <w:tc>
          <w:tcPr>
            <w:tcW w:w="16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-19.7% $ 54,715</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6"/>
              </w:rPr>
              <w:t>12.7%</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Cost of furniture and</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accessories sold</w:t>
            </w:r>
          </w:p>
        </w:tc>
        <w:tc>
          <w:tcPr>
            <w:tcW w:w="10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183,648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237,262</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48.9%</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209,799</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48.7%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(53,614)</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-22.6%</w:t>
            </w: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27,463</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6"/>
              </w:rPr>
              <w:t>13.1%</w:t>
            </w:r>
          </w:p>
        </w:tc>
        <w:tc>
          <w:tcPr>
            <w:tcW w:w="0" w:type="dxa"/>
            <w:vAlign w:val="bottom"/>
          </w:tcPr>
          <w:p>
            <w:pPr>
              <w:spacing w:after="0"/>
              <w:rPr>
                <w:sz w:val="1"/>
                <w:szCs w:val="1"/>
                <w:color w:val="auto"/>
              </w:rPr>
            </w:pPr>
          </w:p>
        </w:tc>
      </w:tr>
      <w:tr>
        <w:trPr>
          <w:trHeight w:val="20"/>
        </w:trPr>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1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206,488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248,339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221,087</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51.3%</w:t>
            </w:r>
          </w:p>
        </w:tc>
        <w:tc>
          <w:tcPr>
            <w:tcW w:w="20" w:type="dxa"/>
            <w:vAlign w:val="bottom"/>
            <w:vMerge w:val="continue"/>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(41,851)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40" w:type="dxa"/>
            <w:vAlign w:val="bottom"/>
            <w:vMerge w:val="continue"/>
          </w:tcPr>
          <w:p>
            <w:pPr>
              <w:spacing w:after="0"/>
              <w:rPr>
                <w:sz w:val="22"/>
                <w:szCs w:val="22"/>
                <w:color w:val="auto"/>
              </w:rPr>
            </w:pPr>
          </w:p>
        </w:tc>
        <w:tc>
          <w:tcPr>
            <w:tcW w:w="20" w:type="dxa"/>
            <w:vAlign w:val="bottom"/>
            <w:vMerge w:val="continue"/>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27,252</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6"/>
              </w:rPr>
              <w:t>12.3%</w:t>
            </w:r>
          </w:p>
        </w:tc>
        <w:tc>
          <w:tcPr>
            <w:tcW w:w="0" w:type="dxa"/>
            <w:vAlign w:val="bottom"/>
          </w:tcPr>
          <w:p>
            <w:pPr>
              <w:spacing w:after="0"/>
              <w:rPr>
                <w:sz w:val="1"/>
                <w:szCs w:val="1"/>
                <w:color w:val="auto"/>
              </w:rPr>
            </w:pPr>
          </w:p>
        </w:tc>
      </w:tr>
      <w:tr>
        <w:trPr>
          <w:trHeight w:val="404"/>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SG&amp;A</w:t>
            </w:r>
          </w:p>
        </w:tc>
        <w:tc>
          <w:tcPr>
            <w:tcW w:w="100" w:type="dxa"/>
            <w:vAlign w:val="bottom"/>
          </w:tcPr>
          <w:p>
            <w:pPr>
              <w:spacing w:after="0"/>
              <w:rPr>
                <w:sz w:val="24"/>
                <w:szCs w:val="24"/>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205,227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218,069</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44.9%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196,830</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45.7%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(12,842)</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-5.9%</w:t>
            </w:r>
          </w:p>
        </w:tc>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21,239</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6"/>
              </w:rPr>
              <w:t>10.8%</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charge</w:t>
            </w:r>
          </w:p>
        </w:tc>
        <w:tc>
          <w:tcPr>
            <w:tcW w:w="1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5,409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5,409</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NM</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Gain on revalutation of</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contingent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consideration</w:t>
            </w:r>
          </w:p>
        </w:tc>
        <w:tc>
          <w:tcPr>
            <w:tcW w:w="1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1,013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20"/>
                <w:szCs w:val="20"/>
                <w:color w:val="auto"/>
              </w:rPr>
              <w:t>NM</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real</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estate</w:t>
            </w:r>
          </w:p>
        </w:tc>
        <w:tc>
          <w:tcPr>
            <w:tcW w:w="10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4,595</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0.</w:t>
            </w:r>
            <w:r>
              <w:rPr>
                <w:rFonts w:ascii="Times New Roman" w:cs="Times New Roman" w:eastAsia="Times New Roman" w:hAnsi="Times New Roman"/>
                <w:sz w:val="20"/>
                <w:szCs w:val="20"/>
                <w:u w:val="single" w:color="auto"/>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(4,595)</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4,595</w:t>
            </w:r>
          </w:p>
        </w:tc>
        <w:tc>
          <w:tcPr>
            <w:tcW w:w="88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5"/>
        </w:trPr>
        <w:tc>
          <w:tcPr>
            <w:tcW w:w="19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Income (loss) from</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continuing</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N/M</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8"/>
              </w:rPr>
              <w:t>$ 10,608</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1"/>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(3,135)</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34,865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r>
              <w:rPr>
                <w:rFonts w:ascii="Times New Roman" w:cs="Times New Roman" w:eastAsia="Times New Roman" w:hAnsi="Times New Roman"/>
                <w:sz w:val="20"/>
                <w:szCs w:val="20"/>
                <w:u w:val="single" w:color="auto"/>
                <w:color w:val="auto"/>
              </w:rPr>
              <w:t>1%</w:t>
            </w:r>
          </w:p>
        </w:tc>
        <w:tc>
          <w:tcPr>
            <w:tcW w:w="4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24,257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w:t>
            </w:r>
            <w:r>
              <w:rPr>
                <w:rFonts w:ascii="Times New Roman" w:cs="Times New Roman" w:eastAsia="Times New Roman" w:hAnsi="Times New Roman"/>
                <w:sz w:val="20"/>
                <w:szCs w:val="20"/>
                <w:u w:val="single" w:color="auto"/>
                <w:color w:val="auto"/>
              </w:rPr>
              <w:t>6%</w:t>
            </w:r>
          </w:p>
        </w:tc>
        <w:tc>
          <w:tcPr>
            <w:tcW w:w="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(38,000)</w:t>
            </w:r>
          </w:p>
        </w:tc>
        <w:tc>
          <w:tcPr>
            <w:tcW w:w="900" w:type="dxa"/>
            <w:vAlign w:val="bottom"/>
            <w:gridSpan w:val="4"/>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940"/>
          </w:cols>
          <w:pgMar w:left="1160" w:top="925" w:right="1140" w:bottom="139" w:gutter="0" w:footer="0" w:header="0"/>
        </w:sectPr>
      </w:pPr>
    </w:p>
    <w:bookmarkStart w:id="9" w:name="page10"/>
    <w:bookmarkEnd w:id="9"/>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consolidated net sales by segment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Sales Revenue</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60" w:type="dxa"/>
            <w:vAlign w:val="bottom"/>
          </w:tcPr>
          <w:p>
            <w:pPr>
              <w:spacing w:after="0"/>
              <w:rPr>
                <w:sz w:val="22"/>
                <w:szCs w:val="22"/>
                <w:color w:val="auto"/>
              </w:rPr>
            </w:pPr>
          </w:p>
        </w:tc>
        <w:tc>
          <w:tcPr>
            <w:tcW w:w="8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6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0" w:type="dxa"/>
            <w:vAlign w:val="bottom"/>
          </w:tcPr>
          <w:p>
            <w:pPr>
              <w:spacing w:after="0"/>
              <w:rPr>
                <w:sz w:val="1"/>
                <w:szCs w:val="1"/>
                <w:color w:val="auto"/>
              </w:rPr>
            </w:pPr>
          </w:p>
        </w:tc>
      </w:tr>
      <w:tr>
        <w:trPr>
          <w:trHeight w:val="205"/>
        </w:trPr>
        <w:tc>
          <w:tcPr>
            <w:tcW w:w="3060" w:type="dxa"/>
            <w:vAlign w:val="bottom"/>
            <w:gridSpan w:val="2"/>
            <w:vMerge w:val="continue"/>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Wholesale sales of furniture and</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accessories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$ 248,911</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$ 324,569</w:t>
            </w:r>
          </w:p>
        </w:tc>
        <w:tc>
          <w:tcPr>
            <w:tcW w:w="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$ 295,329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(75,658)</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-23.3% $</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29,240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Less: Sales to retail segment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(103,519 )</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(125,889)</w:t>
            </w:r>
          </w:p>
        </w:tc>
        <w:tc>
          <w:tcPr>
            <w:tcW w:w="2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(112,270)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22,370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-17.8%</w:t>
            </w:r>
          </w:p>
        </w:tc>
        <w:tc>
          <w:tcPr>
            <w:tcW w:w="160" w:type="dxa"/>
            <w:vAlign w:val="bottom"/>
            <w:gridSpan w:val="2"/>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w w:val="95"/>
              </w:rPr>
              <w:t>(13,619 )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05"/>
        </w:trPr>
        <w:tc>
          <w:tcPr>
            <w:tcW w:w="3060" w:type="dxa"/>
            <w:vAlign w:val="bottom"/>
            <w:gridSpan w:val="2"/>
          </w:tcPr>
          <w:p>
            <w:pPr>
              <w:ind w:left="180"/>
              <w:spacing w:after="0" w:line="206" w:lineRule="exact"/>
              <w:rPr>
                <w:sz w:val="20"/>
                <w:szCs w:val="20"/>
                <w:color w:val="auto"/>
              </w:rPr>
            </w:pPr>
            <w:r>
              <w:rPr>
                <w:rFonts w:ascii="Times New Roman" w:cs="Times New Roman" w:eastAsia="Times New Roman" w:hAnsi="Times New Roman"/>
                <w:sz w:val="20"/>
                <w:szCs w:val="20"/>
                <w:color w:val="auto"/>
              </w:rPr>
              <w:t>Wholesale sales to external</w:t>
            </w: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customers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145,392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198,680</w:t>
            </w:r>
          </w:p>
        </w:tc>
        <w:tc>
          <w:tcPr>
            <w:tcW w:w="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183,059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(53,288)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-26.8%</w:t>
            </w:r>
          </w:p>
        </w:tc>
        <w:tc>
          <w:tcPr>
            <w:tcW w:w="160" w:type="dxa"/>
            <w:vAlign w:val="bottom"/>
            <w:gridSpan w:val="2"/>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15,621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Retail sales of furniture and</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accessories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235,940</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285,119</w:t>
            </w:r>
          </w:p>
        </w:tc>
        <w:tc>
          <w:tcPr>
            <w:tcW w:w="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247,827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(49,179)</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37,292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50"/>
        </w:trPr>
        <w:tc>
          <w:tcPr>
            <w:tcW w:w="30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Corporate &amp; Other</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8,804</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1,802</w:t>
            </w:r>
          </w:p>
        </w:tc>
        <w:tc>
          <w:tcPr>
            <w:tcW w:w="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7,002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388.6%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w:t>
            </w: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5"/>
        </w:trPr>
        <w:tc>
          <w:tcPr>
            <w:tcW w:w="306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Consolidated net sales of furniture</w:t>
            </w: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30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 accessories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$ 390,136</w:t>
            </w:r>
          </w:p>
        </w:tc>
        <w:tc>
          <w:tcPr>
            <w:tcW w:w="16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$ 485,601</w:t>
            </w:r>
          </w:p>
        </w:tc>
        <w:tc>
          <w:tcPr>
            <w:tcW w:w="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99"/>
              </w:rPr>
              <w:t>$ 430,886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 (95,465)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-19.7%</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54,715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12.7%</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Total sales revenue for the year ended November 25, 2023, decreased $95,465 or approximately 20% from the prior year period primarily due to decreases in wholesale shipments to both the open market and the BHF store network and decreases in retail delivered sales, partially offset by increased revenue in our Corporate and Other segment from Noa Home.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Gross margins for the year ended November 25, 2023, increased 180 basis points from 2022 primarily due to higher-margin retail sales constituting a larger share of total sales in 2023 as compared to the prior year period coupled with margin improvement in the wholesale segment.</w:t>
      </w:r>
    </w:p>
    <w:p>
      <w:pPr>
        <w:spacing w:after="0" w:line="17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SG&amp;A expenses as a percentage of sales for the year ended November 25, 2023 increased 770 basis points from 2022 primarily due to the deleverage of fixed costs caused by lower sales volumes.</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During the year ended November 25, 2023, we recognized a goodwill impairment charge of $5,409 and a gain of $1,013 resulting from the write-down of our contingent consideration obligation both of which are associated with the acquisition of Noa Home. See Note 3 to the condensed consolidated financial statements. During the year ended November 26, 2022, we recognized a gain of $4,595 from the sale of the real estate at a former retail location in Houston, Texas.</w:t>
      </w:r>
    </w:p>
    <w:p>
      <w:pPr>
        <w:spacing w:after="0" w:line="185"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Certain other items affecting comparability between fiscal 2023 and 2022 are discussed below in “Other Items Affecting Net Income”.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3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 xml:space="preserve">Beginning in fiscal 2023, we strategically aligned our business into three reportable segments as defined in ASC 280, </w:t>
      </w:r>
      <w:r>
        <w:rPr>
          <w:rFonts w:ascii="Times New Roman" w:cs="Times New Roman" w:eastAsia="Times New Roman" w:hAnsi="Times New Roman"/>
          <w:sz w:val="20"/>
          <w:szCs w:val="20"/>
          <w:i w:val="1"/>
          <w:iCs w:val="1"/>
          <w:color w:val="auto"/>
        </w:rPr>
        <w:t>Segment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Reporting</w:t>
      </w:r>
      <w:r>
        <w:rPr>
          <w:rFonts w:ascii="Times New Roman" w:cs="Times New Roman" w:eastAsia="Times New Roman" w:hAnsi="Times New Roman"/>
          <w:sz w:val="20"/>
          <w:szCs w:val="20"/>
          <w:color w:val="auto"/>
        </w:rPr>
        <w:t>, and as described below:</w:t>
      </w:r>
    </w:p>
    <w:p>
      <w:pPr>
        <w:spacing w:after="0" w:line="153" w:lineRule="exact"/>
        <w:rPr>
          <w:sz w:val="20"/>
          <w:szCs w:val="20"/>
          <w:color w:val="auto"/>
        </w:rPr>
      </w:pPr>
    </w:p>
    <w:p>
      <w:pPr>
        <w:jc w:val="both"/>
        <w:ind w:left="720" w:hanging="368"/>
        <w:spacing w:after="0" w:line="254"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Wholesale. </w:t>
      </w:r>
      <w:r>
        <w:rPr>
          <w:rFonts w:ascii="Times New Roman" w:cs="Times New Roman" w:eastAsia="Times New Roman" w:hAnsi="Times New Roman"/>
          <w:sz w:val="20"/>
          <w:szCs w:val="20"/>
          <w:color w:val="auto"/>
        </w:rPr>
        <w:t>The wholesale home furnishings segment is involved principally in the design, manufacture, sourcing,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and distribution of furniture products to a network of Bassett stores (Company-owned and licensee-owned retail stores) and independent furniture retailers. Our wholesale segment includes our wood and upholstery operations, which includes Lane Venture.</w:t>
      </w:r>
    </w:p>
    <w:p>
      <w:pPr>
        <w:spacing w:after="0" w:line="176" w:lineRule="exact"/>
        <w:rPr>
          <w:rFonts w:ascii="Times New Roman" w:cs="Times New Roman" w:eastAsia="Times New Roman" w:hAnsi="Times New Roman"/>
          <w:sz w:val="20"/>
          <w:szCs w:val="20"/>
          <w:color w:val="auto"/>
        </w:rPr>
      </w:pPr>
    </w:p>
    <w:p>
      <w:pPr>
        <w:jc w:val="both"/>
        <w:ind w:left="720" w:right="20" w:hanging="368"/>
        <w:spacing w:after="0" w:line="261"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Retail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Company-owned stores. </w:t>
      </w:r>
      <w:r>
        <w:rPr>
          <w:rFonts w:ascii="Times New Roman" w:cs="Times New Roman" w:eastAsia="Times New Roman" w:hAnsi="Times New Roman"/>
          <w:sz w:val="20"/>
          <w:szCs w:val="20"/>
          <w:color w:val="auto"/>
        </w:rPr>
        <w:t>Our retail segment consists of Company-owned stores and includes the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assets and liabilities and capital expenditures directly related to these stores and the Company-owned distribution network utilized to deliver products to our retail customers.</w:t>
      </w:r>
    </w:p>
    <w:p>
      <w:pPr>
        <w:spacing w:after="0" w:line="170" w:lineRule="exact"/>
        <w:rPr>
          <w:rFonts w:ascii="Times New Roman" w:cs="Times New Roman" w:eastAsia="Times New Roman" w:hAnsi="Times New Roman"/>
          <w:sz w:val="20"/>
          <w:szCs w:val="20"/>
          <w:color w:val="auto"/>
        </w:rPr>
      </w:pPr>
    </w:p>
    <w:p>
      <w:pPr>
        <w:jc w:val="both"/>
        <w:ind w:left="720" w:hanging="368"/>
        <w:spacing w:after="0" w:line="250" w:lineRule="auto"/>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and other </w:t>
      </w:r>
      <w:r>
        <w:rPr>
          <w:rFonts w:ascii="Times New Roman" w:cs="Times New Roman" w:eastAsia="Times New Roman" w:hAnsi="Times New Roman"/>
          <w:sz w:val="20"/>
          <w:szCs w:val="20"/>
          <w:color w:val="auto"/>
        </w:rPr>
        <w:t>– Corporate and other includes the shared costs of corporate functions such as treasury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finance, information technology, accounting, human resources, legal and others, including certain product development and marketing functions benefitting both wholesale and retail operations. We consider our corporate functions to be other business activities and have aggregated them with our other insignificant operating segment, the recently acquired Noa Home.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940"/>
          </w:cols>
          <w:pgMar w:left="1160" w:top="925" w:right="1140" w:bottom="175" w:gutter="0" w:footer="0" w:header="0"/>
        </w:sectPr>
      </w:pPr>
    </w:p>
    <w:bookmarkStart w:id="10" w:name="page11"/>
    <w:bookmarkEnd w:id="10"/>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The segment information presented below has been restated to reflect the new alignment of our reportable segments.</w:t>
      </w:r>
    </w:p>
    <w:p>
      <w:pPr>
        <w:spacing w:after="0" w:line="18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Our former logistical services segment which represented the operations of Zenith is now presented as a discontinued operation.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Reconciliation of Segment Results to Consolidated Results of Operations</w:t>
      </w:r>
    </w:p>
    <w:p>
      <w:pPr>
        <w:spacing w:after="0" w:line="2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To supplement the financial measures prepared in accordance with GAAP, we present gross profit by segment inclusive of the effects of intercompany sales by our wholesale segment to our retail segment. Because these intercompany transactions are not eliminated from our segment presentations and because we do not present gross profit as a measure of segment profitability in the accompanying condensed consolidated financial statements, the presentation of gross profit by segment is considered to be a non-GAAP financial measure. In addition, certain special gains or charges that are included in consolidated income from operations are not included in the measures of segment profitability. The reconciliation of this non-GAAP financial measure to the most directly comparable financial measure calculated and presented in accordance with GAAP is presented below along with the effects of various other intercompany eliminations on our consolidated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940"/>
          </w:cols>
          <w:pgMar w:left="1160" w:top="925" w:right="1140" w:bottom="175" w:gutter="0" w:footer="0" w:header="0"/>
        </w:sectPr>
      </w:pPr>
    </w:p>
    <w:bookmarkStart w:id="11" w:name="page12"/>
    <w:bookmarkEnd w:id="11"/>
    <w:p>
      <w:pPr>
        <w:ind w:left="8"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3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November 25, 2023</w:t>
            </w:r>
          </w:p>
        </w:tc>
        <w:tc>
          <w:tcPr>
            <w:tcW w:w="3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rPr>
              <w:t>GAAP</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6"/>
          </w:tcPr>
          <w:p>
            <w:pPr>
              <w:jc w:val="right"/>
              <w:ind w:right="520"/>
              <w:spacing w:after="0"/>
              <w:rPr>
                <w:sz w:val="20"/>
                <w:szCs w:val="20"/>
                <w:color w:val="auto"/>
              </w:rPr>
            </w:pPr>
            <w:r>
              <w:rPr>
                <w:rFonts w:ascii="Times New Roman" w:cs="Times New Roman" w:eastAsia="Times New Roman" w:hAnsi="Times New Roman"/>
                <w:sz w:val="20"/>
                <w:szCs w:val="20"/>
                <w:color w:val="auto"/>
              </w:rPr>
              <w:t>Non-GAAP Presentation</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w w:val="98"/>
              </w:rPr>
              <w:t>Special</w:t>
            </w:r>
          </w:p>
        </w:tc>
        <w:tc>
          <w:tcPr>
            <w:tcW w:w="300" w:type="dxa"/>
            <w:vAlign w:val="bottom"/>
          </w:tcPr>
          <w:p>
            <w:pPr>
              <w:spacing w:after="0"/>
              <w:rPr>
                <w:sz w:val="21"/>
                <w:szCs w:val="21"/>
                <w:color w:val="auto"/>
              </w:rPr>
            </w:pP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Presentation</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ind w:left="80"/>
              <w:spacing w:after="0" w:line="206" w:lineRule="exact"/>
              <w:rPr>
                <w:sz w:val="20"/>
                <w:szCs w:val="20"/>
                <w:color w:val="auto"/>
              </w:rPr>
            </w:pPr>
            <w:r>
              <w:rPr>
                <w:rFonts w:ascii="Times New Roman" w:cs="Times New Roman" w:eastAsia="Times New Roman" w:hAnsi="Times New Roman"/>
                <w:sz w:val="20"/>
                <w:szCs w:val="20"/>
                <w:color w:val="auto"/>
                <w:w w:val="99"/>
              </w:rPr>
              <w:t>Corporate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Wholesale</w:t>
            </w:r>
          </w:p>
        </w:tc>
        <w:tc>
          <w:tcPr>
            <w:tcW w:w="220" w:type="dxa"/>
            <w:vAlign w:val="bottom"/>
          </w:tcPr>
          <w:p>
            <w:pPr>
              <w:spacing w:after="0"/>
              <w:rPr>
                <w:sz w:val="21"/>
                <w:szCs w:val="21"/>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Retail</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6"/>
              </w:rPr>
              <w:t>&amp; Other</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Eliminations</w:t>
            </w:r>
          </w:p>
        </w:tc>
        <w:tc>
          <w:tcPr>
            <w:tcW w:w="160" w:type="dxa"/>
            <w:vAlign w:val="bottom"/>
          </w:tcPr>
          <w:p>
            <w:pPr>
              <w:spacing w:after="0"/>
              <w:rPr>
                <w:sz w:val="21"/>
                <w:szCs w:val="21"/>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rPr>
              <w:t>Items</w:t>
            </w:r>
          </w:p>
        </w:tc>
        <w:tc>
          <w:tcPr>
            <w:tcW w:w="300" w:type="dxa"/>
            <w:vAlign w:val="bottom"/>
          </w:tcPr>
          <w:p>
            <w:pPr>
              <w:spacing w:after="0"/>
              <w:rPr>
                <w:sz w:val="21"/>
                <w:szCs w:val="21"/>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Consolidated</w:t>
            </w:r>
          </w:p>
        </w:tc>
        <w:tc>
          <w:tcPr>
            <w:tcW w:w="0" w:type="dxa"/>
            <w:vAlign w:val="bottom"/>
          </w:tcPr>
          <w:p>
            <w:pPr>
              <w:spacing w:after="0"/>
              <w:rPr>
                <w:sz w:val="1"/>
                <w:szCs w:val="1"/>
                <w:color w:val="auto"/>
              </w:rPr>
            </w:pPr>
          </w:p>
        </w:tc>
      </w:tr>
      <w:tr>
        <w:trPr>
          <w:trHeight w:val="436"/>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of furniture and accessories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248,911</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235,940</w:t>
            </w: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8,804</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(103,519) (1)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390,136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furniture and accessories sold</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171,394</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111,769</w:t>
            </w:r>
          </w:p>
        </w:tc>
        <w:tc>
          <w:tcPr>
            <w:tcW w:w="14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4,002</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(103,517) (2)</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183,648</w:t>
            </w:r>
          </w:p>
        </w:tc>
        <w:tc>
          <w:tcPr>
            <w:tcW w:w="0" w:type="dxa"/>
            <w:vAlign w:val="bottom"/>
          </w:tcPr>
          <w:p>
            <w:pPr>
              <w:spacing w:after="0"/>
              <w:rPr>
                <w:sz w:val="1"/>
                <w:szCs w:val="1"/>
                <w:color w:val="auto"/>
              </w:rPr>
            </w:pPr>
          </w:p>
        </w:tc>
      </w:tr>
      <w:tr>
        <w:trPr>
          <w:trHeight w:val="204"/>
        </w:trPr>
        <w:tc>
          <w:tcPr>
            <w:tcW w:w="320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77,517</w:t>
            </w: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124,171</w:t>
            </w: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100"/>
              <w:spacing w:after="0" w:line="205" w:lineRule="exact"/>
              <w:rPr>
                <w:sz w:val="20"/>
                <w:szCs w:val="20"/>
                <w:color w:val="auto"/>
              </w:rPr>
            </w:pPr>
            <w:r>
              <w:rPr>
                <w:rFonts w:ascii="Times New Roman" w:cs="Times New Roman" w:eastAsia="Times New Roman" w:hAnsi="Times New Roman"/>
                <w:sz w:val="20"/>
                <w:szCs w:val="20"/>
                <w:color w:val="auto"/>
              </w:rPr>
              <w:t>4,802</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(2) (3)</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rPr>
              <w:t>206,488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SG&amp;A expense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46,818</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124,707</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34,728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(1,026) (4)</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205,227</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 charge</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(5,409) (5)</w:t>
            </w:r>
          </w:p>
        </w:tc>
        <w:tc>
          <w:tcPr>
            <w:tcW w:w="18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(5,409)</w:t>
            </w:r>
          </w:p>
        </w:tc>
        <w:tc>
          <w:tcPr>
            <w:tcW w:w="0" w:type="dxa"/>
            <w:vAlign w:val="bottom"/>
          </w:tcPr>
          <w:p>
            <w:pPr>
              <w:spacing w:after="0"/>
              <w:rPr>
                <w:sz w:val="1"/>
                <w:szCs w:val="1"/>
                <w:color w:val="auto"/>
              </w:rPr>
            </w:pPr>
          </w:p>
        </w:tc>
      </w:tr>
      <w:tr>
        <w:trPr>
          <w:trHeight w:val="229"/>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revaluation of contingent</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consideration</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(6)</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20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Income from continuing operations</w:t>
            </w:r>
          </w:p>
        </w:tc>
        <w:tc>
          <w:tcPr>
            <w:tcW w:w="1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30,699</w:t>
            </w:r>
          </w:p>
        </w:tc>
        <w:tc>
          <w:tcPr>
            <w:tcW w:w="2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(536)</w:t>
            </w:r>
          </w:p>
        </w:tc>
        <w:tc>
          <w:tcPr>
            <w:tcW w:w="14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(29,926)</w:t>
            </w:r>
          </w:p>
        </w:tc>
        <w:tc>
          <w:tcPr>
            <w:tcW w:w="24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ind w:right="240"/>
              <w:spacing w:after="0" w:line="228" w:lineRule="exact"/>
              <w:rPr>
                <w:sz w:val="20"/>
                <w:szCs w:val="20"/>
                <w:color w:val="auto"/>
              </w:rPr>
            </w:pPr>
            <w:r>
              <w:rPr>
                <w:rFonts w:ascii="Times New Roman" w:cs="Times New Roman" w:eastAsia="Times New Roman" w:hAnsi="Times New Roman"/>
                <w:sz w:val="20"/>
                <w:szCs w:val="20"/>
                <w:color w:val="auto"/>
              </w:rPr>
              <w:t>1,024</w:t>
            </w:r>
          </w:p>
        </w:tc>
        <w:tc>
          <w:tcPr>
            <w:tcW w:w="1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(4,396)</w:t>
            </w:r>
          </w:p>
        </w:tc>
        <w:tc>
          <w:tcPr>
            <w:tcW w:w="300" w:type="dxa"/>
            <w:vAlign w:val="bottom"/>
          </w:tcPr>
          <w:p>
            <w:pPr>
              <w:spacing w:after="0"/>
              <w:rPr>
                <w:sz w:val="19"/>
                <w:szCs w:val="19"/>
                <w:color w:val="auto"/>
              </w:rPr>
            </w:pPr>
          </w:p>
        </w:tc>
        <w:tc>
          <w:tcPr>
            <w:tcW w:w="18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(3,135)</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3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6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20"/>
                <w:szCs w:val="20"/>
                <w:b w:val="1"/>
                <w:bCs w:val="1"/>
                <w:color w:val="auto"/>
              </w:rPr>
              <w:t>Year Ended November 26, 2022</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0"/>
              <w:spacing w:after="0" w:line="206" w:lineRule="exact"/>
              <w:rPr>
                <w:sz w:val="20"/>
                <w:szCs w:val="20"/>
                <w:color w:val="auto"/>
              </w:rPr>
            </w:pPr>
            <w:r>
              <w:rPr>
                <w:rFonts w:ascii="Times New Roman" w:cs="Times New Roman" w:eastAsia="Times New Roman" w:hAnsi="Times New Roman"/>
                <w:sz w:val="20"/>
                <w:szCs w:val="20"/>
                <w:color w:val="auto"/>
              </w:rPr>
              <w:t>GAAP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6"/>
          </w:tcPr>
          <w:p>
            <w:pPr>
              <w:jc w:val="right"/>
              <w:ind w:right="540"/>
              <w:spacing w:after="0"/>
              <w:rPr>
                <w:sz w:val="20"/>
                <w:szCs w:val="20"/>
                <w:color w:val="auto"/>
              </w:rPr>
            </w:pPr>
            <w:r>
              <w:rPr>
                <w:rFonts w:ascii="Times New Roman" w:cs="Times New Roman" w:eastAsia="Times New Roman" w:hAnsi="Times New Roman"/>
                <w:sz w:val="20"/>
                <w:szCs w:val="20"/>
                <w:color w:val="auto"/>
              </w:rPr>
              <w:t>Non-GAAP Presentation</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restart"/>
          </w:tcPr>
          <w:p>
            <w:pPr>
              <w:jc w:val="right"/>
              <w:ind w:right="400"/>
              <w:spacing w:after="0"/>
              <w:rPr>
                <w:sz w:val="20"/>
                <w:szCs w:val="20"/>
                <w:color w:val="auto"/>
              </w:rPr>
            </w:pPr>
            <w:r>
              <w:rPr>
                <w:rFonts w:ascii="Times New Roman" w:cs="Times New Roman" w:eastAsia="Times New Roman" w:hAnsi="Times New Roman"/>
                <w:sz w:val="20"/>
                <w:szCs w:val="20"/>
                <w:color w:val="auto"/>
                <w:w w:val="98"/>
              </w:rPr>
              <w:t>Special</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Presentation</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Corporate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Wholesale</w:t>
            </w:r>
          </w:p>
        </w:tc>
        <w:tc>
          <w:tcPr>
            <w:tcW w:w="200" w:type="dxa"/>
            <w:vAlign w:val="bottom"/>
          </w:tcPr>
          <w:p>
            <w:pPr>
              <w:spacing w:after="0"/>
              <w:rPr>
                <w:sz w:val="21"/>
                <w:szCs w:val="21"/>
                <w:color w:val="auto"/>
              </w:rPr>
            </w:pP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Retail</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6"/>
              </w:rPr>
              <w:t>&amp; Other</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Eliminations</w:t>
            </w:r>
          </w:p>
        </w:tc>
        <w:tc>
          <w:tcPr>
            <w:tcW w:w="160" w:type="dxa"/>
            <w:vAlign w:val="bottom"/>
          </w:tcPr>
          <w:p>
            <w:pPr>
              <w:spacing w:after="0"/>
              <w:rPr>
                <w:sz w:val="21"/>
                <w:szCs w:val="21"/>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Items</w:t>
            </w: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w:t>
            </w:r>
          </w:p>
        </w:tc>
        <w:tc>
          <w:tcPr>
            <w:tcW w:w="0" w:type="dxa"/>
            <w:vAlign w:val="bottom"/>
          </w:tcPr>
          <w:p>
            <w:pPr>
              <w:spacing w:after="0"/>
              <w:rPr>
                <w:sz w:val="1"/>
                <w:szCs w:val="1"/>
                <w:color w:val="auto"/>
              </w:rPr>
            </w:pPr>
          </w:p>
        </w:tc>
      </w:tr>
      <w:tr>
        <w:trPr>
          <w:trHeight w:val="435"/>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of furniture and accessories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324,569</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285,119</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w w:val="99"/>
              </w:rPr>
              <w:t>$</w:t>
            </w:r>
          </w:p>
        </w:tc>
        <w:tc>
          <w:tcPr>
            <w:tcW w:w="8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1,802</w:t>
            </w: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(125,889) (1)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485,601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furniture and accessories sold</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225,300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135,699</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972</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(124,709) (2)</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237,262</w:t>
            </w:r>
          </w:p>
        </w:tc>
        <w:tc>
          <w:tcPr>
            <w:tcW w:w="0" w:type="dxa"/>
            <w:vAlign w:val="bottom"/>
          </w:tcPr>
          <w:p>
            <w:pPr>
              <w:spacing w:after="0"/>
              <w:rPr>
                <w:sz w:val="1"/>
                <w:szCs w:val="1"/>
                <w:color w:val="auto"/>
              </w:rPr>
            </w:pPr>
          </w:p>
        </w:tc>
      </w:tr>
      <w:tr>
        <w:trPr>
          <w:trHeight w:val="205"/>
        </w:trPr>
        <w:tc>
          <w:tcPr>
            <w:tcW w:w="3200" w:type="dxa"/>
            <w:vAlign w:val="bottom"/>
            <w:gridSpan w:val="2"/>
          </w:tcPr>
          <w:p>
            <w:pPr>
              <w:ind w:left="360"/>
              <w:spacing w:after="0" w:line="206"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99,269</w:t>
            </w:r>
          </w:p>
        </w:tc>
        <w:tc>
          <w:tcPr>
            <w:tcW w:w="20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149,420</w:t>
            </w:r>
          </w:p>
        </w:tc>
        <w:tc>
          <w:tcPr>
            <w:tcW w:w="180" w:type="dxa"/>
            <w:vAlign w:val="bottom"/>
          </w:tcPr>
          <w:p>
            <w:pPr>
              <w:spacing w:after="0"/>
              <w:rPr>
                <w:sz w:val="17"/>
                <w:szCs w:val="17"/>
                <w:color w:val="auto"/>
              </w:rPr>
            </w:pPr>
          </w:p>
        </w:tc>
        <w:tc>
          <w:tcPr>
            <w:tcW w:w="8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20"/>
                <w:szCs w:val="20"/>
                <w:color w:val="auto"/>
              </w:rPr>
              <w:t>830</w:t>
            </w:r>
          </w:p>
        </w:tc>
        <w:tc>
          <w:tcPr>
            <w:tcW w:w="24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(1,180) (3)</w:t>
            </w:r>
          </w:p>
        </w:tc>
        <w:tc>
          <w:tcPr>
            <w:tcW w:w="160" w:type="dxa"/>
            <w:vAlign w:val="bottom"/>
          </w:tcPr>
          <w:p>
            <w:pPr>
              <w:spacing w:after="0"/>
              <w:rPr>
                <w:sz w:val="17"/>
                <w:szCs w:val="17"/>
                <w:color w:val="auto"/>
              </w:rPr>
            </w:pPr>
          </w:p>
        </w:tc>
        <w:tc>
          <w:tcPr>
            <w:tcW w:w="1100" w:type="dxa"/>
            <w:vAlign w:val="bottom"/>
          </w:tcPr>
          <w:p>
            <w:pPr>
              <w:jc w:val="right"/>
              <w:ind w:right="26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248,339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SG&amp;A expense</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57,290</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130,068</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31,827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 (4)</w:t>
            </w:r>
          </w:p>
        </w:tc>
        <w:tc>
          <w:tcPr>
            <w:tcW w:w="160" w:type="dxa"/>
            <w:vAlign w:val="bottom"/>
          </w:tcPr>
          <w:p>
            <w:pPr>
              <w:spacing w:after="0"/>
              <w:rPr>
                <w:sz w:val="20"/>
                <w:szCs w:val="20"/>
                <w:color w:val="auto"/>
              </w:rPr>
            </w:pPr>
          </w:p>
        </w:tc>
        <w:tc>
          <w:tcPr>
            <w:tcW w:w="11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218,069</w:t>
            </w:r>
          </w:p>
        </w:tc>
        <w:tc>
          <w:tcPr>
            <w:tcW w:w="0" w:type="dxa"/>
            <w:vAlign w:val="bottom"/>
          </w:tcPr>
          <w:p>
            <w:pPr>
              <w:spacing w:after="0"/>
              <w:rPr>
                <w:sz w:val="1"/>
                <w:szCs w:val="1"/>
                <w:color w:val="auto"/>
              </w:rPr>
            </w:pPr>
          </w:p>
        </w:tc>
      </w:tr>
      <w:tr>
        <w:trPr>
          <w:trHeight w:val="250"/>
        </w:trPr>
        <w:tc>
          <w:tcPr>
            <w:tcW w:w="32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4,595(7)</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4,595</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20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Income from continuing operations</w:t>
            </w:r>
          </w:p>
        </w:tc>
        <w:tc>
          <w:tcPr>
            <w:tcW w:w="1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41,979</w:t>
            </w:r>
          </w:p>
        </w:tc>
        <w:tc>
          <w:tcPr>
            <w:tcW w:w="20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19,352</w:t>
            </w:r>
          </w:p>
        </w:tc>
        <w:tc>
          <w:tcPr>
            <w:tcW w:w="180" w:type="dxa"/>
            <w:vAlign w:val="bottom"/>
          </w:tcPr>
          <w:p>
            <w:pPr>
              <w:ind w:lef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40"/>
              <w:spacing w:after="0" w:line="226" w:lineRule="exact"/>
              <w:rPr>
                <w:sz w:val="20"/>
                <w:szCs w:val="20"/>
                <w:color w:val="auto"/>
              </w:rPr>
            </w:pPr>
            <w:r>
              <w:rPr>
                <w:rFonts w:ascii="Times New Roman" w:cs="Times New Roman" w:eastAsia="Times New Roman" w:hAnsi="Times New Roman"/>
                <w:sz w:val="20"/>
                <w:szCs w:val="20"/>
                <w:color w:val="auto"/>
              </w:rPr>
              <w:t>(30,997)</w:t>
            </w:r>
          </w:p>
        </w:tc>
        <w:tc>
          <w:tcPr>
            <w:tcW w:w="24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ind w:right="160"/>
              <w:spacing w:after="0" w:line="226" w:lineRule="exact"/>
              <w:rPr>
                <w:sz w:val="20"/>
                <w:szCs w:val="20"/>
                <w:color w:val="auto"/>
              </w:rPr>
            </w:pPr>
            <w:r>
              <w:rPr>
                <w:rFonts w:ascii="Times New Roman" w:cs="Times New Roman" w:eastAsia="Times New Roman" w:hAnsi="Times New Roman"/>
                <w:sz w:val="20"/>
                <w:szCs w:val="20"/>
                <w:color w:val="auto"/>
              </w:rPr>
              <w:t>(64)</w:t>
            </w:r>
          </w:p>
        </w:tc>
        <w:tc>
          <w:tcPr>
            <w:tcW w:w="16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ind w:right="260"/>
              <w:spacing w:after="0" w:line="226" w:lineRule="exact"/>
              <w:rPr>
                <w:sz w:val="20"/>
                <w:szCs w:val="20"/>
                <w:color w:val="auto"/>
              </w:rPr>
            </w:pPr>
            <w:r>
              <w:rPr>
                <w:rFonts w:ascii="Times New Roman" w:cs="Times New Roman" w:eastAsia="Times New Roman" w:hAnsi="Times New Roman"/>
                <w:sz w:val="20"/>
                <w:szCs w:val="20"/>
                <w:color w:val="auto"/>
              </w:rPr>
              <w:t>4,595</w:t>
            </w:r>
          </w:p>
        </w:tc>
        <w:tc>
          <w:tcPr>
            <w:tcW w:w="1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line="226" w:lineRule="exact"/>
              <w:rPr>
                <w:sz w:val="20"/>
                <w:szCs w:val="20"/>
                <w:color w:val="auto"/>
              </w:rPr>
            </w:pPr>
            <w:r>
              <w:rPr>
                <w:rFonts w:ascii="Times New Roman" w:cs="Times New Roman" w:eastAsia="Times New Roman" w:hAnsi="Times New Roman"/>
                <w:sz w:val="20"/>
                <w:szCs w:val="20"/>
                <w:color w:val="auto"/>
              </w:rPr>
              <w:t>34,865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3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36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November 27, 2021</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160"/>
              <w:spacing w:after="0" w:line="206" w:lineRule="exact"/>
              <w:rPr>
                <w:sz w:val="20"/>
                <w:szCs w:val="20"/>
                <w:color w:val="auto"/>
              </w:rPr>
            </w:pPr>
            <w:r>
              <w:rPr>
                <w:rFonts w:ascii="Times New Roman" w:cs="Times New Roman" w:eastAsia="Times New Roman" w:hAnsi="Times New Roman"/>
                <w:sz w:val="20"/>
                <w:szCs w:val="20"/>
                <w:color w:val="auto"/>
              </w:rPr>
              <w:t>GAAP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6"/>
          </w:tcPr>
          <w:p>
            <w:pPr>
              <w:jc w:val="right"/>
              <w:ind w:right="560"/>
              <w:spacing w:after="0"/>
              <w:rPr>
                <w:sz w:val="20"/>
                <w:szCs w:val="20"/>
                <w:color w:val="auto"/>
              </w:rPr>
            </w:pPr>
            <w:r>
              <w:rPr>
                <w:rFonts w:ascii="Times New Roman" w:cs="Times New Roman" w:eastAsia="Times New Roman" w:hAnsi="Times New Roman"/>
                <w:sz w:val="20"/>
                <w:szCs w:val="20"/>
                <w:color w:val="auto"/>
              </w:rPr>
              <w:t>Non-GAAP Presentation</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vMerge w:val="restart"/>
          </w:tcPr>
          <w:p>
            <w:pPr>
              <w:jc w:val="right"/>
              <w:ind w:right="260"/>
              <w:spacing w:after="0"/>
              <w:rPr>
                <w:sz w:val="20"/>
                <w:szCs w:val="20"/>
                <w:color w:val="auto"/>
              </w:rPr>
            </w:pPr>
            <w:r>
              <w:rPr>
                <w:rFonts w:ascii="Times New Roman" w:cs="Times New Roman" w:eastAsia="Times New Roman" w:hAnsi="Times New Roman"/>
                <w:sz w:val="20"/>
                <w:szCs w:val="20"/>
                <w:color w:val="auto"/>
                <w:w w:val="98"/>
              </w:rPr>
              <w:t>Special</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Presentation</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auto"/>
              </w:rPr>
              <w:t>Corporate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Wholesale</w:t>
            </w:r>
          </w:p>
        </w:tc>
        <w:tc>
          <w:tcPr>
            <w:tcW w:w="220" w:type="dxa"/>
            <w:vAlign w:val="bottom"/>
          </w:tcPr>
          <w:p>
            <w:pPr>
              <w:spacing w:after="0"/>
              <w:rPr>
                <w:sz w:val="21"/>
                <w:szCs w:val="21"/>
                <w:color w:val="auto"/>
              </w:rPr>
            </w:pP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Retail</w:t>
            </w:r>
          </w:p>
        </w:tc>
        <w:tc>
          <w:tcPr>
            <w:tcW w:w="2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6"/>
              </w:rPr>
              <w:t>&amp; Other</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Eliminations</w:t>
            </w:r>
          </w:p>
        </w:tc>
        <w:tc>
          <w:tcPr>
            <w:tcW w:w="180" w:type="dxa"/>
            <w:vAlign w:val="bottom"/>
          </w:tcPr>
          <w:p>
            <w:pPr>
              <w:spacing w:after="0"/>
              <w:rPr>
                <w:sz w:val="21"/>
                <w:szCs w:val="21"/>
                <w:color w:val="auto"/>
              </w:rPr>
            </w:pPr>
          </w:p>
        </w:tc>
        <w:tc>
          <w:tcPr>
            <w:tcW w:w="96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rPr>
              <w:t>Items</w:t>
            </w:r>
          </w:p>
        </w:tc>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Consolidated</w:t>
            </w:r>
          </w:p>
        </w:tc>
        <w:tc>
          <w:tcPr>
            <w:tcW w:w="0" w:type="dxa"/>
            <w:vAlign w:val="bottom"/>
          </w:tcPr>
          <w:p>
            <w:pPr>
              <w:spacing w:after="0"/>
              <w:rPr>
                <w:sz w:val="1"/>
                <w:szCs w:val="1"/>
                <w:color w:val="auto"/>
              </w:rPr>
            </w:pPr>
          </w:p>
        </w:tc>
      </w:tr>
      <w:tr>
        <w:trPr>
          <w:trHeight w:val="436"/>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of furniture and accessories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295,329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247,827</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(112,270 ) (1)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430,886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furniture and accessories sold</w:t>
            </w: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202,424</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119,602</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(112,227 ) (2)</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209,799</w:t>
            </w:r>
          </w:p>
        </w:tc>
        <w:tc>
          <w:tcPr>
            <w:tcW w:w="0" w:type="dxa"/>
            <w:vAlign w:val="bottom"/>
          </w:tcPr>
          <w:p>
            <w:pPr>
              <w:spacing w:after="0"/>
              <w:rPr>
                <w:sz w:val="1"/>
                <w:szCs w:val="1"/>
                <w:color w:val="auto"/>
              </w:rPr>
            </w:pPr>
          </w:p>
        </w:tc>
      </w:tr>
      <w:tr>
        <w:trPr>
          <w:trHeight w:val="205"/>
        </w:trPr>
        <w:tc>
          <w:tcPr>
            <w:tcW w:w="3220" w:type="dxa"/>
            <w:vAlign w:val="bottom"/>
            <w:gridSpan w:val="2"/>
          </w:tcPr>
          <w:p>
            <w:pPr>
              <w:ind w:left="360"/>
              <w:spacing w:after="0" w:line="206" w:lineRule="exact"/>
              <w:rPr>
                <w:sz w:val="20"/>
                <w:szCs w:val="20"/>
                <w:color w:val="auto"/>
              </w:rPr>
            </w:pPr>
            <w:r>
              <w:rPr>
                <w:rFonts w:ascii="Times New Roman" w:cs="Times New Roman" w:eastAsia="Times New Roman" w:hAnsi="Times New Roman"/>
                <w:sz w:val="20"/>
                <w:szCs w:val="20"/>
                <w:color w:val="auto"/>
              </w:rPr>
              <w:t>Gross profit</w:t>
            </w:r>
          </w:p>
        </w:tc>
        <w:tc>
          <w:tcPr>
            <w:tcW w:w="160" w:type="dxa"/>
            <w:vAlign w:val="bottom"/>
          </w:tcPr>
          <w:p>
            <w:pPr>
              <w:spacing w:after="0"/>
              <w:rPr>
                <w:sz w:val="17"/>
                <w:szCs w:val="17"/>
                <w:color w:val="auto"/>
              </w:rPr>
            </w:pP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92,905</w:t>
            </w:r>
          </w:p>
        </w:tc>
        <w:tc>
          <w:tcPr>
            <w:tcW w:w="220" w:type="dxa"/>
            <w:vAlign w:val="bottom"/>
          </w:tcPr>
          <w:p>
            <w:pPr>
              <w:spacing w:after="0"/>
              <w:rPr>
                <w:sz w:val="17"/>
                <w:szCs w:val="17"/>
                <w:color w:val="auto"/>
              </w:rPr>
            </w:pPr>
          </w:p>
        </w:tc>
        <w:tc>
          <w:tcPr>
            <w:tcW w:w="76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128,225</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(43 ) (3)</w:t>
            </w:r>
          </w:p>
        </w:tc>
        <w:tc>
          <w:tcPr>
            <w:tcW w:w="180" w:type="dxa"/>
            <w:vAlign w:val="bottom"/>
          </w:tcPr>
          <w:p>
            <w:pPr>
              <w:spacing w:after="0"/>
              <w:rPr>
                <w:sz w:val="17"/>
                <w:szCs w:val="17"/>
                <w:color w:val="auto"/>
              </w:rPr>
            </w:pPr>
          </w:p>
        </w:tc>
        <w:tc>
          <w:tcPr>
            <w:tcW w:w="960" w:type="dxa"/>
            <w:vAlign w:val="bottom"/>
          </w:tcPr>
          <w:p>
            <w:pPr>
              <w:jc w:val="right"/>
              <w:ind w:right="120"/>
              <w:spacing w:after="0" w:line="20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8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221,087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SG&amp;A expense</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48,959</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124,301</w:t>
            </w:r>
          </w:p>
        </w:tc>
        <w:tc>
          <w:tcPr>
            <w:tcW w:w="20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24,829</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(1,259 ) (4)</w:t>
            </w:r>
          </w:p>
        </w:tc>
        <w:tc>
          <w:tcPr>
            <w:tcW w:w="180" w:type="dxa"/>
            <w:vAlign w:val="bottom"/>
          </w:tcPr>
          <w:p>
            <w:pPr>
              <w:spacing w:after="0"/>
              <w:rPr>
                <w:sz w:val="21"/>
                <w:szCs w:val="21"/>
                <w:color w:val="auto"/>
              </w:rPr>
            </w:pP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196,830</w:t>
            </w:r>
          </w:p>
        </w:tc>
        <w:tc>
          <w:tcPr>
            <w:tcW w:w="0" w:type="dxa"/>
            <w:vAlign w:val="bottom"/>
          </w:tcPr>
          <w:p>
            <w:pPr>
              <w:spacing w:after="0"/>
              <w:rPr>
                <w:sz w:val="1"/>
                <w:szCs w:val="1"/>
                <w:color w:val="auto"/>
              </w:rPr>
            </w:pPr>
          </w:p>
        </w:tc>
      </w:tr>
      <w:tr>
        <w:trPr>
          <w:trHeight w:val="204"/>
        </w:trPr>
        <w:tc>
          <w:tcPr>
            <w:tcW w:w="3220" w:type="dxa"/>
            <w:vAlign w:val="bottom"/>
            <w:gridSpan w:val="2"/>
          </w:tcPr>
          <w:p>
            <w:pPr>
              <w:spacing w:after="0" w:line="205" w:lineRule="exact"/>
              <w:rPr>
                <w:sz w:val="20"/>
                <w:szCs w:val="20"/>
                <w:color w:val="auto"/>
              </w:rPr>
            </w:pPr>
            <w:r>
              <w:rPr>
                <w:rFonts w:ascii="Times New Roman" w:cs="Times New Roman" w:eastAsia="Times New Roman" w:hAnsi="Times New Roman"/>
                <w:sz w:val="20"/>
                <w:szCs w:val="20"/>
                <w:color w:val="auto"/>
              </w:rPr>
              <w:t>Income (loss) from continuing</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43,946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(24,829)</w:t>
            </w:r>
          </w:p>
        </w:tc>
        <w:tc>
          <w:tcPr>
            <w:tcW w:w="2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1,216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Notes to Segment Consolidation Table:</w:t>
      </w:r>
    </w:p>
    <w:p>
      <w:pPr>
        <w:spacing w:after="0" w:line="231" w:lineRule="exact"/>
        <w:rPr>
          <w:sz w:val="20"/>
          <w:szCs w:val="20"/>
          <w:color w:val="auto"/>
        </w:rPr>
      </w:pP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elimination of sales from our wholesale segment to our Company-owned BHF stores.</w:t>
      </w:r>
    </w:p>
    <w:p>
      <w:pPr>
        <w:spacing w:after="0" w:line="27" w:lineRule="exact"/>
        <w:rPr>
          <w:rFonts w:ascii="Times New Roman" w:cs="Times New Roman" w:eastAsia="Times New Roman" w:hAnsi="Times New Roman"/>
          <w:sz w:val="20"/>
          <w:szCs w:val="20"/>
          <w:color w:val="auto"/>
        </w:rPr>
      </w:pP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elimination of purchases by our Company-owned BHF stores from our wholesale segment.</w:t>
      </w: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change in the elimination of intercompany profit in inventory.</w:t>
      </w: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elimination of rent paid by our retail stores occupying Company-owned real estate.</w:t>
      </w: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a non-cash charge for the impairment of goodwill associated with our Noa Home reporting unit.</w:t>
      </w:r>
    </w:p>
    <w:p>
      <w:pPr>
        <w:ind w:left="8" w:right="360" w:hanging="8"/>
        <w:spacing w:after="0" w:line="239" w:lineRule="auto"/>
        <w:tabs>
          <w:tab w:leader="none" w:pos="29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gain resulting from the write-down of the contingent consideration payable on the acquisition of Noa Home.</w:t>
      </w:r>
    </w:p>
    <w:p>
      <w:pPr>
        <w:spacing w:after="0" w:line="1" w:lineRule="exact"/>
        <w:rPr>
          <w:rFonts w:ascii="Times New Roman" w:cs="Times New Roman" w:eastAsia="Times New Roman" w:hAnsi="Times New Roman"/>
          <w:sz w:val="20"/>
          <w:szCs w:val="20"/>
          <w:color w:val="auto"/>
        </w:rPr>
      </w:pPr>
    </w:p>
    <w:p>
      <w:pPr>
        <w:ind w:left="288" w:hanging="288"/>
        <w:spacing w:after="0"/>
        <w:tabs>
          <w:tab w:leader="none" w:pos="28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gain on the sale of the real estate at a former retail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948"/>
          </w:cols>
          <w:pgMar w:left="1152" w:top="925" w:right="1140" w:bottom="175" w:gutter="0" w:footer="0" w:header="0"/>
        </w:sectPr>
      </w:pPr>
    </w:p>
    <w:bookmarkStart w:id="12" w:name="page13"/>
    <w:bookmarkEnd w:id="12"/>
    <w:p>
      <w:pPr>
        <w:ind w:left="8"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u w:val="single" w:color="auto"/>
          <w:color w:val="auto"/>
        </w:rPr>
        <w:t>Wholesale Segment</w:t>
      </w:r>
    </w:p>
    <w:p>
      <w:pPr>
        <w:spacing w:after="0" w:line="234" w:lineRule="exact"/>
        <w:rPr>
          <w:sz w:val="20"/>
          <w:szCs w:val="20"/>
          <w:color w:val="auto"/>
        </w:rPr>
      </w:pPr>
    </w:p>
    <w:p>
      <w:pPr>
        <w:ind w:left="8" w:right="20"/>
        <w:spacing w:after="0" w:line="278" w:lineRule="auto"/>
        <w:rPr>
          <w:sz w:val="20"/>
          <w:szCs w:val="20"/>
          <w:color w:val="auto"/>
        </w:rPr>
      </w:pPr>
      <w:r>
        <w:rPr>
          <w:rFonts w:ascii="Times New Roman" w:cs="Times New Roman" w:eastAsia="Times New Roman" w:hAnsi="Times New Roman"/>
          <w:sz w:val="20"/>
          <w:szCs w:val="20"/>
          <w:color w:val="auto"/>
        </w:rPr>
        <w:t>Net sales, gross profit, SG&amp;A expense and operating income for our Wholesale Segment were as follows for the fiscal years ended November 25, 2023, November 26, 2022 and November 27, 2021:</w:t>
      </w:r>
    </w:p>
    <w:p>
      <w:pPr>
        <w:spacing w:after="0" w:line="153"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00" w:type="dxa"/>
            <w:vAlign w:val="bottom"/>
            <w:gridSpan w:val="7"/>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Comparative Change</w:t>
            </w:r>
          </w:p>
        </w:tc>
        <w:tc>
          <w:tcPr>
            <w:tcW w:w="0" w:type="dxa"/>
            <w:vAlign w:val="bottom"/>
          </w:tcPr>
          <w:p>
            <w:pPr>
              <w:spacing w:after="0"/>
              <w:rPr>
                <w:sz w:val="1"/>
                <w:szCs w:val="1"/>
                <w:color w:val="auto"/>
              </w:rPr>
            </w:pPr>
          </w:p>
        </w:tc>
      </w:tr>
      <w:tr>
        <w:trPr>
          <w:trHeight w:val="225"/>
        </w:trPr>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00" w:type="dxa"/>
            <w:vAlign w:val="bottom"/>
            <w:tcBorders>
              <w:top w:val="single" w:sz="8" w:color="auto"/>
            </w:tcBorders>
            <w:gridSpan w:val="4"/>
          </w:tcPr>
          <w:p>
            <w:pPr>
              <w:ind w:left="200"/>
              <w:spacing w:after="0" w:line="225" w:lineRule="exact"/>
              <w:rPr>
                <w:sz w:val="20"/>
                <w:szCs w:val="20"/>
                <w:color w:val="auto"/>
              </w:rPr>
            </w:pPr>
            <w:r>
              <w:rPr>
                <w:rFonts w:ascii="Times New Roman" w:cs="Times New Roman" w:eastAsia="Times New Roman" w:hAnsi="Times New Roman"/>
                <w:sz w:val="20"/>
                <w:szCs w:val="20"/>
                <w:b w:val="1"/>
                <w:bCs w:val="1"/>
                <w:color w:val="auto"/>
              </w:rPr>
              <w:t>2023 vs 2022</w:t>
            </w:r>
          </w:p>
        </w:tc>
        <w:tc>
          <w:tcPr>
            <w:tcW w:w="1420" w:type="dxa"/>
            <w:vAlign w:val="bottom"/>
            <w:tcBorders>
              <w:top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2022 vs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Dollars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Net sales</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248,911</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 xml:space="preserve">100.0% </w:t>
            </w:r>
            <w:r>
              <w:rPr>
                <w:rFonts w:ascii="Times New Roman" w:cs="Times New Roman" w:eastAsia="Times New Roman" w:hAnsi="Times New Roman"/>
                <w:sz w:val="20"/>
                <w:szCs w:val="20"/>
                <w:u w:val="single" w:color="auto"/>
                <w:color w:val="auto"/>
                <w:w w:val="99"/>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324,569</w:t>
            </w:r>
          </w:p>
        </w:tc>
        <w:tc>
          <w:tcPr>
            <w:tcW w:w="158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auto"/>
              </w:rPr>
              <w:t xml:space="preserve">100.0%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295,329</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w w:val="99"/>
              </w:rPr>
              <w:t xml:space="preserve">100.0% </w:t>
            </w:r>
            <w:r>
              <w:rPr>
                <w:rFonts w:ascii="Times New Roman" w:cs="Times New Roman" w:eastAsia="Times New Roman" w:hAnsi="Times New Roman"/>
                <w:sz w:val="20"/>
                <w:szCs w:val="20"/>
                <w:u w:val="single" w:color="auto"/>
                <w:color w:val="auto"/>
                <w:w w:val="99"/>
              </w:rPr>
              <w:t>$</w:t>
            </w:r>
            <w:r>
              <w:rPr>
                <w:rFonts w:ascii="Times New Roman" w:cs="Times New Roman" w:eastAsia="Times New Roman" w:hAnsi="Times New Roman"/>
                <w:sz w:val="20"/>
                <w:szCs w:val="20"/>
                <w:color w:val="auto"/>
                <w:w w:val="99"/>
              </w:rPr>
              <w:t>(75,658)</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xml:space="preserve">-23.3%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29,240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line="226" w:lineRule="exact"/>
              <w:rPr>
                <w:sz w:val="20"/>
                <w:szCs w:val="20"/>
                <w:color w:val="auto"/>
              </w:rPr>
            </w:pPr>
            <w:r>
              <w:rPr>
                <w:rFonts w:ascii="Times New Roman" w:cs="Times New Roman" w:eastAsia="Times New Roman" w:hAnsi="Times New Roman"/>
                <w:sz w:val="20"/>
                <w:szCs w:val="20"/>
                <w:color w:val="auto"/>
              </w:rPr>
              <w:t>Gross profit (1)</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77,517</w:t>
            </w:r>
          </w:p>
        </w:tc>
        <w:tc>
          <w:tcPr>
            <w:tcW w:w="66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31.1%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99,269</w:t>
            </w:r>
          </w:p>
        </w:tc>
        <w:tc>
          <w:tcPr>
            <w:tcW w:w="6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30.6%</w:t>
            </w:r>
          </w:p>
        </w:tc>
        <w:tc>
          <w:tcPr>
            <w:tcW w:w="160" w:type="dxa"/>
            <w:vAlign w:val="bottom"/>
          </w:tcPr>
          <w:p>
            <w:pPr>
              <w:spacing w:after="0"/>
              <w:rPr>
                <w:sz w:val="17"/>
                <w:szCs w:val="17"/>
                <w:color w:val="auto"/>
              </w:rPr>
            </w:pPr>
          </w:p>
        </w:tc>
        <w:tc>
          <w:tcPr>
            <w:tcW w:w="74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92,905</w:t>
            </w:r>
          </w:p>
        </w:tc>
        <w:tc>
          <w:tcPr>
            <w:tcW w:w="66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31.5%</w:t>
            </w:r>
          </w:p>
        </w:tc>
        <w:tc>
          <w:tcPr>
            <w:tcW w:w="2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(21,752)</w:t>
            </w:r>
          </w:p>
        </w:tc>
        <w:tc>
          <w:tcPr>
            <w:tcW w:w="88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-21.9%</w:t>
            </w:r>
          </w:p>
        </w:tc>
        <w:tc>
          <w:tcPr>
            <w:tcW w:w="20" w:type="dxa"/>
            <w:vAlign w:val="bottom"/>
          </w:tcPr>
          <w:p>
            <w:pPr>
              <w:spacing w:after="0"/>
              <w:rPr>
                <w:sz w:val="17"/>
                <w:szCs w:val="17"/>
                <w:color w:val="auto"/>
              </w:rPr>
            </w:pP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6,364</w:t>
            </w:r>
          </w:p>
        </w:tc>
        <w:tc>
          <w:tcPr>
            <w:tcW w:w="8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SG&amp;A</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46,818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57,290</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17.7%</w:t>
            </w:r>
          </w:p>
        </w:tc>
        <w:tc>
          <w:tcPr>
            <w:tcW w:w="160" w:type="dxa"/>
            <w:vAlign w:val="bottom"/>
          </w:tcPr>
          <w:p>
            <w:pPr>
              <w:spacing w:after="0"/>
              <w:rPr>
                <w:sz w:val="21"/>
                <w:szCs w:val="21"/>
                <w:color w:val="auto"/>
              </w:rPr>
            </w:pP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48,959</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16.6%</w:t>
            </w:r>
          </w:p>
        </w:tc>
        <w:tc>
          <w:tcPr>
            <w:tcW w:w="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-18.3%</w:t>
            </w:r>
          </w:p>
        </w:tc>
        <w:tc>
          <w:tcPr>
            <w:tcW w:w="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17.0%</w:t>
            </w:r>
          </w:p>
        </w:tc>
        <w:tc>
          <w:tcPr>
            <w:tcW w:w="0" w:type="dxa"/>
            <w:vAlign w:val="bottom"/>
          </w:tcPr>
          <w:p>
            <w:pPr>
              <w:spacing w:after="0"/>
              <w:rPr>
                <w:sz w:val="1"/>
                <w:szCs w:val="1"/>
                <w:color w:val="auto"/>
              </w:rPr>
            </w:pPr>
          </w:p>
        </w:tc>
      </w:tr>
      <w:tr>
        <w:trPr>
          <w:trHeight w:val="205"/>
        </w:trPr>
        <w:tc>
          <w:tcPr>
            <w:tcW w:w="1920" w:type="dxa"/>
            <w:vAlign w:val="bottom"/>
          </w:tcPr>
          <w:p>
            <w:pPr>
              <w:spacing w:after="0" w:line="206" w:lineRule="exact"/>
              <w:rPr>
                <w:sz w:val="20"/>
                <w:szCs w:val="20"/>
                <w:color w:val="auto"/>
              </w:rPr>
            </w:pPr>
            <w:r>
              <w:rPr>
                <w:rFonts w:ascii="Times New Roman" w:cs="Times New Roman" w:eastAsia="Times New Roman" w:hAnsi="Times New Roman"/>
                <w:sz w:val="20"/>
                <w:szCs w:val="20"/>
                <w:color w:val="auto"/>
              </w:rPr>
              <w:t>Income from</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9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operations</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30,699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12.3% $</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41,979</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12.9% $</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43,946</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xml:space="preserve">14.9%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(11,280)</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-26.9% $ (1,967 )</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348" w:right="20" w:hanging="348"/>
        <w:spacing w:after="0" w:line="258" w:lineRule="auto"/>
        <w:tabs>
          <w:tab w:leader="none" w:pos="3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78"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20"/>
          <w:szCs w:val="20"/>
          <w:color w:val="auto"/>
        </w:rPr>
        <w:t>Wholesale shipments by category for the fiscal years ended November 25, 2023, November 26, 2022 and November 27, 2021 are summarized below:</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99"/>
        </w:trPr>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7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2022</w:t>
            </w: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2021</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640" w:type="dxa"/>
            <w:vAlign w:val="bottom"/>
            <w:tcBorders>
              <w:bottom w:val="single" w:sz="8" w:color="auto"/>
            </w:tcBorders>
            <w:gridSpan w:val="2"/>
          </w:tcPr>
          <w:p>
            <w:pPr>
              <w:jc w:val="right"/>
              <w:spacing w:after="0" w:line="179" w:lineRule="exact"/>
              <w:rPr>
                <w:sz w:val="20"/>
                <w:szCs w:val="20"/>
                <w:color w:val="auto"/>
              </w:rPr>
            </w:pPr>
            <w:r>
              <w:rPr>
                <w:rFonts w:ascii="Times New Roman" w:cs="Times New Roman" w:eastAsia="Times New Roman" w:hAnsi="Times New Roman"/>
                <w:sz w:val="16"/>
                <w:szCs w:val="16"/>
                <w:color w:val="auto"/>
                <w:w w:val="99"/>
              </w:rPr>
              <w:t>External</w:t>
            </w:r>
          </w:p>
        </w:tc>
        <w:tc>
          <w:tcPr>
            <w:tcW w:w="960" w:type="dxa"/>
            <w:vAlign w:val="bottom"/>
            <w:tcBorders>
              <w:bottom w:val="single" w:sz="8" w:color="auto"/>
            </w:tcBorders>
            <w:gridSpan w:val="2"/>
          </w:tcPr>
          <w:p>
            <w:pPr>
              <w:ind w:left="40"/>
              <w:spacing w:after="0" w:line="179" w:lineRule="exact"/>
              <w:rPr>
                <w:sz w:val="20"/>
                <w:szCs w:val="20"/>
                <w:color w:val="auto"/>
              </w:rPr>
            </w:pPr>
            <w:r>
              <w:rPr>
                <w:rFonts w:ascii="Times New Roman" w:cs="Times New Roman" w:eastAsia="Times New Roman" w:hAnsi="Times New Roman"/>
                <w:sz w:val="16"/>
                <w:szCs w:val="16"/>
                <w:color w:val="auto"/>
              </w:rPr>
              <w:t>Intercompany</w:t>
            </w:r>
          </w:p>
        </w:tc>
        <w:tc>
          <w:tcPr>
            <w:tcW w:w="76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w w:val="99"/>
              </w:rPr>
              <w:t>External</w:t>
            </w:r>
          </w:p>
        </w:tc>
        <w:tc>
          <w:tcPr>
            <w:tcW w:w="980" w:type="dxa"/>
            <w:vAlign w:val="bottom"/>
            <w:tcBorders>
              <w:bottom w:val="single" w:sz="8" w:color="auto"/>
            </w:tcBorders>
            <w:gridSpan w:val="2"/>
          </w:tcPr>
          <w:p>
            <w:pPr>
              <w:ind w:left="40"/>
              <w:spacing w:after="0" w:line="179" w:lineRule="exact"/>
              <w:rPr>
                <w:sz w:val="20"/>
                <w:szCs w:val="20"/>
                <w:color w:val="auto"/>
              </w:rPr>
            </w:pPr>
            <w:r>
              <w:rPr>
                <w:rFonts w:ascii="Times New Roman" w:cs="Times New Roman" w:eastAsia="Times New Roman" w:hAnsi="Times New Roman"/>
                <w:sz w:val="16"/>
                <w:szCs w:val="16"/>
                <w:color w:val="auto"/>
              </w:rPr>
              <w:t>Intercompany</w:t>
            </w:r>
          </w:p>
        </w:tc>
        <w:tc>
          <w:tcPr>
            <w:tcW w:w="7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External</w:t>
            </w:r>
          </w:p>
        </w:tc>
        <w:tc>
          <w:tcPr>
            <w:tcW w:w="980" w:type="dxa"/>
            <w:vAlign w:val="bottom"/>
            <w:tcBorders>
              <w:bottom w:val="single" w:sz="8" w:color="auto"/>
            </w:tcBorders>
            <w:gridSpan w:val="2"/>
          </w:tcPr>
          <w:p>
            <w:pPr>
              <w:ind w:left="40"/>
              <w:spacing w:after="0" w:line="179" w:lineRule="exact"/>
              <w:rPr>
                <w:sz w:val="20"/>
                <w:szCs w:val="20"/>
                <w:color w:val="auto"/>
              </w:rPr>
            </w:pPr>
            <w:r>
              <w:rPr>
                <w:rFonts w:ascii="Times New Roman" w:cs="Times New Roman" w:eastAsia="Times New Roman" w:hAnsi="Times New Roman"/>
                <w:sz w:val="16"/>
                <w:szCs w:val="16"/>
                <w:color w:val="auto"/>
              </w:rPr>
              <w:t>Intercompany</w:t>
            </w:r>
          </w:p>
        </w:tc>
        <w:tc>
          <w:tcPr>
            <w:tcW w:w="740" w:type="dxa"/>
            <w:vAlign w:val="bottom"/>
            <w:tcBorders>
              <w:bottom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Upholstery</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89,005</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66,363</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$155,368</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62.4%</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$124,565</w:t>
            </w:r>
          </w:p>
        </w:tc>
        <w:tc>
          <w:tcPr>
            <w:tcW w:w="2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82,437</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$207,002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63.8%</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$105,445</w:t>
            </w: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69,533</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$174,978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184"/>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27,872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35,953</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36,029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11.1%</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36,157</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36,218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185"/>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Wood</w:t>
            </w: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20,070</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37,427</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24,764</w:t>
            </w:r>
          </w:p>
        </w:tc>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47,298</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24,066</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48,145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99"/>
        </w:trPr>
        <w:tc>
          <w:tcPr>
            <w:tcW w:w="1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15,915</w:t>
            </w: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28,244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2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18,612</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34,240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35,988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60" w:type="dxa"/>
            <w:vAlign w:val="bottom"/>
            <w:gridSpan w:val="2"/>
            <w:vMerge w:val="continue"/>
          </w:tcPr>
          <w:p>
            <w:pPr>
              <w:spacing w:after="0"/>
              <w:rPr>
                <w:sz w:val="15"/>
                <w:szCs w:val="15"/>
                <w:color w:val="auto"/>
              </w:rPr>
            </w:pPr>
          </w:p>
        </w:tc>
        <w:tc>
          <w:tcPr>
            <w:tcW w:w="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145,392</w:t>
            </w:r>
          </w:p>
        </w:tc>
        <w:tc>
          <w:tcPr>
            <w:tcW w:w="26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103,519</w:t>
            </w:r>
          </w:p>
        </w:tc>
        <w:tc>
          <w:tcPr>
            <w:tcW w:w="760" w:type="dxa"/>
            <w:vAlign w:val="bottom"/>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rPr>
              <w:t>$248,911</w:t>
            </w:r>
          </w:p>
        </w:tc>
        <w:tc>
          <w:tcPr>
            <w:tcW w:w="5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w w:val="97"/>
              </w:rPr>
              <w:t>100.0%</w:t>
            </w:r>
          </w:p>
        </w:tc>
        <w:tc>
          <w:tcPr>
            <w:tcW w:w="2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$198,680</w:t>
            </w:r>
          </w:p>
        </w:tc>
        <w:tc>
          <w:tcPr>
            <w:tcW w:w="26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125,889</w:t>
            </w:r>
          </w:p>
        </w:tc>
        <w:tc>
          <w:tcPr>
            <w:tcW w:w="740" w:type="dxa"/>
            <w:vAlign w:val="bottom"/>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w w:val="99"/>
              </w:rPr>
              <w:t>$324,569</w:t>
            </w:r>
          </w:p>
        </w:tc>
        <w:tc>
          <w:tcPr>
            <w:tcW w:w="52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w w:val="97"/>
              </w:rPr>
              <w:t>100.0%</w:t>
            </w:r>
          </w:p>
        </w:tc>
        <w:tc>
          <w:tcPr>
            <w:tcW w:w="20" w:type="dxa"/>
            <w:vAlign w:val="bottom"/>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6"/>
              </w:rPr>
              <w:t>$183,059</w:t>
            </w:r>
          </w:p>
        </w:tc>
        <w:tc>
          <w:tcPr>
            <w:tcW w:w="280" w:type="dxa"/>
            <w:vAlign w:val="bottom"/>
          </w:tcPr>
          <w:p>
            <w:pPr>
              <w:ind w:left="40"/>
              <w:spacing w:after="0" w:line="181"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112,270</w:t>
            </w:r>
          </w:p>
        </w:tc>
        <w:tc>
          <w:tcPr>
            <w:tcW w:w="740" w:type="dxa"/>
            <w:vAlign w:val="bottom"/>
          </w:tcPr>
          <w:p>
            <w:pPr>
              <w:jc w:val="right"/>
              <w:ind w:right="20"/>
              <w:spacing w:after="0" w:line="181" w:lineRule="exact"/>
              <w:rPr>
                <w:sz w:val="20"/>
                <w:szCs w:val="20"/>
                <w:color w:val="auto"/>
              </w:rPr>
            </w:pPr>
            <w:r>
              <w:rPr>
                <w:rFonts w:ascii="Times New Roman" w:cs="Times New Roman" w:eastAsia="Times New Roman" w:hAnsi="Times New Roman"/>
                <w:sz w:val="16"/>
                <w:szCs w:val="16"/>
                <w:color w:val="auto"/>
              </w:rPr>
              <w:t>$295,329</w:t>
            </w:r>
          </w:p>
        </w:tc>
        <w:tc>
          <w:tcPr>
            <w:tcW w:w="5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w w:val="97"/>
              </w:rPr>
              <w:t>100.0%</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Fiscal 2023 as Compared to Fiscal 2022</w:t>
      </w:r>
    </w:p>
    <w:p>
      <w:pPr>
        <w:spacing w:after="0" w:line="230" w:lineRule="exact"/>
        <w:rPr>
          <w:sz w:val="20"/>
          <w:szCs w:val="20"/>
          <w:color w:val="auto"/>
        </w:rPr>
      </w:pPr>
    </w:p>
    <w:p>
      <w:pPr>
        <w:jc w:val="both"/>
        <w:ind w:left="8"/>
        <w:spacing w:after="0" w:line="242" w:lineRule="auto"/>
        <w:rPr>
          <w:sz w:val="20"/>
          <w:szCs w:val="20"/>
          <w:color w:val="auto"/>
        </w:rPr>
      </w:pPr>
      <w:r>
        <w:rPr>
          <w:rFonts w:ascii="Times New Roman" w:cs="Times New Roman" w:eastAsia="Times New Roman" w:hAnsi="Times New Roman"/>
          <w:sz w:val="20"/>
          <w:szCs w:val="20"/>
          <w:color w:val="auto"/>
        </w:rPr>
        <w:t>Net sales for the year ended November 25, 2023 decreased $75,658 or 23% from the prior year period due to a 17% decrease in shipments to the BHF store network, a 26% decrease in shipments to the open market and 30% decrease in shipments of Lane Venture product. These decreases were the result of reduced demand for home furnishings following the significant increase during the COVID period. Gross margins for the year ended November 25, 2023 increased 50 basis points compared to the prior year period primarily due to increased margins in our Custom Upholstery business as we were able to recognize a greater portion of previously implemented price increases in current period sales coupled with improved overall product warranty and returns experience and overall lower unit costs as measured on a last-in, first-out (LIFO) basis. These margin improvements were partially offset by lower margins in the Bassett Leather business due to increased product discounting and excess and obsolete reserve charges. As the Bassett Leather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We expect margins for the Bassett Leather product to moderate during the first half of 2024 with a return to normal margins in the third quarter of 2024. Margins in the Bassett Casegoods business were lower due primarily to realizing the high freight costs incurred during mid-2022 in the results of operations for the current period. Margins improved over the back half of 2023 with margins for the fourth quarter of 2023 comparable to the fourth quarter of 2022. Lastly, margins for Bassett Custom Wood products were lower in 2023 from the prior year due to lower sales volume. SG&amp;A expenses as a percentage of sales increased 110 basis points primarily due to reduced leverage of fixed costs from decreased sales, partially offset by lower fixed overhead spending.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48"/>
          </w:cols>
          <w:pgMar w:left="1152" w:top="925" w:right="1140" w:bottom="175" w:gutter="0" w:footer="0" w:header="0"/>
        </w:sectPr>
      </w:pPr>
    </w:p>
    <w:bookmarkStart w:id="13" w:name="page14"/>
    <w:bookmarkEnd w:id="13"/>
    <w:p>
      <w:pPr>
        <w:ind w:left="8"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Fiscal 2022 as Compared to Fiscal 2021</w:t>
      </w:r>
    </w:p>
    <w:p>
      <w:pPr>
        <w:spacing w:after="0" w:line="230"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20"/>
          <w:szCs w:val="20"/>
          <w:color w:val="auto"/>
        </w:rPr>
        <w:t>Net sales for the year ended November 26, 2022 increased $29,240 or 9.9% from the prior year period due to a 13% increase in shipments to both the BHF store network, a 32% increase in shipments of Lane Venture product and a 3.8% increase in shipments to the open market. Gross margins for the year ended November 26, 2022 declined 90 basis points compared to the prior year period as we experienced significant increases in material and other production costs. In addition, we experienced reduced margins in our Bassett Leather product line due to price discounting during the last half of the year. As this product line is internationally sourced with extended lead times, we received significant amounts of inventory during the second and third quarters of 2022 just as product demand was weakening due to the market downturn in home furnishings. Also, the ocean freight costs associated with the majority of the product received was at significantly higher costs than are currently being realized on current product receipts. All of these cost increases were partially offset by greater leverage of fixed costs due to higher sales volumes. SG&amp;A expenses as a percentage of sales increased 110 basis points primarily due to increased logistics and warehouse costs and higher bad debt expenses, partially offset by greater leverage of fixed costs from increased sales volumes.</w:t>
      </w:r>
    </w:p>
    <w:p>
      <w:pPr>
        <w:spacing w:after="0" w:line="195"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20"/>
          <w:szCs w:val="20"/>
          <w:color w:val="auto"/>
        </w:rPr>
        <w:t>The dollar value of our wholesale backlog, representing orders received but not yet shipped to the BHF store network or independent dealers, was $18,478 at November 25, 2023 and $35,336 at November 26, 2022.</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Retail Segment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b w:val="1"/>
          <w:bCs w:val="1"/>
          <w:u w:val="single" w:color="auto"/>
          <w:color w:val="auto"/>
        </w:rPr>
        <w:t xml:space="preserve"> Company Owned Stores</w:t>
      </w:r>
    </w:p>
    <w:p>
      <w:pPr>
        <w:spacing w:after="0" w:line="235"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20"/>
          <w:szCs w:val="20"/>
          <w:color w:val="auto"/>
        </w:rPr>
        <w:t>Net sales, gross profit, SG&amp;A expense, and operating income (loss) for our retail segment were as follows for the fiscal years ended November 25, 2023, November 26, 2022 and November 27, 2021:</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300" w:type="dxa"/>
            <w:vAlign w:val="bottom"/>
            <w:gridSpan w:val="7"/>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Comparative Change</w:t>
            </w:r>
          </w:p>
        </w:tc>
        <w:tc>
          <w:tcPr>
            <w:tcW w:w="0" w:type="dxa"/>
            <w:vAlign w:val="bottom"/>
          </w:tcPr>
          <w:p>
            <w:pPr>
              <w:spacing w:after="0"/>
              <w:rPr>
                <w:sz w:val="1"/>
                <w:szCs w:val="1"/>
                <w:color w:val="auto"/>
              </w:rPr>
            </w:pPr>
          </w:p>
        </w:tc>
      </w:tr>
      <w:tr>
        <w:trPr>
          <w:trHeight w:val="225"/>
        </w:trPr>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Borders>
              <w:top w:val="single" w:sz="8" w:color="auto"/>
            </w:tcBorders>
            <w:gridSpan w:val="4"/>
          </w:tcPr>
          <w:p>
            <w:pPr>
              <w:ind w:left="220"/>
              <w:spacing w:after="0" w:line="225" w:lineRule="exact"/>
              <w:rPr>
                <w:sz w:val="20"/>
                <w:szCs w:val="20"/>
                <w:color w:val="auto"/>
              </w:rPr>
            </w:pPr>
            <w:r>
              <w:rPr>
                <w:rFonts w:ascii="Times New Roman" w:cs="Times New Roman" w:eastAsia="Times New Roman" w:hAnsi="Times New Roman"/>
                <w:sz w:val="20"/>
                <w:szCs w:val="20"/>
                <w:b w:val="1"/>
                <w:bCs w:val="1"/>
                <w:color w:val="auto"/>
              </w:rPr>
              <w:t>2023 vs 2022</w:t>
            </w:r>
          </w:p>
        </w:tc>
        <w:tc>
          <w:tcPr>
            <w:tcW w:w="1400" w:type="dxa"/>
            <w:vAlign w:val="bottom"/>
            <w:tcBorders>
              <w:top w:val="single" w:sz="8" w:color="auto"/>
            </w:tcBorders>
            <w:gridSpan w:val="2"/>
          </w:tcPr>
          <w:p>
            <w:pPr>
              <w:jc w:val="right"/>
              <w:ind w:right="60"/>
              <w:spacing w:after="0" w:line="225" w:lineRule="exact"/>
              <w:rPr>
                <w:sz w:val="20"/>
                <w:szCs w:val="20"/>
                <w:color w:val="auto"/>
              </w:rPr>
            </w:pPr>
            <w:r>
              <w:rPr>
                <w:rFonts w:ascii="Times New Roman" w:cs="Times New Roman" w:eastAsia="Times New Roman" w:hAnsi="Times New Roman"/>
                <w:sz w:val="20"/>
                <w:szCs w:val="20"/>
                <w:b w:val="1"/>
                <w:bCs w:val="1"/>
                <w:color w:val="auto"/>
              </w:rPr>
              <w:t>2022 vs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6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235,940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100.0% $</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285,119</w:t>
            </w: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100.0%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247,827</w:t>
            </w:r>
          </w:p>
        </w:tc>
        <w:tc>
          <w:tcPr>
            <w:tcW w:w="3100" w:type="dxa"/>
            <w:vAlign w:val="bottom"/>
            <w:gridSpan w:val="7"/>
          </w:tcPr>
          <w:p>
            <w:pPr>
              <w:jc w:val="right"/>
              <w:spacing w:after="0"/>
              <w:rPr>
                <w:sz w:val="20"/>
                <w:szCs w:val="20"/>
                <w:color w:val="auto"/>
              </w:rPr>
            </w:pPr>
            <w:r>
              <w:rPr>
                <w:rFonts w:ascii="Times New Roman" w:cs="Times New Roman" w:eastAsia="Times New Roman" w:hAnsi="Times New Roman"/>
                <w:sz w:val="20"/>
                <w:szCs w:val="20"/>
                <w:color w:val="auto"/>
              </w:rPr>
              <w:t xml:space="preserve">100.0%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(49,179)   -17.2% $ 37,292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line="226" w:lineRule="exact"/>
              <w:rPr>
                <w:sz w:val="20"/>
                <w:szCs w:val="20"/>
                <w:color w:val="auto"/>
              </w:rPr>
            </w:pPr>
            <w:r>
              <w:rPr>
                <w:rFonts w:ascii="Times New Roman" w:cs="Times New Roman" w:eastAsia="Times New Roman" w:hAnsi="Times New Roman"/>
                <w:sz w:val="20"/>
                <w:szCs w:val="20"/>
                <w:color w:val="auto"/>
              </w:rPr>
              <w:t>Gross profit (1)</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w w:val="98"/>
              </w:rPr>
              <w:t>124,171</w:t>
            </w:r>
          </w:p>
        </w:tc>
        <w:tc>
          <w:tcPr>
            <w:tcW w:w="6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52.6%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w w:val="95"/>
              </w:rPr>
              <w:t>149,420</w:t>
            </w:r>
          </w:p>
        </w:tc>
        <w:tc>
          <w:tcPr>
            <w:tcW w:w="66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52.4%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w w:val="98"/>
              </w:rPr>
              <w:t>128,225</w:t>
            </w:r>
          </w:p>
        </w:tc>
        <w:tc>
          <w:tcPr>
            <w:tcW w:w="6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51.7%</w:t>
            </w:r>
          </w:p>
        </w:tc>
        <w:tc>
          <w:tcPr>
            <w:tcW w:w="8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(25,249)</w:t>
            </w:r>
          </w:p>
        </w:tc>
        <w:tc>
          <w:tcPr>
            <w:tcW w:w="8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20"/>
                <w:szCs w:val="20"/>
                <w:color w:val="auto"/>
              </w:rPr>
              <w:t>-16.9%</w:t>
            </w:r>
          </w:p>
        </w:tc>
        <w:tc>
          <w:tcPr>
            <w:tcW w:w="20" w:type="dxa"/>
            <w:vAlign w:val="bottom"/>
          </w:tcPr>
          <w:p>
            <w:pPr>
              <w:spacing w:after="0"/>
              <w:rPr>
                <w:sz w:val="17"/>
                <w:szCs w:val="17"/>
                <w:color w:val="auto"/>
              </w:rPr>
            </w:pPr>
          </w:p>
        </w:tc>
        <w:tc>
          <w:tcPr>
            <w:tcW w:w="7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21,195</w:t>
            </w:r>
          </w:p>
        </w:tc>
        <w:tc>
          <w:tcPr>
            <w:tcW w:w="88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50"/>
        </w:trPr>
        <w:tc>
          <w:tcPr>
            <w:tcW w:w="1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SG&amp;A</w:t>
            </w:r>
          </w:p>
        </w:tc>
        <w:tc>
          <w:tcPr>
            <w:tcW w:w="80" w:type="dxa"/>
            <w:vAlign w:val="bottom"/>
          </w:tcPr>
          <w:p>
            <w:pPr>
              <w:spacing w:after="0"/>
              <w:rPr>
                <w:sz w:val="21"/>
                <w:szCs w:val="21"/>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8"/>
              </w:rPr>
              <w:t>124,707</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95"/>
              </w:rPr>
              <w:t>130,068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124,301</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50.2%</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-4.1%</w:t>
            </w:r>
          </w:p>
        </w:tc>
        <w:tc>
          <w:tcPr>
            <w:tcW w:w="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1940" w:type="dxa"/>
            <w:vAlign w:val="bottom"/>
            <w:gridSpan w:val="2"/>
            <w:vMerge w:val="restart"/>
          </w:tcPr>
          <w:p>
            <w:pPr>
              <w:spacing w:after="0" w:line="226" w:lineRule="exact"/>
              <w:rPr>
                <w:sz w:val="20"/>
                <w:szCs w:val="20"/>
                <w:color w:val="auto"/>
              </w:rPr>
            </w:pPr>
            <w:r>
              <w:rPr>
                <w:rFonts w:ascii="Times New Roman" w:cs="Times New Roman" w:eastAsia="Times New Roman" w:hAnsi="Times New Roman"/>
                <w:sz w:val="20"/>
                <w:szCs w:val="20"/>
                <w:color w:val="auto"/>
              </w:rPr>
              <w:t>Income (loss) from</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51"/>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operations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-0.2% $</w:t>
            </w: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19,352</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6.8% $</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3,924</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(19,888)</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-102.8% $ 15,428</w:t>
            </w: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348" w:right="20" w:hanging="348"/>
        <w:spacing w:after="0" w:line="258" w:lineRule="auto"/>
        <w:tabs>
          <w:tab w:leader="none" w:pos="3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at the segment level is considered a Non-GAAP financial measure due to the included effects of intercompany transactions. Refer to the reconciliation of segment results to consolidated results of operations presented above.</w:t>
      </w:r>
    </w:p>
    <w:p>
      <w:pPr>
        <w:spacing w:after="0" w:line="178" w:lineRule="exact"/>
        <w:rPr>
          <w:sz w:val="20"/>
          <w:szCs w:val="20"/>
          <w:color w:val="auto"/>
        </w:rPr>
      </w:pPr>
    </w:p>
    <w:p>
      <w:pPr>
        <w:ind w:left="8" w:right="20"/>
        <w:spacing w:after="0" w:line="278" w:lineRule="auto"/>
        <w:rPr>
          <w:sz w:val="20"/>
          <w:szCs w:val="20"/>
          <w:color w:val="auto"/>
        </w:rPr>
      </w:pPr>
      <w:r>
        <w:rPr>
          <w:rFonts w:ascii="Times New Roman" w:cs="Times New Roman" w:eastAsia="Times New Roman" w:hAnsi="Times New Roman"/>
          <w:sz w:val="20"/>
          <w:szCs w:val="20"/>
          <w:color w:val="auto"/>
        </w:rPr>
        <w:t>Retail sales by major product category for the fiscal years ended November 25, 2023, November 26, 2022 and November 27, 2021were as follows:</w:t>
      </w:r>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264"/>
        </w:trPr>
        <w:tc>
          <w:tcPr>
            <w:tcW w:w="3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2023</w:t>
            </w:r>
          </w:p>
        </w:tc>
        <w:tc>
          <w:tcPr>
            <w:tcW w:w="6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2022</w:t>
            </w:r>
          </w:p>
        </w:tc>
        <w:tc>
          <w:tcPr>
            <w:tcW w:w="6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2021</w:t>
            </w:r>
          </w:p>
        </w:tc>
        <w:tc>
          <w:tcPr>
            <w:tcW w:w="6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r>
      <w:tr>
        <w:trPr>
          <w:trHeight w:val="496"/>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Bassett Custom Upholstery</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$ 134,000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56.8 %</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$ 163,755</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57.4 %</w:t>
            </w:r>
          </w:p>
        </w:tc>
        <w:tc>
          <w:tcPr>
            <w:tcW w:w="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$ 139,527</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56.3 %</w:t>
            </w:r>
          </w:p>
        </w:tc>
      </w:tr>
      <w:tr>
        <w:trPr>
          <w:trHeight w:val="259"/>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Bassett Leather</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0.8 %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0.1 %</w:t>
            </w:r>
          </w:p>
        </w:tc>
      </w:tr>
      <w:tr>
        <w:trPr>
          <w:trHeight w:val="260"/>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Bassett Custom Wood</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36,732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43,208</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30,931</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12.5 %</w:t>
            </w:r>
          </w:p>
        </w:tc>
      </w:tr>
      <w:tr>
        <w:trPr>
          <w:trHeight w:val="260"/>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Bassett Casegoods</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13.7 %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40,146</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42,658</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17.2 %</w:t>
            </w:r>
          </w:p>
        </w:tc>
      </w:tr>
      <w:tr>
        <w:trPr>
          <w:trHeight w:val="264"/>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Accessories, mattresses &amp; other (1)</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31,005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36,303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12.7 %</w:t>
            </w: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34,485</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13.9 %</w:t>
            </w:r>
          </w:p>
        </w:tc>
      </w:tr>
      <w:tr>
        <w:trPr>
          <w:trHeight w:val="242"/>
        </w:trPr>
        <w:tc>
          <w:tcPr>
            <w:tcW w:w="3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$ 235,940</w:t>
            </w:r>
          </w:p>
        </w:tc>
        <w:tc>
          <w:tcPr>
            <w:tcW w:w="1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$ 285,119</w:t>
            </w: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c>
          <w:tcPr>
            <w:tcW w:w="20" w:type="dxa"/>
            <w:vAlign w:val="bottom"/>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$ 247,827</w:t>
            </w: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w:t>
            </w:r>
          </w:p>
        </w:tc>
      </w:tr>
      <w:tr>
        <w:trPr>
          <w:trHeight w:val="20"/>
        </w:trPr>
        <w:tc>
          <w:tcPr>
            <w:tcW w:w="3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0" w:lineRule="exact"/>
        <w:rPr>
          <w:sz w:val="20"/>
          <w:szCs w:val="20"/>
          <w:color w:val="auto"/>
        </w:rPr>
      </w:pPr>
    </w:p>
    <w:p>
      <w:pPr>
        <w:ind w:left="1088" w:right="20" w:hanging="368"/>
        <w:spacing w:after="0" w:line="278" w:lineRule="auto"/>
        <w:tabs>
          <w:tab w:leader="none" w:pos="108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the sale of goods other than Bassett-branded products, such as accessories and bedding, and also includes the sale of furniture protection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48"/>
          </w:cols>
          <w:pgMar w:left="1152" w:top="925" w:right="1140" w:bottom="175" w:gutter="0" w:footer="0" w:header="0"/>
        </w:sectPr>
      </w:pPr>
    </w:p>
    <w:bookmarkStart w:id="14" w:name="page15"/>
    <w:bookmarkEnd w:id="14"/>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2023 as Compared to Fiscal 2022</w:t>
      </w:r>
    </w:p>
    <w:p>
      <w:pPr>
        <w:spacing w:after="0" w:line="2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Net sales for the year ended November 25, 2023 decreased $49,179 or approximately 17% from the prior year. Written sales (the value of sales orders taken but not delivered) declined 16% from fiscal 2022. Gross margins for the year ended November 25, 2023 increased by 20 basis points as compared to the prior year period as lower margins from store closure sales in the current year were offset by improved margins on in-line goods and lower unit costs as measured on a LIFO basis. SG&amp;A expenses as a percentage of sales for the year ended November 25, 2023 increased 730 basis points primarily due to decreased leverage of fixed costs from lower sales volumes.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Retail backlog at November 25, 2023 was $30,902 compared to $51,041 at November 26, 2022.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Corporate and Other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Revenues, costs and expenses of corporate and other for the fiscal years ended November 25, 2023, November 26, 2022 and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27, 2021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Comparative Change</w:t>
            </w: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Borders>
              <w:top w:val="single" w:sz="8" w:color="auto"/>
            </w:tcBorders>
            <w:gridSpan w:val="4"/>
          </w:tcPr>
          <w:p>
            <w:pPr>
              <w:ind w:left="160"/>
              <w:spacing w:after="0" w:line="225" w:lineRule="exact"/>
              <w:rPr>
                <w:sz w:val="20"/>
                <w:szCs w:val="20"/>
                <w:color w:val="auto"/>
              </w:rPr>
            </w:pPr>
            <w:r>
              <w:rPr>
                <w:rFonts w:ascii="Times New Roman" w:cs="Times New Roman" w:eastAsia="Times New Roman" w:hAnsi="Times New Roman"/>
                <w:sz w:val="20"/>
                <w:szCs w:val="20"/>
                <w:b w:val="1"/>
                <w:bCs w:val="1"/>
                <w:color w:val="auto"/>
              </w:rPr>
              <w:t>2023 vs 2022</w:t>
            </w:r>
          </w:p>
        </w:tc>
        <w:tc>
          <w:tcPr>
            <w:tcW w:w="1420" w:type="dxa"/>
            <w:vAlign w:val="bottom"/>
            <w:tcBorders>
              <w:top w:val="single" w:sz="8" w:color="auto"/>
            </w:tcBorders>
            <w:gridSpan w:val="2"/>
          </w:tcPr>
          <w:p>
            <w:pPr>
              <w:jc w:val="right"/>
              <w:ind w:right="80"/>
              <w:spacing w:after="0" w:line="225" w:lineRule="exact"/>
              <w:rPr>
                <w:sz w:val="20"/>
                <w:szCs w:val="20"/>
                <w:color w:val="auto"/>
              </w:rPr>
            </w:pPr>
            <w:r>
              <w:rPr>
                <w:rFonts w:ascii="Times New Roman" w:cs="Times New Roman" w:eastAsia="Times New Roman" w:hAnsi="Times New Roman"/>
                <w:sz w:val="20"/>
                <w:szCs w:val="20"/>
                <w:b w:val="1"/>
                <w:bCs w:val="1"/>
                <w:color w:val="auto"/>
              </w:rPr>
              <w:t>2022 vs 2021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Dollars</w:t>
            </w:r>
          </w:p>
        </w:tc>
        <w:tc>
          <w:tcPr>
            <w:tcW w:w="7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6"/>
              </w:rPr>
              <w:t>Dollars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Percent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5"/>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8,804</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1,802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100%</w:t>
            </w: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$ 7,002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388.6%</w:t>
            </w:r>
          </w:p>
        </w:tc>
        <w:tc>
          <w:tcPr>
            <w:tcW w:w="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$ 1,802</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line="225" w:lineRule="exact"/>
              <w:rPr>
                <w:sz w:val="20"/>
                <w:szCs w:val="20"/>
                <w:color w:val="auto"/>
              </w:rPr>
            </w:pPr>
            <w:r>
              <w:rPr>
                <w:rFonts w:ascii="Times New Roman" w:cs="Times New Roman" w:eastAsia="Times New Roman" w:hAnsi="Times New Roman"/>
                <w:sz w:val="20"/>
                <w:szCs w:val="20"/>
                <w:color w:val="auto"/>
              </w:rPr>
              <w:t>Gross profit</w:t>
            </w: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40"/>
              <w:spacing w:after="0" w:line="205" w:lineRule="exact"/>
              <w:rPr>
                <w:sz w:val="20"/>
                <w:szCs w:val="20"/>
                <w:color w:val="auto"/>
              </w:rPr>
            </w:pPr>
            <w:r>
              <w:rPr>
                <w:rFonts w:ascii="Times New Roman" w:cs="Times New Roman" w:eastAsia="Times New Roman" w:hAnsi="Times New Roman"/>
                <w:sz w:val="20"/>
                <w:szCs w:val="20"/>
                <w:color w:val="auto"/>
              </w:rPr>
              <w:t>4,802</w:t>
            </w:r>
          </w:p>
        </w:tc>
        <w:tc>
          <w:tcPr>
            <w:tcW w:w="7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rPr>
              <w:t>54.5%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rPr>
              <w:t>830</w:t>
            </w:r>
          </w:p>
        </w:tc>
        <w:tc>
          <w:tcPr>
            <w:tcW w:w="92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rPr>
              <w:t>46.1%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60"/>
              <w:spacing w:after="0" w:line="205"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0.0%</w:t>
            </w:r>
          </w:p>
        </w:tc>
        <w:tc>
          <w:tcPr>
            <w:tcW w:w="20" w:type="dxa"/>
            <w:vAlign w:val="bottom"/>
            <w:vMerge w:val="continue"/>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3,972</w:t>
            </w:r>
          </w:p>
        </w:tc>
        <w:tc>
          <w:tcPr>
            <w:tcW w:w="940" w:type="dxa"/>
            <w:vAlign w:val="bottom"/>
            <w:gridSpan w:val="2"/>
          </w:tcPr>
          <w:p>
            <w:pPr>
              <w:jc w:val="right"/>
              <w:ind w:right="60"/>
              <w:spacing w:after="0" w:line="205" w:lineRule="exact"/>
              <w:rPr>
                <w:sz w:val="20"/>
                <w:szCs w:val="20"/>
                <w:color w:val="auto"/>
              </w:rPr>
            </w:pPr>
            <w:r>
              <w:rPr>
                <w:rFonts w:ascii="Times New Roman" w:cs="Times New Roman" w:eastAsia="Times New Roman" w:hAnsi="Times New Roman"/>
                <w:sz w:val="20"/>
                <w:szCs w:val="20"/>
                <w:color w:val="auto"/>
              </w:rPr>
              <w:t>478.6%</w:t>
            </w:r>
          </w:p>
        </w:tc>
        <w:tc>
          <w:tcPr>
            <w:tcW w:w="20" w:type="dxa"/>
            <w:vAlign w:val="bottom"/>
          </w:tcPr>
          <w:p>
            <w:pPr>
              <w:spacing w:after="0"/>
              <w:rPr>
                <w:sz w:val="17"/>
                <w:szCs w:val="17"/>
                <w:color w:val="auto"/>
              </w:rPr>
            </w:pPr>
          </w:p>
        </w:tc>
        <w:tc>
          <w:tcPr>
            <w:tcW w:w="7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830</w:t>
            </w: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NM</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SG&amp;A</w:t>
            </w:r>
          </w:p>
        </w:tc>
        <w:tc>
          <w:tcPr>
            <w:tcW w:w="100" w:type="dxa"/>
            <w:vAlign w:val="bottom"/>
          </w:tcPr>
          <w:p>
            <w:pPr>
              <w:spacing w:after="0"/>
              <w:rPr>
                <w:sz w:val="21"/>
                <w:szCs w:val="21"/>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34,728</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394.5%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31,827</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1766.2%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24,829</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NM</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28.2 %</w:t>
            </w:r>
          </w:p>
        </w:tc>
        <w:tc>
          <w:tcPr>
            <w:tcW w:w="0" w:type="dxa"/>
            <w:vAlign w:val="bottom"/>
          </w:tcPr>
          <w:p>
            <w:pPr>
              <w:spacing w:after="0"/>
              <w:rPr>
                <w:sz w:val="1"/>
                <w:szCs w:val="1"/>
                <w:color w:val="auto"/>
              </w:rPr>
            </w:pPr>
          </w:p>
        </w:tc>
      </w:tr>
      <w:tr>
        <w:trPr>
          <w:trHeight w:val="205"/>
        </w:trPr>
        <w:tc>
          <w:tcPr>
            <w:tcW w:w="148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Income (loss)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from</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6"/>
              </w:rPr>
              <w:t>(29,926)</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-339.9%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(30,997)</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xml:space="preserve">-1720.1% </w:t>
            </w:r>
            <w:r>
              <w:rPr>
                <w:rFonts w:ascii="Times New Roman" w:cs="Times New Roman" w:eastAsia="Times New Roman" w:hAnsi="Times New Roman"/>
                <w:sz w:val="20"/>
                <w:szCs w:val="20"/>
                <w:u w:val="single" w:color="auto"/>
                <w:color w:val="auto"/>
              </w:rPr>
              <w:t>$</w:t>
            </w:r>
          </w:p>
        </w:tc>
        <w:tc>
          <w:tcPr>
            <w:tcW w:w="8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9"/>
              </w:rPr>
              <w:t>(24,829)</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NM</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$ 1,071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 (6,168)</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NM</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2023 as Compared to Fiscal 2022</w:t>
      </w:r>
    </w:p>
    <w:p>
      <w:pPr>
        <w:spacing w:after="0" w:line="23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increases in sales and gross profit over the prior year period were due to the acquisition of Noa Home on September 2, 2022. The $2,901 increase in SG&amp;A expenses was primarily due to the addition of Noa Home, partially offset by lower corporate incentive compensation and other corporate overhead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Fiscal 2022 as Compared to Fiscal 2021</w:t>
      </w:r>
    </w:p>
    <w:p>
      <w:pPr>
        <w:spacing w:after="0" w:line="23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increases in sales and gross profit over the prior year period were due to the acquisition of Noa Home on September 2, 2022. The $6,998 decrease in SG&amp;A expenses was primarily due to higher corporate overhead spending in 2022 including increased employee compensation costs and sales and marketing expenses, along with the fact that there was no SG&amp;A expense associated with Noa Home in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Discontinued Operations - Logistical Services</w:t>
      </w:r>
    </w:p>
    <w:p>
      <w:pPr>
        <w:spacing w:after="0" w:line="23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Revenues, operating expenses and income from operations for our logistical services segment were as follows for the fiscal years ended November 25, 2023, November 26, 2022 and November 27,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3"/>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w w:val="99"/>
              </w:rPr>
              <w:t>Comparative</w:t>
            </w:r>
          </w:p>
        </w:tc>
        <w:tc>
          <w:tcPr>
            <w:tcW w:w="0" w:type="dxa"/>
            <w:vAlign w:val="bottom"/>
          </w:tcPr>
          <w:p>
            <w:pPr>
              <w:spacing w:after="0"/>
              <w:rPr>
                <w:sz w:val="1"/>
                <w:szCs w:val="1"/>
                <w:color w:val="auto"/>
              </w:rPr>
            </w:pPr>
          </w:p>
        </w:tc>
      </w:tr>
      <w:tr>
        <w:trPr>
          <w:trHeight w:val="254"/>
        </w:trPr>
        <w:tc>
          <w:tcPr>
            <w:tcW w:w="3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25"/>
        </w:trPr>
        <w:tc>
          <w:tcPr>
            <w:tcW w:w="3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2021</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2"/>
          </w:tcPr>
          <w:p>
            <w:pPr>
              <w:jc w:val="center"/>
              <w:spacing w:after="0" w:line="225" w:lineRule="exact"/>
              <w:rPr>
                <w:sz w:val="20"/>
                <w:szCs w:val="20"/>
                <w:color w:val="auto"/>
              </w:rPr>
            </w:pPr>
            <w:r>
              <w:rPr>
                <w:rFonts w:ascii="Times New Roman" w:cs="Times New Roman" w:eastAsia="Times New Roman" w:hAnsi="Times New Roman"/>
                <w:sz w:val="20"/>
                <w:szCs w:val="20"/>
                <w:b w:val="1"/>
                <w:bCs w:val="1"/>
                <w:color w:val="auto"/>
              </w:rPr>
              <w:t>2022 vs 2021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Logistical services revenue</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Dollars</w:t>
            </w: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w w:val="97"/>
              </w:rPr>
              <w:t>Percent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240" w:type="dxa"/>
            <w:vAlign w:val="bottom"/>
            <w:gridSpan w:val="2"/>
            <w:vMerge w:val="continue"/>
          </w:tcPr>
          <w:p>
            <w:pPr>
              <w:spacing w:after="0"/>
              <w:rPr>
                <w:sz w:val="17"/>
                <w:szCs w:val="17"/>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280"/>
              <w:spacing w:after="0" w:line="206" w:lineRule="exact"/>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w w:val="98"/>
              </w:rPr>
              <w:t>16,776</w:t>
            </w:r>
          </w:p>
        </w:tc>
        <w:tc>
          <w:tcPr>
            <w:tcW w:w="7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100.0%</w:t>
            </w:r>
          </w:p>
        </w:tc>
        <w:tc>
          <w:tcPr>
            <w:tcW w:w="1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ind w:right="200"/>
              <w:spacing w:after="0" w:line="206" w:lineRule="exact"/>
              <w:rPr>
                <w:sz w:val="20"/>
                <w:szCs w:val="20"/>
                <w:color w:val="auto"/>
              </w:rPr>
            </w:pPr>
            <w:r>
              <w:rPr>
                <w:rFonts w:ascii="Times New Roman" w:cs="Times New Roman" w:eastAsia="Times New Roman" w:hAnsi="Times New Roman"/>
                <w:sz w:val="20"/>
                <w:szCs w:val="20"/>
                <w:color w:val="auto"/>
                <w:w w:val="98"/>
              </w:rPr>
              <w:t>55,648</w:t>
            </w:r>
          </w:p>
        </w:tc>
        <w:tc>
          <w:tcPr>
            <w:tcW w:w="700" w:type="dxa"/>
            <w:vAlign w:val="bottom"/>
            <w:gridSpan w:val="2"/>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rPr>
              <w:t>100.0%</w:t>
            </w: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99"/>
              </w:rPr>
              <w:t>(38,872)</w:t>
            </w:r>
          </w:p>
        </w:tc>
        <w:tc>
          <w:tcPr>
            <w:tcW w:w="8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20"/>
                <w:szCs w:val="20"/>
                <w:color w:val="auto"/>
              </w:rPr>
              <w:t>-69.9%</w:t>
            </w:r>
          </w:p>
        </w:tc>
        <w:tc>
          <w:tcPr>
            <w:tcW w:w="0" w:type="dxa"/>
            <w:vAlign w:val="bottom"/>
          </w:tcPr>
          <w:p>
            <w:pPr>
              <w:spacing w:after="0"/>
              <w:rPr>
                <w:sz w:val="1"/>
                <w:szCs w:val="1"/>
                <w:color w:val="auto"/>
              </w:rPr>
            </w:pPr>
          </w:p>
        </w:tc>
      </w:tr>
      <w:tr>
        <w:trPr>
          <w:trHeight w:val="229"/>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logistical services</w:t>
            </w:r>
          </w:p>
        </w:tc>
        <w:tc>
          <w:tcPr>
            <w:tcW w:w="300" w:type="dxa"/>
            <w:vAlign w:val="bottom"/>
          </w:tcPr>
          <w:p>
            <w:pPr>
              <w:spacing w:after="0"/>
              <w:rPr>
                <w:sz w:val="19"/>
                <w:szCs w:val="19"/>
                <w:color w:val="auto"/>
              </w:rPr>
            </w:pPr>
          </w:p>
        </w:tc>
        <w:tc>
          <w:tcPr>
            <w:tcW w:w="7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19"/>
                <w:szCs w:val="19"/>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15,001</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89.4%</w:t>
            </w:r>
          </w:p>
        </w:tc>
        <w:tc>
          <w:tcPr>
            <w:tcW w:w="120" w:type="dxa"/>
            <w:vAlign w:val="bottom"/>
          </w:tcPr>
          <w:p>
            <w:pPr>
              <w:spacing w:after="0"/>
              <w:rPr>
                <w:sz w:val="19"/>
                <w:szCs w:val="19"/>
                <w:color w:val="auto"/>
              </w:rPr>
            </w:pP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53,905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(38,904)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-72.2%</w:t>
            </w:r>
          </w:p>
        </w:tc>
        <w:tc>
          <w:tcPr>
            <w:tcW w:w="0" w:type="dxa"/>
            <w:vAlign w:val="bottom"/>
          </w:tcPr>
          <w:p>
            <w:pPr>
              <w:spacing w:after="0"/>
              <w:rPr>
                <w:sz w:val="1"/>
                <w:szCs w:val="1"/>
                <w:color w:val="auto"/>
              </w:rPr>
            </w:pPr>
          </w:p>
        </w:tc>
      </w:tr>
      <w:tr>
        <w:trPr>
          <w:trHeight w:val="250"/>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loss, net</w:t>
            </w:r>
          </w:p>
        </w:tc>
        <w:tc>
          <w:tcPr>
            <w:tcW w:w="300" w:type="dxa"/>
            <w:vAlign w:val="bottom"/>
          </w:tcPr>
          <w:p>
            <w:pPr>
              <w:spacing w:after="0"/>
              <w:rPr>
                <w:sz w:val="21"/>
                <w:szCs w:val="21"/>
                <w:color w:val="auto"/>
              </w:rPr>
            </w:pPr>
          </w:p>
        </w:tc>
        <w:tc>
          <w:tcPr>
            <w:tcW w:w="7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spacing w:after="0"/>
              <w:rPr>
                <w:sz w:val="21"/>
                <w:szCs w:val="21"/>
                <w:color w:val="auto"/>
              </w:rPr>
            </w:pPr>
          </w:p>
        </w:tc>
        <w:tc>
          <w:tcPr>
            <w:tcW w:w="8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(63)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-0.4%</w:t>
            </w:r>
          </w:p>
        </w:tc>
        <w:tc>
          <w:tcPr>
            <w:tcW w:w="120" w:type="dxa"/>
            <w:vAlign w:val="bottom"/>
          </w:tcPr>
          <w:p>
            <w:pPr>
              <w:spacing w:after="0"/>
              <w:rPr>
                <w:sz w:val="21"/>
                <w:szCs w:val="21"/>
                <w:color w:val="auto"/>
              </w:rPr>
            </w:pPr>
          </w:p>
        </w:tc>
        <w:tc>
          <w:tcPr>
            <w:tcW w:w="8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(260)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32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discontinued operations</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1,712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10.2% $</w:t>
            </w:r>
          </w:p>
        </w:tc>
        <w:tc>
          <w:tcPr>
            <w:tcW w:w="86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1,483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0"/>
        </w:trPr>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8</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940"/>
          </w:cols>
          <w:pgMar w:left="1160" w:top="925" w:right="1140" w:bottom="139" w:gutter="0" w:footer="0" w:header="0"/>
        </w:sectPr>
      </w:pPr>
    </w:p>
    <w:bookmarkStart w:id="15" w:name="page16"/>
    <w:bookmarkEnd w:id="15"/>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Analysis of Discontinued Operations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Logistical Services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amounts shown above represent the results of Zenith’s business transactions with third parties.</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Zenith charged Bassett $9,121 for logistical services provided to our wholesale segment during the year ended November 26, 2022, and $31,329 and $26,967 for fiscal 2021 and 2020, respectively. These shipping and handling costs are included in selling, general and administrative expenses in the accompanying condensed consolidated statements of income. We entered into a service agreement with J.B. Hunt for the continuation of these services for a period of seven years following the sale of Zenith. Subsequent to the sale, we have incurred $26,125 and $27,604 of expense for the years ended November 25, 2023 and November 26, 2022, respectively, for the performance of logistical services by J.B. Hunt.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Items Affecting Net Income (Loss)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items affecting net income (loss) for fiscal 2023 and 2022 are as follows: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8"/>
        </w:trPr>
        <w:tc>
          <w:tcPr>
            <w:tcW w:w="4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Pr>
          <w:p>
            <w:pPr>
              <w:spacing w:after="0"/>
              <w:rPr>
                <w:sz w:val="23"/>
                <w:szCs w:val="23"/>
                <w:color w:val="auto"/>
              </w:rPr>
            </w:pPr>
          </w:p>
        </w:tc>
      </w:tr>
      <w:tr>
        <w:trPr>
          <w:trHeight w:val="496"/>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 (1)</w:t>
            </w:r>
          </w:p>
        </w:tc>
        <w:tc>
          <w:tcPr>
            <w:tcW w:w="100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w:t>
            </w:r>
          </w:p>
        </w:tc>
        <w:tc>
          <w:tcPr>
            <w:tcW w:w="220" w:type="dxa"/>
            <w:vAlign w:val="bottom"/>
          </w:tcPr>
          <w:p>
            <w:pPr>
              <w:spacing w:after="0"/>
              <w:rPr>
                <w:sz w:val="24"/>
                <w:szCs w:val="24"/>
                <w:color w:val="auto"/>
              </w:rPr>
            </w:pP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80" w:type="dxa"/>
            <w:vAlign w:val="bottom"/>
          </w:tcPr>
          <w:p>
            <w:pPr>
              <w:spacing w:after="0"/>
              <w:rPr>
                <w:sz w:val="24"/>
                <w:szCs w:val="24"/>
                <w:color w:val="auto"/>
              </w:rPr>
            </w:pPr>
          </w:p>
        </w:tc>
      </w:tr>
      <w:tr>
        <w:trPr>
          <w:trHeight w:val="259"/>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 (2)</w:t>
            </w:r>
          </w:p>
        </w:tc>
        <w:tc>
          <w:tcPr>
            <w:tcW w:w="10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(22 )</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(38 )</w:t>
            </w:r>
          </w:p>
        </w:tc>
        <w:tc>
          <w:tcPr>
            <w:tcW w:w="3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(33 )</w:t>
            </w:r>
          </w:p>
        </w:tc>
      </w:tr>
      <w:tr>
        <w:trPr>
          <w:trHeight w:val="260"/>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periodic pension costs (3)</w:t>
            </w:r>
          </w:p>
        </w:tc>
        <w:tc>
          <w:tcPr>
            <w:tcW w:w="10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(496 )</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(489 )</w:t>
            </w:r>
          </w:p>
        </w:tc>
        <w:tc>
          <w:tcPr>
            <w:tcW w:w="3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(422 )</w:t>
            </w:r>
          </w:p>
        </w:tc>
      </w:tr>
      <w:tr>
        <w:trPr>
          <w:trHeight w:val="260"/>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gains (cost) of company-owned life insurance (4)</w:t>
            </w:r>
          </w:p>
        </w:tc>
        <w:tc>
          <w:tcPr>
            <w:tcW w:w="10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(572 )</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(364 )</w:t>
            </w:r>
          </w:p>
        </w:tc>
      </w:tr>
      <w:tr>
        <w:trPr>
          <w:trHeight w:val="264"/>
        </w:trPr>
        <w:tc>
          <w:tcPr>
            <w:tcW w:w="48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0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(791 )</w:t>
            </w:r>
          </w:p>
        </w:tc>
        <w:tc>
          <w:tcPr>
            <w:tcW w:w="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(739 )</w:t>
            </w:r>
          </w:p>
        </w:tc>
        <w:tc>
          <w:tcPr>
            <w:tcW w:w="340" w:type="dxa"/>
            <w:vAlign w:val="bottom"/>
          </w:tcPr>
          <w:p>
            <w:pPr>
              <w:spacing w:after="0"/>
              <w:rPr>
                <w:sz w:val="22"/>
                <w:szCs w:val="22"/>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(729 )</w:t>
            </w:r>
          </w:p>
        </w:tc>
      </w:tr>
      <w:tr>
        <w:trPr>
          <w:trHeight w:val="20"/>
        </w:trPr>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2"/>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Total other loss, net</w:t>
            </w:r>
          </w:p>
        </w:tc>
        <w:tc>
          <w:tcPr>
            <w:tcW w:w="1000" w:type="dxa"/>
            <w:vAlign w:val="bottom"/>
          </w:tcPr>
          <w:p>
            <w:pPr>
              <w:jc w:val="right"/>
              <w:ind w:right="780"/>
              <w:spacing w:after="0"/>
              <w:rPr>
                <w:sz w:val="20"/>
                <w:szCs w:val="20"/>
                <w:color w:val="auto"/>
              </w:rPr>
            </w:pPr>
            <w:r>
              <w:rPr>
                <w:rFonts w:ascii="Times New Roman" w:cs="Times New Roman" w:eastAsia="Times New Roman" w:hAnsi="Times New Roman"/>
                <w:sz w:val="20"/>
                <w:szCs w:val="20"/>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right"/>
              <w:ind w:right="820"/>
              <w:spacing w:after="0"/>
              <w:rPr>
                <w:sz w:val="20"/>
                <w:szCs w:val="20"/>
                <w:color w:val="auto"/>
              </w:rPr>
            </w:pPr>
            <w:r>
              <w:rPr>
                <w:rFonts w:ascii="Times New Roman" w:cs="Times New Roman" w:eastAsia="Times New Roman" w:hAnsi="Times New Roman"/>
                <w:sz w:val="20"/>
                <w:szCs w:val="20"/>
                <w:color w:val="auto"/>
                <w:w w:val="79"/>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(803 )</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(1,500 )</w:t>
            </w:r>
          </w:p>
        </w:tc>
      </w:tr>
      <w:tr>
        <w:trPr>
          <w:trHeight w:val="20"/>
        </w:trPr>
        <w:tc>
          <w:tcPr>
            <w:tcW w:w="48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left="720" w:hanging="368"/>
        <w:spacing w:after="0" w:line="247"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Consists of interest income arising from our short-term investments and interest-bearing cash equivalents. The increase in interest income for fiscal 2023 as compared with fiscal 2022 was due primarily to higher interest rates paid on certificates of deposit. See Note 4 to the Consolidated Financial Statements for additional information regarding our investments in certificates of deposit.</w:t>
      </w:r>
    </w:p>
    <w:p>
      <w:pPr>
        <w:spacing w:after="0" w:line="1" w:lineRule="exact"/>
        <w:rPr>
          <w:rFonts w:ascii="Times New Roman" w:cs="Times New Roman" w:eastAsia="Times New Roman" w:hAnsi="Times New Roman"/>
          <w:sz w:val="20"/>
          <w:szCs w:val="20"/>
          <w:color w:val="auto"/>
        </w:rPr>
      </w:pPr>
    </w:p>
    <w:p>
      <w:pPr>
        <w:ind w:left="720" w:hanging="368"/>
        <w:spacing w:after="0" w:line="239" w:lineRule="auto"/>
        <w:tabs>
          <w:tab w:leader="none" w:pos="72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interest expense in fiscal 2023 and 2022 is attributable to finance leases for computer and office equipment. See Note 15 to the Consolidated Financial Statements for additional information regarding our leases.</w:t>
      </w:r>
    </w:p>
    <w:p>
      <w:pPr>
        <w:spacing w:after="0" w:line="1" w:lineRule="exact"/>
        <w:rPr>
          <w:rFonts w:ascii="Times New Roman" w:cs="Times New Roman" w:eastAsia="Times New Roman" w:hAnsi="Times New Roman"/>
          <w:sz w:val="20"/>
          <w:szCs w:val="20"/>
          <w:color w:val="auto"/>
        </w:rPr>
      </w:pPr>
    </w:p>
    <w:p>
      <w:pPr>
        <w:ind w:left="720" w:hanging="368"/>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portion of net periodic pension costs not included in income from operations. See Note 10 to the Consolidated Financial Statements for additional information related to our defined benefit pension plans.</w:t>
      </w:r>
    </w:p>
    <w:p>
      <w:pPr>
        <w:ind w:left="720" w:hanging="368"/>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a gain arising from death benefits from Company-owned life insurance of $1,441 in fiscal 2022.</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Provision for Income taxes</w:t>
      </w:r>
    </w:p>
    <w:p>
      <w:pPr>
        <w:spacing w:after="0" w:line="2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recorded an income tax provision on pre-tax income from continuing operations of $683, $8,702, and $5,836 in fiscal 2023, 2022 and 2021, respectively. Our effective tax rate of (27.5%) for 2023 differs from the federal statutory rate of 21.0% due to the non-taxable goodwill impairment and non-taxable gain on revaluation of contingent consideration both of which are associated with the acquisition of Noa Home, increases in the valuation allowance placed on deferred tax assets resulting from pre-tax losses in foreign tax jurisdictions associated with Noa Home and the effects of state income taxes and various permanent differences. Our effective tax rate of 25.5% for 2022 differs from the federal statutory rate of 21.0% due to the effects of state income taxes and various permanent differences.</w:t>
      </w:r>
    </w:p>
    <w:p>
      <w:pPr>
        <w:spacing w:after="0" w:line="19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have net deferred tax assets of $4,645 as of November 25, 2023, which, upon utilization, are expected to reduce our cash outlays for income taxes in future years. It will require approximately $18,000 of future taxable income to utilize our net deferred tax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Liquidity and Capital Resources</w:t>
      </w:r>
    </w:p>
    <w:p>
      <w:pPr>
        <w:spacing w:after="0" w:line="235"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We are committed to maintaining a strong balance sheet in order to weather difficult industry conditions, to allow us to take advantage of opportunities as market conditions improve, and to execute our long-term retail strategies.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940"/>
          </w:cols>
          <w:pgMar w:left="1160" w:top="925" w:right="1140" w:bottom="175" w:gutter="0" w:footer="0" w:header="0"/>
        </w:sectPr>
      </w:pPr>
    </w:p>
    <w:bookmarkStart w:id="16" w:name="page17"/>
    <w:bookmarkEnd w:id="16"/>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Cash Flows</w:t>
      </w:r>
    </w:p>
    <w:p>
      <w:pPr>
        <w:spacing w:after="0" w:line="23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Cash provided by operations for the year ended November 25, 2023 was $18,724 compared to cash used in operations of $2,970 for the year ended November 26, 2022, representing an increase of $21,694 in cash flows from operations. Cash provided by the operating activities of our discontinued operations was $1,681 in fiscal 2022. Excluding the decline in operating cash flow from discontinued operations, cash flows from continuing operations increased $23,375 as compared to the prior year period. This increase was primarily the result of reductions in our inventory on hand partially offset by lower income from continuing operations and other changes in working capital.</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During the year ended November 25, 2023, we spent $17,489 on purchases of property and equipment primarily consisting of expenditures related to our digital transformation project, upfit of the new Tampa, Florida store that opened January 12, 2024, the opening of the Inwood Village store in Dallas, Texas, the remodel of the Austin, Texas store and the remodeling of two other stores in the Dallas, Texas market. We also paid $5,982 in dividends during the year, a $14,180 decrease from 2022 as the prior year included a $1.50 per share special dividend. Finally, we repurchased 252,054 shares spending $ 4,176 during the current year, a $10,946 decrease compared to the prior period. As of November 25, 2023, $21,823 remains available for future purchases under our stock repurchase plan. With cash and cash equivalents and short -term investments totaling $ 70,182 on hand at November 25, 2023, expected future operating cash flows and the availability under our credit line noted below, we believe we have sufficient liquidity to fund operations for the foreseeable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Debt and Other Obligations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 Credit Facility</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bank credit facility provides for a line of credit of up to $25,000. At November 25,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186" w:lineRule="exact"/>
        <w:rPr>
          <w:sz w:val="20"/>
          <w:szCs w:val="20"/>
          <w:color w:val="auto"/>
        </w:rPr>
      </w:pPr>
    </w:p>
    <w:p>
      <w:pPr>
        <w:ind w:left="720" w:hanging="368"/>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 coverage ratio of not less than 1.4 times,</w:t>
      </w:r>
    </w:p>
    <w:p>
      <w:pPr>
        <w:spacing w:after="0" w:line="230" w:lineRule="exact"/>
        <w:rPr>
          <w:rFonts w:ascii="Times New Roman" w:cs="Times New Roman" w:eastAsia="Times New Roman" w:hAnsi="Times New Roman"/>
          <w:sz w:val="20"/>
          <w:szCs w:val="20"/>
          <w:color w:val="auto"/>
        </w:rPr>
      </w:pPr>
    </w:p>
    <w:p>
      <w:pPr>
        <w:ind w:left="720" w:hanging="368"/>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lease-adjusted leverage ratio not to exceed 3.0 times, and</w:t>
      </w:r>
    </w:p>
    <w:p>
      <w:pPr>
        <w:spacing w:after="0" w:line="229" w:lineRule="exact"/>
        <w:rPr>
          <w:rFonts w:ascii="Times New Roman" w:cs="Times New Roman" w:eastAsia="Times New Roman" w:hAnsi="Times New Roman"/>
          <w:sz w:val="20"/>
          <w:szCs w:val="20"/>
          <w:color w:val="auto"/>
        </w:rPr>
      </w:pPr>
    </w:p>
    <w:p>
      <w:pPr>
        <w:ind w:left="720" w:hanging="368"/>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tangible net worth of $140,000.</w:t>
      </w:r>
    </w:p>
    <w:p>
      <w:pPr>
        <w:spacing w:after="0" w:line="23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Due to our results of operations in 2023, we were not in compliance with certain of these covenants at the end of the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expect to be in compliance at March 2, 2024. The respective ratios revert back to the previous values for the quarter ended June 1, 2024. We are in negotiations with our bank and plan to have an amended, restated or new agreement with a similar line of credit in place by the end of the second quarter of 2024.</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The total future minimum lease payments for leases with terms in excess of one year at November 25, 2023 is $140,405 the present value of which is $116,529 and is included in our accompanying consolidated balance sheet at November 25, 2023. We were contingently liable under licensee lease obligation guarantees in the amount of $1,845 at November 25, 2023. The remaining terms under these lease guarantees range from approximately one to five years. See Note 15 to our consolidated financial statements for a schedule of future cash payments on our lease obligations and additional details regarding our leases and lease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940"/>
          </w:cols>
          <w:pgMar w:left="1160" w:top="925" w:right="1140" w:bottom="175" w:gutter="0" w:footer="0" w:header="0"/>
        </w:sectPr>
      </w:pPr>
    </w:p>
    <w:bookmarkStart w:id="17" w:name="page18"/>
    <w:bookmarkEnd w:id="17"/>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provide post-employment benefits to certain current and former executives and management level employees of the Company. Included among these benefits are two defined-benefit plans with a combined projected benefit obligation of $6,979 at November 25, 2023. See Note 10 to our consolidated financial statements for a projection of future benefit payments under these plans from 2024 through 2033. We also have deferred compensation plans with a total liability of $4,316 at November 25, 2023, the current portion of which is $329. See Note 10 to our consolidated financial statements for additional information regarding these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Dividends and Share Repurchases</w:t>
      </w:r>
    </w:p>
    <w:p>
      <w:pPr>
        <w:spacing w:after="0" w:line="2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fiscal 2023, we declared and paid four quarterly dividends totaling $5,982, or $0.68 per share. During fiscal 2023, we repurchased 252,054 shares of our stock for $4,176 under our share repurchase program. The weighted-average effect of these share repurchases on basic earnings per share from continuing operations was approximately $ 0.01 per share. On March 9, 2022, our Board of Directors increased the remaining limit of the repurchase plan to $40,000. The approximate dollar value that may yet be purchased pursuant to our stock repurchase program as of November 25, 2023 was $21,283.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Capital Expenditures</w:t>
      </w:r>
    </w:p>
    <w:p>
      <w:pPr>
        <w:spacing w:after="0" w:line="2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currently anticipate that total capital expenditures for fiscal 2024 will be between $12 million and $14 million, which will be used for the for remodeling various retail stores and additional investments in information technology, including enhancements to our new website. Our capital expenditure and working capital requirements in the foreseeable future may change depending on many factors, including but not limited to the overall performance of the store program, our rate of growth, our operating results and any adjustments in our operating plan needed in response to industry conditions, competition or unexpected events. We believe that our existing cash, together with cash from operations, will be sufficient to meet our capital expenditure and working capital requirements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We account for items measured at fair value in accordance with ASC Topic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ASC 820’s valuation techniques are based on observable and unobservable inputs. Observable inputs reflect readily obtainable data from independent sources, while unobservable inputs reflect our market assumptions. ASC 820 classifies these inputs into the following hierarchy: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Level 1 Inputs</w:t>
      </w:r>
      <w:r>
        <w:rPr>
          <w:rFonts w:ascii="Times New Roman" w:cs="Times New Roman" w:eastAsia="Times New Roman" w:hAnsi="Times New Roman"/>
          <w:sz w:val="20"/>
          <w:szCs w:val="20"/>
          <w:color w:val="auto"/>
        </w:rPr>
        <w:t>– Quoted prices for identical instruments in active markets.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Level 2 Inputs</w:t>
      </w:r>
      <w:r>
        <w:rPr>
          <w:rFonts w:ascii="Times New Roman" w:cs="Times New Roman" w:eastAsia="Times New Roman" w:hAnsi="Times New Roman"/>
          <w:sz w:val="20"/>
          <w:szCs w:val="20"/>
          <w:color w:val="auto"/>
        </w:rPr>
        <w:t>– Quoted prices for similar instruments in active markets; quoted prices for identical or similar instruments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that are not active; and model-derived valuations whose inputs are observable or whose significant value drivers are observable.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Level 3 Inputs</w:t>
      </w:r>
      <w:r>
        <w:rPr>
          <w:rFonts w:ascii="Times New Roman" w:cs="Times New Roman" w:eastAsia="Times New Roman" w:hAnsi="Times New Roman"/>
          <w:sz w:val="20"/>
          <w:szCs w:val="20"/>
          <w:color w:val="auto"/>
        </w:rPr>
        <w:t>– Instruments with primarily unobservable value drivers.</w:t>
      </w:r>
    </w:p>
    <w:p>
      <w:pPr>
        <w:spacing w:after="0" w:line="23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believe that the carrying amounts of our current assets and current liabilities approximate fair value due to the short-term nature of these items. Our primary non-recurring fair value estimates, typically involving the valuation of business acquisitions (see Note 3 to the Consolidated Financial Statements), goodwill impairments (see Note 8 to the Consolidated Financial Statements) and asset impairments (see Note 14 to the Consolidated Financial Statements) have utilized Level 3 inputs.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utilize stand-by letters of credit in the procurement of certain goods in the normal course of business. We lease land and buildings that are primarily used in the operation of our retail BHF stores and distribution facilities as well as certain manufacturing facilities in our upholstery operations. We have guaranteed certain lease obligations of licensee operators as part of our retail strategy. See Note 15 to the Consolidated Financial Statements, included in Item 8 of this Annual Report on Form 10-K, for further discussion of lease guarantees, including descriptions of the terms of such commitments and methods used to mitigate risks associated with these arrangements.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940"/>
          </w:cols>
          <w:pgMar w:left="1160" w:top="925" w:right="1140" w:bottom="175" w:gutter="0" w:footer="0" w:header="0"/>
        </w:sectPr>
      </w:pPr>
    </w:p>
    <w:bookmarkStart w:id="18" w:name="page19"/>
    <w:bookmarkEnd w:id="18"/>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Contingencies</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involved in various claims and litigation as well as environmental matters, which arise in the normal course of business. Although the final outcome of these legal and environmental matters cannot be determined, based on the facts presently known, it is our opinion that the final resolution of these matters will not have a material adverse effect on our financial position or future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conformity with accounting principles generally accepted in the United States of America (“GAAP”) which requires that certain estimates and assumptions be made that affect the amounts and disclosures reported in those financial statements and the related accompanying notes. Actual results could differ from these estimates and assumptions. We use our best judgment in valuing these estimates and may, as warranted, solicit external advice. Estimates are based on current facts and circumstances, prior experience and other assumptions believed to be reasonable. The following critical accounting policies, some of which are impacted significantly by judgments, assumptions and estimates, affect our consolidated financial statements.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Revenue Recognition </w:t>
      </w:r>
      <w:r>
        <w:rPr>
          <w:rFonts w:ascii="Times New Roman" w:cs="Times New Roman" w:eastAsia="Times New Roman" w:hAnsi="Times New Roman"/>
          <w:sz w:val="20"/>
          <w:szCs w:val="20"/>
          <w:color w:val="auto"/>
        </w:rPr>
        <w:t>- We recognize revenue when we transfer promised goods to our customers in an amount that reflects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consideration that we expect to receive in exchange for those goods. For our wholesale and retail segments, revenue is recognized when the risks and rewards of ownership and title to the product have transferred to the buyer.</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$22,788 and $35,963 as of November 25, 2023 and November 26, 2022, respectively. Substantially all of the customer deposits held at November 26, 2022 related to performance obligations satisfied during fiscal 2023 and have therefore been recognized in revenue for the year ended November 25, 2023. Estimates for returns and allowances have been recorded as a reduction of revenue based on our historical return patterns.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9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Allowance for credit losses </w:t>
      </w:r>
      <w:r>
        <w:rPr>
          <w:rFonts w:ascii="Times New Roman" w:cs="Times New Roman" w:eastAsia="Times New Roman" w:hAnsi="Times New Roman"/>
          <w:sz w:val="20"/>
          <w:szCs w:val="20"/>
          <w:color w:val="auto"/>
        </w:rPr>
        <w:t>- We maintain an allowance for credit losses for estimated losses resulting from the inability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our customers to make required payments. Our accounts receivable reserves were $535 and $1,261 at November 25, 2023 and November 26, 2022, respectively, representing 3.7% and 6.6% of our gross accounts receivable balances at those dates, respectively. The allowance for credit losses is based on a review of specifically identified customer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Although actual losses have not differed materially from our previous estimates, future losses could differ from our current estimates. Unforeseen events such as a licensee or customer bankruptcy filing could have a material impact on our results of operations.</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Inventories </w:t>
      </w:r>
      <w:r>
        <w:rPr>
          <w:rFonts w:ascii="Times New Roman" w:cs="Times New Roman" w:eastAsia="Times New Roman" w:hAnsi="Times New Roman"/>
          <w:sz w:val="20"/>
          <w:szCs w:val="20"/>
          <w:color w:val="auto"/>
        </w:rPr>
        <w:t>- Inventories accounted for under the first-in, first out (“FIFO”) method are stated at the lower of cost or net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realizable value, and inventory accounted for under the last-in, first out method (“LIFO”) is stated at the lower of cost or market. Cost is determined for domestic furniture inventories, excluding outdoor furniture products, using the LIFO method. The cost of imported inventories, domestic outdoor furniture products and Noa Home product inventories is determined on a FIFO basis. We estimate an inventory reserve for excess quantities and obsolete items based on specific identification and historical write-offs, taking into account future demand and market conditions. Our reserves for excess and obsolete inventory were $5,183 and $5,167 at November 25, 2023 and November 26, 2022, respectively, representing 7.6% and 5.8%, respectively, of our inventories on a LIFO basis. If actual demand or market conditions in the future are less favorable than those estimated, additional inventory write-downs may be required.</w:t>
      </w:r>
    </w:p>
    <w:p>
      <w:pPr>
        <w:spacing w:after="0" w:line="2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940"/>
          </w:cols>
          <w:pgMar w:left="1160" w:top="925" w:right="1140" w:bottom="175" w:gutter="0" w:footer="0" w:header="0"/>
        </w:sectPr>
      </w:pPr>
    </w:p>
    <w:bookmarkStart w:id="19" w:name="page20"/>
    <w:bookmarkEnd w:id="19"/>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 xml:space="preserve">Goodwill </w:t>
      </w:r>
      <w:r>
        <w:rPr>
          <w:rFonts w:ascii="Times New Roman" w:cs="Times New Roman" w:eastAsia="Times New Roman" w:hAnsi="Times New Roman"/>
          <w:sz w:val="20"/>
          <w:szCs w:val="20"/>
          <w:color w:val="auto"/>
        </w:rPr>
        <w:t>– Goodwill represents the excess of the fair value of consideration given over the fair value of the tangible assets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liabilities and identifiable intangible assets of businesses acquired. The acquisition of assets and liabilities and the resulting goodwill is allocated to the respective reporting unit: Wood, Upholstery, Retail – Company-Owned Stores, and Noa Home. We review goodwill at the reporting unit level annually for impairment or more frequently if events or circumstances indicate that assets might be impaired.</w:t>
      </w:r>
    </w:p>
    <w:p>
      <w:pPr>
        <w:spacing w:after="0" w:line="1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accordance with ASC Topic 350,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Goodwill &amp; Other,</w:t>
      </w:r>
      <w:r>
        <w:rPr>
          <w:rFonts w:ascii="Times New Roman" w:cs="Times New Roman" w:eastAsia="Times New Roman" w:hAnsi="Times New Roman"/>
          <w:sz w:val="20"/>
          <w:szCs w:val="20"/>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(as amended by Accounting Standards Update No. 2017-04,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Goodwill and Other (Topic 350): Simplifying the Test for Goodwill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Impairment</w:t>
      </w:r>
      <w:r>
        <w:rPr>
          <w:rFonts w:ascii="Times New Roman" w:cs="Times New Roman" w:eastAsia="Times New Roman" w:hAnsi="Times New Roman"/>
          <w:sz w:val="20"/>
          <w:szCs w:val="20"/>
          <w:color w:val="auto"/>
        </w:rPr>
        <w:t>). The more likely than not threshold is defined as having a likelihood of more than 50 percent. If, after assessing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2023, we performed the qualitative assessment as described above with respect to our upholstery reporting unit and concluded that there was no impairment of the goodwill allocated to that reporting unit as of November 25, 2023. For the annual test of the goodwill performed as of the beginning of the fourth quarter of fiscal 2023 with respect to our Noa Home reporting unit, we proceeded to the quantitative test and concluded that the goodwill allocated to that reporting unit as of November 25, 2023 was fully impaired as the difficult environment for companies selling furniture on the web resulted in Noa Home performing well below initial projections and expectations. For the annual test of goodwill performed as of the beginning of the fourth fiscal quarter of 2022, we performed the qualitative assessment as described above and concluded that there was no impairment of our goodwill as of November 26, 2022.</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20"/>
          <w:szCs w:val="20"/>
          <w:i w:val="1"/>
          <w:iCs w:val="1"/>
          <w:color w:val="auto"/>
        </w:rPr>
        <w:t>Fair Value Measurements and Disclosure</w:t>
      </w:r>
      <w:r>
        <w:rPr>
          <w:rFonts w:ascii="Times New Roman" w:cs="Times New Roman" w:eastAsia="Times New Roman" w:hAnsi="Times New Roman"/>
          <w:sz w:val="20"/>
          <w:szCs w:val="20"/>
          <w:color w:val="auto"/>
        </w:rPr>
        <w:t>,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Other Intangible Assets </w:t>
      </w:r>
      <w:r>
        <w:rPr>
          <w:rFonts w:ascii="Times New Roman" w:cs="Times New Roman" w:eastAsia="Times New Roman" w:hAnsi="Times New Roman"/>
          <w:sz w:val="20"/>
          <w:szCs w:val="20"/>
          <w:color w:val="auto"/>
        </w:rPr>
        <w:t>– Intangible assets acquired in a business combination and determined to have an indefinite useful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 At November 25, 2023, our indefinite-lived intangible assets other than goodwill consist of trade names acquired in the acquisitions of Lane Venture and Noa Home and have a carrying value of $8,675.</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 At November 25, 2023 our definite-lived intangible assets consist of customer relationships acquired in the acquisition of Lane Venture with a carrying value of $175.</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940"/>
          </w:cols>
          <w:pgMar w:left="1160" w:top="925" w:right="1140" w:bottom="175" w:gutter="0" w:footer="0" w:header="0"/>
        </w:sectPr>
      </w:pPr>
    </w:p>
    <w:bookmarkStart w:id="20" w:name="page21"/>
    <w:bookmarkEnd w:id="20"/>
    <w:p>
      <w:pPr>
        <w:ind w:right="1240"/>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Management’s Discussion and Analysis of Financial Condition and Results of Operations – Continued </w:t>
      </w:r>
      <w:r>
        <w:rPr>
          <w:rFonts w:ascii="Times New Roman" w:cs="Times New Roman" w:eastAsia="Times New Roman" w:hAnsi="Times New Roman"/>
          <w:sz w:val="20"/>
          <w:szCs w:val="20"/>
          <w:color w:val="auto"/>
        </w:rPr>
        <w:t>(Amounts in thousands except share and per share data)</w:t>
      </w:r>
    </w:p>
    <w:p>
      <w:pPr>
        <w:spacing w:after="0" w:line="2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i w:val="1"/>
          <w:iCs w:val="1"/>
          <w:color w:val="auto"/>
        </w:rPr>
        <w:t xml:space="preserve">Impairment of Long-Lived Assets </w:t>
      </w:r>
      <w:r>
        <w:rPr>
          <w:rFonts w:ascii="Times New Roman" w:cs="Times New Roman" w:eastAsia="Times New Roman" w:hAnsi="Times New Roman"/>
          <w:sz w:val="20"/>
          <w:szCs w:val="20"/>
          <w:color w:val="auto"/>
        </w:rPr>
        <w:t>- We periodically evaluate whether events or circumstances have occurred that indicate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of the asset. In the event the sum of the expected undiscounted future cash flows is less than the carrying value of the asset, an impairment loss equal to the excess of the asset’s carrying value over its fair value is recorded. 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Right of use assets under operating leases are written down to their estimated fair value. Our estimates of the fair value of the impaired right of use assets include estimates of discounted cash flows based upon current market rents and other inputs which we consider to be Level 3 inputs as specified in the fair value hierarchy in ASC Topic 820, Fair Value Measurement and Disclosure.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See Note 2 to our Consolidated Financial Statements regarding the impact or potential impact of recent accounting pronouncements upon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40"/>
          </w:cols>
          <w:pgMar w:left="1160" w:top="925" w:right="1140" w:bottom="175"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QUANTITATIVE AND QUALITATIVE DISCLOSURES ABOUT MARKET RISK</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are exposed to market risk from changes in the value of foreign currencies. Substantially all of our purchases outside of North America are denominated in U.S. dollars. Therefore, we believe that gains or losses resulting from changes in the value of foreign currencies relating to foreign purchases not denominated in U.S. dollars would not be material to our results from operations in fiscal 2023. We are also exposed to foreign currency market risk through our investment in Noa Home. Our investment in Noa Home is subject to changes in the value of the Canadian dollar versus the U.S. dollar. Additionally, Noa Home is exposed to other local currency fluctuation risk through its operations in Australia, Singapore, the United States and the United Kingdom. The impact of currency fluctuations on our financial position and results of operations since the acquisition of Noa Home on September 2, 2022 has not been significant.</w:t>
      </w:r>
    </w:p>
    <w:p>
      <w:pPr>
        <w:spacing w:after="0" w:line="19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exposed to market risk from changes in the cost of raw materials used in our manufacturing processes, principally wood, woven fabric, and foam products. The cost of foam products, which are petroleum-based, is sensitive to changes in the price of oil.</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are also exposed to commodity price risk related to diesel fuel prices for fuel used in our retail segment for home delivery as well as through amounts we are charged for logistical services by our service providers. We manage our exposure to that risk primarily through the application of fuel surcharges to our customers.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potential exposure to market risk related to conditions in the commercial real estate market. Our retail real estate holdings of $24,279 and $21,164 at November 25, 2023 and November 26, 2022, respectively, for Company -owned stores, consisting of eight locations with a total of 203,465 square feet of space, could suffer significant impairment in value if we are forced to close additional stores and sell or lease the related properties during periods of weakness in certain markets. Additionally, if we are required to assume responsibility for payment under the lease obligations of $1,845 and $1,880 which we have guaranteed on behalf of licensees as of November 25, 2023 and November 26, 2022, respectively, we may not be able to secure sufficient sub-lease income in the current market to offset the payments required under the guarantees. We are also exposed to risk related to conditions in the commercial real estate rental market with respect to the right-of-use assets we carry on our balance sheet for leased retail store locations and warehouse facilities. At November 25, 2023, the unamortized balance of such right-of-use assets totaled $100,565. Should we have to close or otherwise abandon one of these leased locations, we could incur additional impairment charges if rental market conditions do not support a fair value for the right of use asset in excess of its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940"/>
          </w:cols>
          <w:pgMar w:left="1160" w:top="984" w:right="1140" w:bottom="175" w:gutter="0" w:footer="0" w:header="0"/>
        </w:sectPr>
      </w:pPr>
    </w:p>
    <w:bookmarkStart w:id="22" w:name="page23"/>
    <w:bookmarkEnd w:id="22"/>
    <w:p>
      <w:pPr>
        <w:jc w:val="both"/>
        <w:ind w:right="20" w:firstLine="360"/>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As used herein, unless the context otherwise requires,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Bassett,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we,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us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and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our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refer to Bassett Furniture Industries, Incorporated and its subsidiaries. References to 2023, 2022 and 2021 mean the fiscal years ended November 25,2023, November 26, 2022 and November 27, 2021. All three years contained 52 weeks.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SAFE-HARBOR, FORWARD-LOOKING STATEMENTS</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report contains certain forward-looking statements within the meaning of the Private Securities Litigation Reform Act of 1995 with respect to the financial condition, results of operations and business of Bassett Furniture Industries, Incorporated and subsidiaries. Such forward-looking statements are identified by use of forward-looking words such as “anticipates”, “believes”, “plans”, “estimates”, “expects”, “aimed” and “intends” or words or phrases of similar expression. These forward-looking statements involve certain risks and uncertainties. No assurance can be given that any such matters will be realized. Important factors, which should be read in conjunction with Item 1A “Risk Factors”, that could cause actual results to differ materially from those contemplated by such forward-looking statements include:</w:t>
      </w:r>
    </w:p>
    <w:p>
      <w:pPr>
        <w:spacing w:after="0" w:line="189" w:lineRule="exact"/>
        <w:rPr>
          <w:sz w:val="20"/>
          <w:szCs w:val="20"/>
          <w:color w:val="auto"/>
        </w:rPr>
      </w:pPr>
    </w:p>
    <w:p>
      <w:pPr>
        <w:jc w:val="both"/>
        <w:ind w:left="1080" w:hanging="368"/>
        <w:spacing w:after="0" w:line="258"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cost and availability of raw materials, fuel, labor, delivery costs and sourced products, including those which may result from supply chain disruptions and shortages and the imposition of new or increased duties, tariffs, retaliatory tariffs and trade limitations with respect to foreign-sourced products</w:t>
      </w:r>
    </w:p>
    <w:p>
      <w:pPr>
        <w:spacing w:after="0" w:line="178"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conditions in the home furnishings industry</w:t>
      </w:r>
    </w:p>
    <w:p>
      <w:pPr>
        <w:spacing w:after="0" w:line="229"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retail traffic levels in stores and on the web and consumer demand for home furnishings</w:t>
      </w:r>
    </w:p>
    <w:p>
      <w:pPr>
        <w:spacing w:after="0" w:line="229"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of our customers and consumers to obtain affordable credit due to increased interest rates</w:t>
      </w:r>
    </w:p>
    <w:p>
      <w:pPr>
        <w:spacing w:after="0" w:line="230" w:lineRule="exact"/>
        <w:rPr>
          <w:rFonts w:ascii="Times New Roman" w:cs="Times New Roman" w:eastAsia="Times New Roman" w:hAnsi="Times New Roman"/>
          <w:sz w:val="20"/>
          <w:szCs w:val="20"/>
          <w:color w:val="auto"/>
        </w:rPr>
      </w:pPr>
    </w:p>
    <w:p>
      <w:pPr>
        <w:ind w:left="1080" w:right="20" w:hanging="368"/>
        <w:spacing w:after="0" w:line="277"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profitability of the stores (independent licensees and Company-owned retail stores) which may result in future store closings</w:t>
      </w:r>
    </w:p>
    <w:p>
      <w:pPr>
        <w:spacing w:after="0" w:line="159" w:lineRule="exact"/>
        <w:rPr>
          <w:rFonts w:ascii="Times New Roman" w:cs="Times New Roman" w:eastAsia="Times New Roman" w:hAnsi="Times New Roman"/>
          <w:sz w:val="20"/>
          <w:szCs w:val="20"/>
          <w:color w:val="auto"/>
        </w:rPr>
      </w:pPr>
    </w:p>
    <w:p>
      <w:pPr>
        <w:jc w:val="both"/>
        <w:ind w:left="1080" w:hanging="368"/>
        <w:spacing w:after="0" w:line="258"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implement our Company-owned retail strategies and realize the benefits from such strategies, including our initiatives to expand and improve our digital marketing and advertising capabilities, as they are implemented</w:t>
      </w:r>
    </w:p>
    <w:p>
      <w:pPr>
        <w:spacing w:after="0" w:line="177"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risk that we may not achieve the strategic benefits of our acquisition of Noa Home Inc. (“Noa Home”)</w:t>
      </w:r>
    </w:p>
    <w:p>
      <w:pPr>
        <w:spacing w:after="0" w:line="229" w:lineRule="exact"/>
        <w:rPr>
          <w:rFonts w:ascii="Times New Roman" w:cs="Times New Roman" w:eastAsia="Times New Roman" w:hAnsi="Times New Roman"/>
          <w:sz w:val="20"/>
          <w:szCs w:val="20"/>
          <w:color w:val="auto"/>
        </w:rPr>
      </w:pPr>
    </w:p>
    <w:p>
      <w:pPr>
        <w:jc w:val="both"/>
        <w:ind w:left="1080" w:hanging="368"/>
        <w:spacing w:after="0" w:line="259"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effectiveness and security of our information technology systems and possible disruptions due to cybersecurity threats, including any impacts from a network security incident; and the sufficiency of our insurance coverage, including cybersecurity insurance</w:t>
      </w:r>
    </w:p>
    <w:p>
      <w:pPr>
        <w:spacing w:after="0" w:line="175"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future tax legislation, or regulatory or judicial positions</w:t>
      </w:r>
    </w:p>
    <w:p>
      <w:pPr>
        <w:spacing w:after="0" w:line="229" w:lineRule="exact"/>
        <w:rPr>
          <w:rFonts w:ascii="Times New Roman" w:cs="Times New Roman" w:eastAsia="Times New Roman" w:hAnsi="Times New Roman"/>
          <w:sz w:val="20"/>
          <w:szCs w:val="20"/>
          <w:color w:val="auto"/>
        </w:rPr>
      </w:pPr>
    </w:p>
    <w:p>
      <w:pPr>
        <w:ind w:left="1080" w:hanging="368"/>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efficiently manage the import supply chain to minimize business interruption</w:t>
      </w:r>
    </w:p>
    <w:p>
      <w:pPr>
        <w:spacing w:after="0" w:line="230" w:lineRule="exact"/>
        <w:rPr>
          <w:rFonts w:ascii="Times New Roman" w:cs="Times New Roman" w:eastAsia="Times New Roman" w:hAnsi="Times New Roman"/>
          <w:sz w:val="20"/>
          <w:szCs w:val="20"/>
          <w:color w:val="auto"/>
        </w:rPr>
      </w:pPr>
    </w:p>
    <w:p>
      <w:pPr>
        <w:ind w:left="1080" w:hanging="368"/>
        <w:spacing w:after="0" w:line="277"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concentration of domestic manufacturing, particularly of upholstery products, and the resulting exposure to business interruption from accidents, weather and other events and circumstances beyond our control</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You should keep in mind that any forward-looking statement made by us in this report speaks only as of the date on which such forward-looking statement is made. New risks and uncertainties arise from time to time, and it is impossible for us to predict these events or how they may affect us. We have no duty to, and do not intend to, update or revise the forward-looking statements in this report after the date hereof, except as may be required by law. In light of these risks and uncertainties, you should keep in mind that the events described in any forward-looking statement made in this report, might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940"/>
          </w:cols>
          <w:pgMar w:left="1160" w:top="988" w:right="1140" w:bottom="175" w:gutter="0" w:footer="0" w:header="0"/>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Bassett Furniture Industries, Incorporated and Subsidiaries</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November 25, 2023 and November 26, 2022</w:t>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04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0" w:type="dxa"/>
            <w:vAlign w:val="bottom"/>
            <w:tcBorders>
              <w:top w:val="single" w:sz="8" w:color="auto"/>
            </w:tcBorders>
          </w:tcPr>
          <w:p>
            <w:pPr>
              <w:spacing w:after="0" w:line="211" w:lineRule="exact"/>
              <w:rPr>
                <w:sz w:val="20"/>
                <w:szCs w:val="20"/>
                <w:color w:val="auto"/>
              </w:rPr>
            </w:pPr>
            <w:r>
              <w:rPr>
                <w:rFonts w:ascii="Times New Roman" w:cs="Times New Roman" w:eastAsia="Times New Roman" w:hAnsi="Times New Roman"/>
                <w:sz w:val="20"/>
                <w:szCs w:val="20"/>
                <w:b w:val="1"/>
                <w:bCs w:val="1"/>
                <w:color w:val="auto"/>
                <w:w w:val="71"/>
              </w:rPr>
              <w:t>Current</w:t>
            </w:r>
          </w:p>
        </w:tc>
        <w:tc>
          <w:tcPr>
            <w:tcW w:w="6520" w:type="dxa"/>
            <w:vAlign w:val="bottom"/>
            <w:gridSpan w:val="2"/>
          </w:tcPr>
          <w:p>
            <w:pPr>
              <w:ind w:left="220"/>
              <w:spacing w:after="0" w:line="211" w:lineRule="exact"/>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52,407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61,625</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Short-term investments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17,775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17,715</w:t>
            </w: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Accounts receivable, net of allowance for credit losses of $535 and $1,261 as of</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November 25, 2023 and November 26, 2022, respectively</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13,736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17,838</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Inventories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62,982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85,477</w:t>
            </w: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Recoverable income taxes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2,353</w:t>
            </w:r>
          </w:p>
        </w:tc>
        <w:tc>
          <w:tcPr>
            <w:tcW w:w="0" w:type="dxa"/>
            <w:vAlign w:val="bottom"/>
          </w:tcPr>
          <w:p>
            <w:pPr>
              <w:spacing w:after="0"/>
              <w:rPr>
                <w:sz w:val="1"/>
                <w:szCs w:val="1"/>
                <w:color w:val="auto"/>
              </w:rPr>
            </w:pPr>
          </w:p>
        </w:tc>
      </w:tr>
      <w:tr>
        <w:trPr>
          <w:trHeight w:val="25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current assets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8,480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11,487</w:t>
            </w: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gridSpan w:val="3"/>
          </w:tcPr>
          <w:p>
            <w:pPr>
              <w:jc w:val="right"/>
              <w:ind w:right="40"/>
              <w:spacing w:after="0" w:line="225" w:lineRule="exact"/>
              <w:rPr>
                <w:sz w:val="20"/>
                <w:szCs w:val="20"/>
                <w:color w:val="auto"/>
              </w:rPr>
            </w:pPr>
            <w:r>
              <w:rPr>
                <w:rFonts w:ascii="Times New Roman" w:cs="Times New Roman" w:eastAsia="Times New Roman" w:hAnsi="Times New Roman"/>
                <w:sz w:val="20"/>
                <w:szCs w:val="20"/>
                <w:color w:val="auto"/>
              </w:rPr>
              <w:t>157,954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196,495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83,981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77,001</w:t>
            </w:r>
          </w:p>
        </w:tc>
        <w:tc>
          <w:tcPr>
            <w:tcW w:w="0" w:type="dxa"/>
            <w:vAlign w:val="bottom"/>
          </w:tcPr>
          <w:p>
            <w:pPr>
              <w:spacing w:after="0"/>
              <w:rPr>
                <w:sz w:val="1"/>
                <w:szCs w:val="1"/>
                <w:color w:val="auto"/>
              </w:rPr>
            </w:pPr>
          </w:p>
        </w:tc>
      </w:tr>
      <w:tr>
        <w:trPr>
          <w:trHeight w:val="423"/>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Other long-term assets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Deferred income taxes, net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Goodwill and other intangible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16,067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21,727</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Right of use assets under operating leases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100,888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99,472</w:t>
            </w:r>
          </w:p>
        </w:tc>
        <w:tc>
          <w:tcPr>
            <w:tcW w:w="0" w:type="dxa"/>
            <w:vAlign w:val="bottom"/>
          </w:tcPr>
          <w:p>
            <w:pPr>
              <w:spacing w:after="0"/>
              <w:rPr>
                <w:sz w:val="1"/>
                <w:szCs w:val="1"/>
                <w:color w:val="auto"/>
              </w:rPr>
            </w:pPr>
          </w:p>
        </w:tc>
      </w:tr>
      <w:tr>
        <w:trPr>
          <w:trHeight w:val="25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6,889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 other long-term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128,489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132,777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370,424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406,273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70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080" w:type="dxa"/>
            <w:vAlign w:val="bottom"/>
            <w:tcBorders>
              <w:top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Current liabilities</w:t>
            </w:r>
          </w:p>
        </w:tc>
        <w:tc>
          <w:tcPr>
            <w:tcW w:w="3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16,338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20,359</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Accrued compensation and benefits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8,934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12,921</w:t>
            </w: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Customer deposits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22,788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35,963</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Current portion of operating lease obligations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18,827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18,819</w:t>
            </w:r>
          </w:p>
        </w:tc>
        <w:tc>
          <w:tcPr>
            <w:tcW w:w="0" w:type="dxa"/>
            <w:vAlign w:val="bottom"/>
          </w:tcPr>
          <w:p>
            <w:pPr>
              <w:spacing w:after="0"/>
              <w:rPr>
                <w:sz w:val="1"/>
                <w:szCs w:val="1"/>
                <w:color w:val="auto"/>
              </w:rPr>
            </w:pPr>
          </w:p>
        </w:tc>
      </w:tr>
      <w:tr>
        <w:trPr>
          <w:trHeight w:val="25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accrued liabilities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11,003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12,765</w:t>
            </w: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77,890</w:t>
            </w:r>
          </w:p>
        </w:tc>
        <w:tc>
          <w:tcPr>
            <w:tcW w:w="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100,827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6"/>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Long-term liabilities</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Post employment benefit obligations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10,207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9,954</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Long-term portion of operating lease obligations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97,357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97,477</w:t>
            </w:r>
          </w:p>
        </w:tc>
        <w:tc>
          <w:tcPr>
            <w:tcW w:w="0" w:type="dxa"/>
            <w:vAlign w:val="bottom"/>
          </w:tcPr>
          <w:p>
            <w:pPr>
              <w:spacing w:after="0"/>
              <w:rPr>
                <w:sz w:val="1"/>
                <w:szCs w:val="1"/>
                <w:color w:val="auto"/>
              </w:rPr>
            </w:pPr>
          </w:p>
        </w:tc>
      </w:tr>
      <w:tr>
        <w:trPr>
          <w:trHeight w:val="25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color w:val="auto"/>
              </w:rPr>
              <w:t>1,529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2,406</w:t>
            </w: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 long-term liabilities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4"/>
          </w:tcPr>
          <w:p>
            <w:pPr>
              <w:jc w:val="right"/>
              <w:ind w:right="60"/>
              <w:spacing w:after="0" w:line="225" w:lineRule="exact"/>
              <w:rPr>
                <w:sz w:val="20"/>
                <w:szCs w:val="20"/>
                <w:color w:val="auto"/>
              </w:rPr>
            </w:pPr>
            <w:r>
              <w:rPr>
                <w:rFonts w:ascii="Times New Roman" w:cs="Times New Roman" w:eastAsia="Times New Roman" w:hAnsi="Times New Roman"/>
                <w:sz w:val="20"/>
                <w:szCs w:val="20"/>
                <w:color w:val="auto"/>
              </w:rPr>
              <w:t>109,093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109,837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Commitments and Contingencies</w:t>
            </w: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Common stock, $5 par value; 50,000,000 shares authorized; issued and outstanding</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40" w:type="dxa"/>
            <w:vAlign w:val="bottom"/>
            <w:gridSpan w:val="3"/>
          </w:tcPr>
          <w:p>
            <w:pPr>
              <w:ind w:left="360"/>
              <w:spacing w:after="0"/>
              <w:rPr>
                <w:sz w:val="20"/>
                <w:szCs w:val="20"/>
                <w:color w:val="auto"/>
              </w:rPr>
            </w:pPr>
            <w:r>
              <w:rPr>
                <w:rFonts w:ascii="Times New Roman" w:cs="Times New Roman" w:eastAsia="Times New Roman" w:hAnsi="Times New Roman"/>
                <w:sz w:val="20"/>
                <w:szCs w:val="20"/>
                <w:color w:val="auto"/>
              </w:rPr>
              <w:t>8,768,221 at November 25, 2023 and 8,951,839 at November 26, 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43,842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44,759</w:t>
            </w: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Retained earnings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139,354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150,800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Additional paid-in-capital</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704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25"/>
        </w:trPr>
        <w:tc>
          <w:tcPr>
            <w:tcW w:w="7040" w:type="dxa"/>
            <w:vAlign w:val="bottom"/>
            <w:gridSpan w:val="3"/>
          </w:tcPr>
          <w:p>
            <w:pPr>
              <w:spacing w:after="0" w:line="225" w:lineRule="exact"/>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183,441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195,609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gridSpan w:val="3"/>
          </w:tcPr>
          <w:p>
            <w:pPr>
              <w:spacing w:after="0" w:line="226" w:lineRule="exact"/>
              <w:rPr>
                <w:sz w:val="20"/>
                <w:szCs w:val="20"/>
                <w:color w:val="auto"/>
              </w:rPr>
            </w:pPr>
            <w:r>
              <w:rPr>
                <w:rFonts w:ascii="Times New Roman" w:cs="Times New Roman" w:eastAsia="Times New Roman" w:hAnsi="Times New Roman"/>
                <w:sz w:val="20"/>
                <w:szCs w:val="20"/>
                <w:b w:val="1"/>
                <w:bCs w:val="1"/>
                <w:color w:val="auto"/>
              </w:rPr>
              <w:t>Total liabilities and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370,424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406,273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840"/>
          </w:cols>
          <w:pgMar w:left="1160" w:top="984" w:right="1240" w:bottom="175"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Bassett Furniture Industries, Incorporated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years ended November 25, 2023, November 26, 2022, and November 27, 2021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5"/>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sales of furniture and accessories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390,136</w:t>
            </w:r>
          </w:p>
        </w:tc>
        <w:tc>
          <w:tcPr>
            <w:tcW w:w="18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485,601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430,886</w:t>
            </w: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Cost of furniture and accessories sold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183,648</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237,262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209,799</w:t>
            </w:r>
          </w:p>
        </w:tc>
        <w:tc>
          <w:tcPr>
            <w:tcW w:w="0" w:type="dxa"/>
            <w:vAlign w:val="bottom"/>
          </w:tcPr>
          <w:p>
            <w:pPr>
              <w:spacing w:after="0"/>
              <w:rPr>
                <w:sz w:val="1"/>
                <w:szCs w:val="1"/>
                <w:color w:val="auto"/>
              </w:rPr>
            </w:pPr>
          </w:p>
        </w:tc>
      </w:tr>
      <w:tr>
        <w:trPr>
          <w:trHeight w:val="261"/>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Gross profit</w:t>
            </w:r>
          </w:p>
        </w:tc>
        <w:tc>
          <w:tcPr>
            <w:tcW w:w="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206,488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248,339</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221,087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Selling, general and administrative expenses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205,227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218,069</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196,830</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Goodwill impairment charge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revaluation of contingent consideration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7"/>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4,595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6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(3,135)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34,865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24,257</w:t>
            </w:r>
          </w:p>
        </w:tc>
        <w:tc>
          <w:tcPr>
            <w:tcW w:w="0" w:type="dxa"/>
            <w:vAlign w:val="bottom"/>
          </w:tcPr>
          <w:p>
            <w:pPr>
              <w:spacing w:after="0"/>
              <w:rPr>
                <w:sz w:val="1"/>
                <w:szCs w:val="1"/>
                <w:color w:val="auto"/>
              </w:rPr>
            </w:pPr>
          </w:p>
        </w:tc>
      </w:tr>
      <w:tr>
        <w:trPr>
          <w:trHeight w:val="42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48</w:t>
            </w: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w:t>
            </w:r>
          </w:p>
        </w:tc>
        <w:tc>
          <w:tcPr>
            <w:tcW w:w="0" w:type="dxa"/>
            <w:vAlign w:val="bottom"/>
          </w:tcPr>
          <w:p>
            <w:pPr>
              <w:spacing w:after="0"/>
              <w:rPr>
                <w:sz w:val="1"/>
                <w:szCs w:val="1"/>
                <w:color w:val="auto"/>
              </w:rPr>
            </w:pPr>
          </w:p>
        </w:tc>
      </w:tr>
      <w:tr>
        <w:trPr>
          <w:trHeight w:val="250"/>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loss, net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(1,859)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(1,067)</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(loss) from continuing operations before income taxes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(2,488)</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34,062</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22,757</w:t>
            </w:r>
          </w:p>
        </w:tc>
        <w:tc>
          <w:tcPr>
            <w:tcW w:w="0" w:type="dxa"/>
            <w:vAlign w:val="bottom"/>
          </w:tcPr>
          <w:p>
            <w:pPr>
              <w:spacing w:after="0"/>
              <w:rPr>
                <w:sz w:val="1"/>
                <w:szCs w:val="1"/>
                <w:color w:val="auto"/>
              </w:rPr>
            </w:pPr>
          </w:p>
        </w:tc>
      </w:tr>
      <w:tr>
        <w:trPr>
          <w:trHeight w:val="444"/>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5,836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(3,171)</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25,360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16,921</w:t>
            </w:r>
          </w:p>
        </w:tc>
        <w:tc>
          <w:tcPr>
            <w:tcW w:w="0" w:type="dxa"/>
            <w:vAlign w:val="bottom"/>
          </w:tcPr>
          <w:p>
            <w:pPr>
              <w:spacing w:after="0"/>
              <w:rPr>
                <w:sz w:val="1"/>
                <w:szCs w:val="1"/>
                <w:color w:val="auto"/>
              </w:rPr>
            </w:pPr>
          </w:p>
        </w:tc>
      </w:tr>
      <w:tr>
        <w:trPr>
          <w:trHeight w:val="423"/>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Discontinued operations: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from operations of logistical services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1,712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1,483</w:t>
            </w:r>
          </w:p>
        </w:tc>
        <w:tc>
          <w:tcPr>
            <w:tcW w:w="0" w:type="dxa"/>
            <w:vAlign w:val="bottom"/>
          </w:tcPr>
          <w:p>
            <w:pPr>
              <w:spacing w:after="0"/>
              <w:rPr>
                <w:sz w:val="1"/>
                <w:szCs w:val="1"/>
                <w:color w:val="auto"/>
              </w:rPr>
            </w:pPr>
          </w:p>
        </w:tc>
      </w:tr>
      <w:tr>
        <w:trPr>
          <w:trHeight w:val="23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Gain on disposal</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52,534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tax expense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from discontinued operations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39,985</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1,121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5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(3,171)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65,345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18,042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Basic earnings (loss) per share:</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5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from discontinued operations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25"/>
        </w:trPr>
        <w:tc>
          <w:tcPr>
            <w:tcW w:w="5480" w:type="dxa"/>
            <w:vAlign w:val="bottom"/>
            <w:gridSpan w:val="2"/>
          </w:tcPr>
          <w:p>
            <w:pPr>
              <w:ind w:left="360"/>
              <w:spacing w:after="0" w:line="225" w:lineRule="exact"/>
              <w:rPr>
                <w:sz w:val="20"/>
                <w:szCs w:val="20"/>
                <w:color w:val="auto"/>
              </w:rPr>
            </w:pPr>
            <w:r>
              <w:rPr>
                <w:rFonts w:ascii="Times New Roman" w:cs="Times New Roman" w:eastAsia="Times New Roman" w:hAnsi="Times New Roman"/>
                <w:sz w:val="20"/>
                <w:szCs w:val="20"/>
                <w:color w:val="auto"/>
              </w:rPr>
              <w:t>Basic earnings (loss) per share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Diluted earnings (loss)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(loss) from continuing operations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50"/>
        </w:trPr>
        <w:tc>
          <w:tcPr>
            <w:tcW w:w="54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Income from discontinued operations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25"/>
        </w:trPr>
        <w:tc>
          <w:tcPr>
            <w:tcW w:w="5480" w:type="dxa"/>
            <w:vAlign w:val="bottom"/>
            <w:gridSpan w:val="2"/>
          </w:tcPr>
          <w:p>
            <w:pPr>
              <w:ind w:left="360"/>
              <w:spacing w:after="0" w:line="225" w:lineRule="exact"/>
              <w:rPr>
                <w:sz w:val="20"/>
                <w:szCs w:val="20"/>
                <w:color w:val="auto"/>
              </w:rPr>
            </w:pPr>
            <w:r>
              <w:rPr>
                <w:rFonts w:ascii="Times New Roman" w:cs="Times New Roman" w:eastAsia="Times New Roman" w:hAnsi="Times New Roman"/>
                <w:sz w:val="20"/>
                <w:szCs w:val="20"/>
                <w:color w:val="auto"/>
              </w:rPr>
              <w:t>Diluted earnings (loss) per share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(0.36)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Dividends per share</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8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Regular dividends</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0.68</w:t>
            </w:r>
          </w:p>
        </w:tc>
        <w:tc>
          <w:tcPr>
            <w:tcW w:w="18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0.60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0.53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20"/>
                <w:szCs w:val="20"/>
                <w:color w:val="auto"/>
              </w:rPr>
              <w:t>Special dividend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8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Pr>
          <w:p>
            <w:pPr>
              <w:jc w:val="right"/>
              <w:ind w:right="80"/>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1.50</w:t>
            </w:r>
          </w:p>
        </w:tc>
        <w:tc>
          <w:tcPr>
            <w:tcW w:w="18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80" w:type="dxa"/>
            <w:vAlign w:val="bottom"/>
          </w:tcPr>
          <w:p>
            <w:pPr>
              <w:jc w:val="right"/>
              <w:ind w:right="80"/>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0.25</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900"/>
          </w:cols>
          <w:pgMar w:left="1160" w:top="984" w:right="1180" w:bottom="175" w:gutter="0" w:footer="0" w:header="0"/>
        </w:sectPr>
      </w:pPr>
    </w:p>
    <w:bookmarkStart w:id="25" w:name="page26"/>
    <w:bookmarkEnd w:id="25"/>
    <w:p>
      <w:pPr>
        <w:jc w:val="center"/>
        <w:ind w:left="1180" w:right="1320"/>
        <w:spacing w:after="0" w:line="257" w:lineRule="auto"/>
        <w:rPr>
          <w:sz w:val="20"/>
          <w:szCs w:val="20"/>
          <w:color w:val="auto"/>
        </w:rPr>
      </w:pPr>
      <w:r>
        <w:rPr>
          <w:rFonts w:ascii="Times New Roman" w:cs="Times New Roman" w:eastAsia="Times New Roman" w:hAnsi="Times New Roman"/>
          <w:sz w:val="20"/>
          <w:szCs w:val="20"/>
          <w:b w:val="1"/>
          <w:bCs w:val="1"/>
          <w:color w:val="auto"/>
        </w:rPr>
        <w:t>Consolidated Statements of Comprehensive Income (Loss) Bassett Furniture Industries, Incorporated and Subsidiaries For the years ended November 25, 2023, November 26, 2022, and November 27, 2021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r>
      <w:tr>
        <w:trPr>
          <w:trHeight w:val="435"/>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(3,171)</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65,345</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18,042</w:t>
            </w: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(378)</w:t>
            </w:r>
          </w:p>
        </w:tc>
        <w:tc>
          <w:tcPr>
            <w:tcW w:w="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(274 )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Income taxes related to foreign currency translation adjustments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Actuarial adjustment to Long Term Cash Awards (LTCA)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Amortization associated with LTCA</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132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144</w:t>
            </w: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Income taxes related to LTCA</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(59)</w:t>
            </w: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(107 )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Actuarial adjustment to supplemental executive retirement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defined benefit plan (SERP)</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2,200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(788)</w:t>
            </w: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Amortization associated with SERP</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44</w:t>
            </w:r>
          </w:p>
        </w:tc>
      </w:tr>
      <w:tr>
        <w:trPr>
          <w:trHeight w:val="25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Income taxes related to SERP</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(575 )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190</w:t>
            </w: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5"/>
        </w:trPr>
        <w:tc>
          <w:tcPr>
            <w:tcW w:w="5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comprehensive income (loss), net of tax</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1,873</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(428)</w:t>
            </w: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Total comprehensive income (loss)</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(3,069)</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67,218</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17,614</w:t>
            </w: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900"/>
          </w:cols>
          <w:pgMar w:left="1160" w:top="984" w:right="1180" w:bottom="175"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Bassett Furniture Industries, Incorporated and Subsidiaries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 the years ended November 25, 2023, November 26, 2022, and November 27, 2021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activities: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(3,171)</w:t>
            </w:r>
          </w:p>
        </w:tc>
        <w:tc>
          <w:tcPr>
            <w:tcW w:w="2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65,345</w:t>
            </w:r>
          </w:p>
        </w:tc>
        <w:tc>
          <w:tcPr>
            <w:tcW w:w="2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18,042</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income (loss) to net cash provided by</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(used in) operating activities: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10,141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11,309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14,597</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Gain on disposal of discontinued operations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(52,534 )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Non-cash goodwill impairment charge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Gain on revaluation of contingent consideration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(1,013)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 loss (gain) on disposals of property and equipment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(4,595 )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Inventory valuation charges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4,626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3,648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2,969</w:t>
            </w:r>
          </w:p>
        </w:tc>
        <w:tc>
          <w:tcPr>
            <w:tcW w:w="0" w:type="dxa"/>
            <w:vAlign w:val="bottom"/>
          </w:tcPr>
          <w:p>
            <w:pPr>
              <w:spacing w:after="0"/>
              <w:rPr>
                <w:sz w:val="1"/>
                <w:szCs w:val="1"/>
                <w:color w:val="auto"/>
              </w:rPr>
            </w:pPr>
          </w:p>
        </w:tc>
      </w:tr>
      <w:tr>
        <w:trPr>
          <w:trHeight w:val="229"/>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Deferred income taxes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(2,339 )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1,545</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Other, net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(302 )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728</w:t>
            </w: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receivable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(5,828)</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Inventories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17,869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(9,536 )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(26,087)</w:t>
            </w:r>
          </w:p>
        </w:tc>
        <w:tc>
          <w:tcPr>
            <w:tcW w:w="0" w:type="dxa"/>
            <w:vAlign w:val="bottom"/>
          </w:tcPr>
          <w:p>
            <w:pPr>
              <w:spacing w:after="0"/>
              <w:rPr>
                <w:sz w:val="1"/>
                <w:szCs w:val="1"/>
                <w:color w:val="auto"/>
              </w:rPr>
            </w:pPr>
          </w:p>
        </w:tc>
      </w:tr>
      <w:tr>
        <w:trPr>
          <w:trHeight w:val="229"/>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Other current and long-term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1,773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5,944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(2,241)</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Right of use assets under operating leases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18,680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20,531</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26,243</w:t>
            </w: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Customer deposits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(13,175)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(16,588 )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11,730</w:t>
            </w:r>
          </w:p>
        </w:tc>
        <w:tc>
          <w:tcPr>
            <w:tcW w:w="0" w:type="dxa"/>
            <w:vAlign w:val="bottom"/>
          </w:tcPr>
          <w:p>
            <w:pPr>
              <w:spacing w:after="0"/>
              <w:rPr>
                <w:sz w:val="1"/>
                <w:szCs w:val="1"/>
                <w:color w:val="auto"/>
              </w:rPr>
            </w:pPr>
          </w:p>
        </w:tc>
      </w:tr>
      <w:tr>
        <w:trPr>
          <w:trHeight w:val="229"/>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Accounts payable and accrued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(9,188)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(4,073 )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2,153</w:t>
            </w:r>
          </w:p>
        </w:tc>
        <w:tc>
          <w:tcPr>
            <w:tcW w:w="0" w:type="dxa"/>
            <w:vAlign w:val="bottom"/>
          </w:tcPr>
          <w:p>
            <w:pPr>
              <w:spacing w:after="0"/>
              <w:rPr>
                <w:sz w:val="1"/>
                <w:szCs w:val="1"/>
                <w:color w:val="auto"/>
              </w:rPr>
            </w:pPr>
          </w:p>
        </w:tc>
      </w:tr>
      <w:tr>
        <w:trPr>
          <w:trHeight w:val="25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Obligations under operating leases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(20,196)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(22,949 )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(28,921)</w:t>
            </w:r>
          </w:p>
        </w:tc>
        <w:tc>
          <w:tcPr>
            <w:tcW w:w="0" w:type="dxa"/>
            <w:vAlign w:val="bottom"/>
          </w:tcPr>
          <w:p>
            <w:pPr>
              <w:spacing w:after="0"/>
              <w:rPr>
                <w:sz w:val="1"/>
                <w:szCs w:val="1"/>
                <w:color w:val="auto"/>
              </w:rPr>
            </w:pPr>
          </w:p>
        </w:tc>
      </w:tr>
      <w:tr>
        <w:trPr>
          <w:trHeight w:val="226"/>
        </w:trPr>
        <w:tc>
          <w:tcPr>
            <w:tcW w:w="5540" w:type="dxa"/>
            <w:vAlign w:val="bottom"/>
          </w:tcPr>
          <w:p>
            <w:pPr>
              <w:ind w:left="540"/>
              <w:spacing w:after="0" w:line="226" w:lineRule="exact"/>
              <w:rPr>
                <w:sz w:val="20"/>
                <w:szCs w:val="20"/>
                <w:color w:val="auto"/>
              </w:rPr>
            </w:pPr>
            <w:r>
              <w:rPr>
                <w:rFonts w:ascii="Times New Roman" w:cs="Times New Roman" w:eastAsia="Times New Roman" w:hAnsi="Times New Roman"/>
                <w:sz w:val="20"/>
                <w:szCs w:val="20"/>
                <w:b w:val="1"/>
                <w:bCs w:val="1"/>
                <w:color w:val="auto"/>
              </w:rPr>
              <w:t>Net cash provided by (used in) operating activities</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18,724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(2,970</w:t>
            </w:r>
          </w:p>
        </w:tc>
        <w:tc>
          <w:tcPr>
            <w:tcW w:w="180" w:type="dxa"/>
            <w:vAlign w:val="bottom"/>
          </w:tcPr>
          <w:p>
            <w:pPr>
              <w:jc w:val="right"/>
              <w:ind w:right="10"/>
              <w:spacing w:after="0" w:line="226"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14,563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Purchases of property and equipment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(17,489)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(21,296 )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(10,750)</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sales of property and equipment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8,226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382</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business acquisitions, net of cash acquired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(5,582 )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the disposition of discontinued operations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84,534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(1,774)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(40 )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(1,203)</w:t>
            </w:r>
          </w:p>
        </w:tc>
        <w:tc>
          <w:tcPr>
            <w:tcW w:w="0" w:type="dxa"/>
            <w:vAlign w:val="bottom"/>
          </w:tcPr>
          <w:p>
            <w:pPr>
              <w:spacing w:after="0"/>
              <w:rPr>
                <w:sz w:val="1"/>
                <w:szCs w:val="1"/>
                <w:color w:val="auto"/>
              </w:rPr>
            </w:pPr>
          </w:p>
        </w:tc>
      </w:tr>
      <w:tr>
        <w:trPr>
          <w:trHeight w:val="225"/>
        </w:trPr>
        <w:tc>
          <w:tcPr>
            <w:tcW w:w="5540" w:type="dxa"/>
            <w:vAlign w:val="bottom"/>
          </w:tcPr>
          <w:p>
            <w:pPr>
              <w:ind w:left="540"/>
              <w:spacing w:after="0" w:line="225" w:lineRule="exact"/>
              <w:rPr>
                <w:sz w:val="20"/>
                <w:szCs w:val="20"/>
                <w:color w:val="auto"/>
              </w:rPr>
            </w:pPr>
            <w:r>
              <w:rPr>
                <w:rFonts w:ascii="Times New Roman" w:cs="Times New Roman" w:eastAsia="Times New Roman" w:hAnsi="Times New Roman"/>
                <w:sz w:val="20"/>
                <w:szCs w:val="20"/>
                <w:b w:val="1"/>
                <w:bCs w:val="1"/>
                <w:color w:val="auto"/>
              </w:rPr>
              <w:t>Net cash provided by (used in) investing activities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(17,763)</w:t>
            </w:r>
          </w:p>
        </w:tc>
        <w:tc>
          <w:tcPr>
            <w:tcW w:w="1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65,842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Cash dividends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(5,982)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(20,162 )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(7,689)</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exercise of stock options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Issuance of common stock</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363</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Repurchases of common stock</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(4,176)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(15,122 )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(5,566)</w:t>
            </w:r>
          </w:p>
        </w:tc>
        <w:tc>
          <w:tcPr>
            <w:tcW w:w="0" w:type="dxa"/>
            <w:vAlign w:val="bottom"/>
          </w:tcPr>
          <w:p>
            <w:pPr>
              <w:spacing w:after="0"/>
              <w:rPr>
                <w:sz w:val="1"/>
                <w:szCs w:val="1"/>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Taxes paid related to net share settlement of equity awards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(19 )</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20"/>
                <w:szCs w:val="20"/>
                <w:color w:val="auto"/>
              </w:rPr>
              <w:t>Repayment of finance lease obligations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(684 )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(1,348)</w:t>
            </w:r>
          </w:p>
        </w:tc>
        <w:tc>
          <w:tcPr>
            <w:tcW w:w="0" w:type="dxa"/>
            <w:vAlign w:val="bottom"/>
          </w:tcPr>
          <w:p>
            <w:pPr>
              <w:spacing w:after="0"/>
              <w:rPr>
                <w:sz w:val="1"/>
                <w:szCs w:val="1"/>
                <w:color w:val="auto"/>
              </w:rPr>
            </w:pPr>
          </w:p>
        </w:tc>
      </w:tr>
      <w:tr>
        <w:trPr>
          <w:trHeight w:val="201"/>
        </w:trPr>
        <w:tc>
          <w:tcPr>
            <w:tcW w:w="5540" w:type="dxa"/>
            <w:vAlign w:val="bottom"/>
          </w:tcPr>
          <w:p>
            <w:pPr>
              <w:ind w:left="540"/>
              <w:spacing w:after="0" w:line="202" w:lineRule="exact"/>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(10,227)</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(35,563</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(14,417)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Effect of exchange rate changes on cash and cash equivalents</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20"/>
                <w:szCs w:val="20"/>
                <w:color w:val="auto"/>
              </w:rPr>
              <w:t>(58 )</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1"/>
        </w:trPr>
        <w:tc>
          <w:tcPr>
            <w:tcW w:w="5540" w:type="dxa"/>
            <w:vAlign w:val="bottom"/>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Change in cash and cash equivalents</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(9,218)</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27,251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20"/>
                <w:szCs w:val="20"/>
                <w:color w:val="auto"/>
              </w:rPr>
              <w:t>(11,425)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5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 beginning of year</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20"/>
                <w:szCs w:val="20"/>
                <w:color w:val="auto"/>
              </w:rPr>
              <w:t>61,625</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90"/>
              <w:spacing w:after="0"/>
              <w:rPr>
                <w:sz w:val="20"/>
                <w:szCs w:val="20"/>
                <w:color w:val="auto"/>
              </w:rPr>
            </w:pPr>
            <w:r>
              <w:rPr>
                <w:rFonts w:ascii="Times New Roman" w:cs="Times New Roman" w:eastAsia="Times New Roman" w:hAnsi="Times New Roman"/>
                <w:sz w:val="20"/>
                <w:szCs w:val="20"/>
                <w:color w:val="auto"/>
              </w:rPr>
              <w:t>34,374</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45,799</w:t>
            </w:r>
          </w:p>
        </w:tc>
        <w:tc>
          <w:tcPr>
            <w:tcW w:w="0" w:type="dxa"/>
            <w:vAlign w:val="bottom"/>
          </w:tcPr>
          <w:p>
            <w:pPr>
              <w:spacing w:after="0"/>
              <w:rPr>
                <w:sz w:val="1"/>
                <w:szCs w:val="1"/>
                <w:color w:val="auto"/>
              </w:rPr>
            </w:pPr>
          </w:p>
        </w:tc>
      </w:tr>
      <w:tr>
        <w:trPr>
          <w:trHeight w:val="205"/>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and cash equivalents - end of year</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540" w:type="dxa"/>
            <w:vAlign w:val="bottom"/>
            <w:vMerge w:val="continue"/>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52,407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61,625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34,374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900"/>
          </w:cols>
          <w:pgMar w:left="1160" w:top="984" w:right="1180" w:bottom="175" w:gutter="0" w:footer="0" w:header="0"/>
        </w:sectPr>
      </w:pPr>
    </w:p>
    <w:bookmarkStart w:id="27" w:name="page28"/>
    <w:bookmarkEnd w:id="27"/>
    <w:p>
      <w:pPr>
        <w:jc w:val="center"/>
        <w:spacing w:after="0" w:line="257" w:lineRule="auto"/>
        <w:rPr>
          <w:sz w:val="20"/>
          <w:szCs w:val="20"/>
          <w:color w:val="auto"/>
        </w:rPr>
      </w:pPr>
      <w:r>
        <w:rPr>
          <w:rFonts w:ascii="Times New Roman" w:cs="Times New Roman" w:eastAsia="Times New Roman" w:hAnsi="Times New Roman"/>
          <w:sz w:val="20"/>
          <w:szCs w:val="20"/>
          <w:b w:val="1"/>
          <w:bCs w:val="1"/>
          <w:color w:val="auto"/>
        </w:rPr>
        <w:t>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Equity Bassett Furniture Industries, Incorporated and Subsidiaries For the years ended November 25, 2023, November 26, 2022, and November 27, 2021 (In thousands, except share and per share data)</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9"/>
                <w:szCs w:val="19"/>
                <w:color w:val="auto"/>
              </w:rPr>
            </w:pPr>
          </w:p>
        </w:tc>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income (loss)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November 28, 2020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9,942,787</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w:t>
            </w:r>
          </w:p>
        </w:tc>
        <w:tc>
          <w:tcPr>
            <w:tcW w:w="100" w:type="dxa"/>
            <w:vAlign w:val="bottom"/>
          </w:tcPr>
          <w:p>
            <w:pPr>
              <w:spacing w:after="0"/>
              <w:rPr>
                <w:sz w:val="24"/>
                <w:szCs w:val="2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$ 109,710</w:t>
            </w:r>
          </w:p>
        </w:tc>
        <w:tc>
          <w:tcPr>
            <w:tcW w:w="100" w:type="dxa"/>
            <w:vAlign w:val="bottom"/>
          </w:tcPr>
          <w:p>
            <w:pPr>
              <w:spacing w:after="0"/>
              <w:rPr>
                <w:sz w:val="24"/>
                <w:szCs w:val="24"/>
                <w:color w:val="auto"/>
              </w:rPr>
            </w:pPr>
          </w:p>
        </w:tc>
        <w:tc>
          <w:tcPr>
            <w:tcW w:w="24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(1,394) $158,030</w:t>
            </w:r>
          </w:p>
        </w:tc>
        <w:tc>
          <w:tcPr>
            <w:tcW w:w="0" w:type="dxa"/>
            <w:vAlign w:val="bottom"/>
          </w:tcPr>
          <w:p>
            <w:pPr>
              <w:spacing w:after="0"/>
              <w:rPr>
                <w:sz w:val="1"/>
                <w:szCs w:val="1"/>
                <w:color w:val="auto"/>
              </w:rPr>
            </w:pPr>
          </w:p>
        </w:tc>
      </w:tr>
      <w:tr>
        <w:trPr>
          <w:trHeight w:val="37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defined benefit plan costs,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adjustments to defined benefit plans, net of tax</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dividends ($0.53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(5,210)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dividend ($0.25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(215,564)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November 27, 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420" w:type="dxa"/>
            <w:vAlign w:val="bottom"/>
            <w:gridSpan w:val="2"/>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9,762,125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162,732</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defined benefit plan costs,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adjustments to defined benefit plans, net of tax</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Cumulative effect of a change in accounting principle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dividends ($0.60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dividend ($1.50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(14,494)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(869,310)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(10,014)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(15,141)</w:t>
            </w: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November 26, 2022</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420" w:type="dxa"/>
            <w:vAlign w:val="bottom"/>
            <w:gridSpan w:val="2"/>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8,951,839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6"/>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defined benefit plan costs,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Actuarial adjustments to defined benefit plans, net of tax</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Regular dividends ($0.68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0" w:type="dxa"/>
            <w:vAlign w:val="bottom"/>
          </w:tcPr>
          <w:p>
            <w:pPr>
              <w:spacing w:after="0"/>
              <w:rPr>
                <w:sz w:val="1"/>
                <w:szCs w:val="1"/>
                <w:color w:val="auto"/>
              </w:rPr>
            </w:pPr>
          </w:p>
        </w:tc>
      </w:tr>
      <w:tr>
        <w:trPr>
          <w:trHeight w:val="20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and retirement of common stock</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(258,039)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(701 )</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(2,293)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0" w:type="dxa"/>
            <w:vAlign w:val="bottom"/>
          </w:tcPr>
          <w:p>
            <w:pPr>
              <w:spacing w:after="0"/>
              <w:rPr>
                <w:sz w:val="1"/>
                <w:szCs w:val="1"/>
                <w:color w:val="auto"/>
              </w:rPr>
            </w:pPr>
          </w:p>
        </w:tc>
      </w:tr>
      <w:tr>
        <w:trPr>
          <w:trHeight w:val="240"/>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November 25, 2023</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vMerge w:val="continue"/>
          </w:tcPr>
          <w:p>
            <w:pPr>
              <w:spacing w:after="0"/>
              <w:rPr>
                <w:sz w:val="17"/>
                <w:szCs w:val="17"/>
                <w:color w:val="auto"/>
              </w:rPr>
            </w:pPr>
          </w:p>
        </w:tc>
        <w:tc>
          <w:tcPr>
            <w:tcW w:w="7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8,768,221</w:t>
            </w: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43,842</w:t>
            </w: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7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$ 139,354</w:t>
            </w: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6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183,441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20"/>
          </w:cols>
          <w:pgMar w:left="1160" w:top="984" w:right="1160" w:bottom="175" w:gutter="0" w:footer="0" w:header="0"/>
        </w:sectPr>
      </w:pPr>
    </w:p>
    <w:bookmarkStart w:id="28" w:name="page29"/>
    <w:bookmarkEnd w:id="28"/>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ind w:left="348" w:hanging="348"/>
        <w:spacing w:after="0"/>
        <w:tabs>
          <w:tab w:leader="none" w:pos="348"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w:t>
      </w:r>
    </w:p>
    <w:p>
      <w:pPr>
        <w:spacing w:after="0" w:line="235"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Bassett Furniture Industries, Incorporated (together with its consolidated subsidiaries, “Bassett”, “we”, “our”, the “Company”) based in Bassett, Virginia, is a leading manufacturer, marketer and retailer of branded home furnishings. Bassett’s full range of furniture products and accessories, designed to provide quality, style and value, are sold through an exclusive nation-wide network of 87 retail stores known as Bassett Home Furnishings (referred to as “BHF”). Of the 87 stores, the Company owns and operates 56 stores (“Company-owned retail stores”) with the other 31 being independently owned (“licensee operated”). We also distribute our products through other multi-line furniture stores, many of which feature Bassett galleries or design centers. Products can also be purchased by the end consumer directly from our website.</w:t>
      </w:r>
    </w:p>
    <w:p>
      <w:pPr>
        <w:spacing w:after="0" w:line="189"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20"/>
          <w:szCs w:val="20"/>
          <w:color w:val="auto"/>
        </w:rPr>
        <w:t>We sourced approximately 23% of our wholesale products from various foreign countries, with the remaining volume produced at our five domestic manufacturing facilities.</w:t>
      </w:r>
    </w:p>
    <w:p>
      <w:pPr>
        <w:spacing w:after="0" w:line="384" w:lineRule="exact"/>
        <w:rPr>
          <w:sz w:val="20"/>
          <w:szCs w:val="20"/>
          <w:color w:val="auto"/>
        </w:rPr>
      </w:pPr>
    </w:p>
    <w:p>
      <w:pPr>
        <w:ind w:left="348" w:hanging="348"/>
        <w:spacing w:after="0"/>
        <w:tabs>
          <w:tab w:leader="none" w:pos="348"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Basis of Presentation and Principles of Consolidation</w:t>
      </w:r>
    </w:p>
    <w:p>
      <w:pPr>
        <w:spacing w:after="0" w:line="234"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Bassett Furniture Industries, Incorporated and our majority-owned subsidiaries in which we have a controlling interest. All significant intercompany balances and transactions are eliminated in consolidation. The financial statements have been prepared in accordance with generally accepted accounting principles in the United States ("GAAP"). Unless otherwise indicated, references in the Consolidated Financial Statements to fiscal 2023, 2022 and 2021 are to Bassett's fiscal year ended November 25, 2023, November 26, 2022 and November 27, 2021, respectively. References to the “ASC” included hereinafter refer to the Accounting Standards Codification established by the Financial Accounting Standards Board as the source of authoritative GAAP.</w:t>
      </w:r>
    </w:p>
    <w:p>
      <w:pPr>
        <w:spacing w:after="0" w:line="189"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20"/>
          <w:szCs w:val="20"/>
          <w:color w:val="auto"/>
        </w:rPr>
        <w:t>We analyzed our licensees under the requirements for variable interest entities (“VIEs”). All of these licensees operate as BHF stores and are furniture retailers. We sell furniture to these licensees, and in some cases have extended credit beyond normal terms, made lease guarantees, guaranteed loans, or loaned directly to the licensees. We have recorded reserves for potential exposures related to these licensees. See Note 15 for disclosure of leases and lease guarantees. Based on financial projections and best available information, all licensees have sufficient equity to carry out their principal operating activities without subordinated financial support. Furthermore, we believe that the power to direct the activities that most significantly impact the licensees’ operating performance continues to lie with the ownership of the licensee dealers. Our rights to assume control over or otherwise influence the licensees’ significant activities only exist pursuant to our license and security agreements and are in the nature of protective rights as contemplated under ASC Topic 810. We completed our assessment for other potential VIEs and concluded that there were none. We will continue to reassess the status of potential VIEs including when facts and circumstances surrounding each potential VIE change.</w:t>
      </w:r>
    </w:p>
    <w:p>
      <w:pPr>
        <w:spacing w:after="0" w:line="199"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20"/>
          <w:szCs w:val="20"/>
          <w:color w:val="auto"/>
        </w:rPr>
        <w:t>During the second and third quarters of fiscal 2022, we were the primary beneficiary of one VIE by virtue of our control over the activities that most significantly impacted the entity’s economic performance. This VIE was created to affect a Section 1031 like-kind exchange involving the purchase of real property in the state of Florida and the sale of real property in the state of Texas (see Note 14). Subsequent to the completion of the exchange transactions during the third quarter of fiscal 2022, the sole equity interest in the VIE was transferred to Bassett and the entity is now consolidated as a wholly owned subsidiary.</w:t>
      </w:r>
    </w:p>
    <w:p>
      <w:pPr>
        <w:spacing w:after="0" w:line="190" w:lineRule="exact"/>
        <w:rPr>
          <w:sz w:val="20"/>
          <w:szCs w:val="20"/>
          <w:color w:val="auto"/>
        </w:rPr>
      </w:pPr>
    </w:p>
    <w:p>
      <w:pPr>
        <w:jc w:val="both"/>
        <w:ind w:left="8"/>
        <w:spacing w:after="0" w:line="247" w:lineRule="auto"/>
        <w:rPr>
          <w:sz w:val="20"/>
          <w:szCs w:val="20"/>
          <w:color w:val="auto"/>
        </w:rPr>
      </w:pPr>
      <w:r>
        <w:rPr>
          <w:rFonts w:ascii="Times New Roman" w:cs="Times New Roman" w:eastAsia="Times New Roman" w:hAnsi="Times New Roman"/>
          <w:sz w:val="20"/>
          <w:szCs w:val="20"/>
          <w:color w:val="auto"/>
        </w:rPr>
        <w:t>On January 31, 2022, we entered into a definitive agreement to sell substantially all of the assets of our wholly-owned subsidiary, Zenith Freight Lines, LLC (“Zenith”) to J.B. Hunt Transport Services, Inc. (“J.B. Hunt”). The sale was completed on February 28, 2022. Accordingly, the operations of our logistical services segment as well as the gain realized upon disposal are presented in the accompanying condensed consolidated statements of income as discontinued operations. See Note 18 for additional information. Costs incurred by Bassett for logistical services performed for Bassett by Zenith are included in selling, general and administrative expenses.</w:t>
      </w:r>
    </w:p>
    <w:p>
      <w:pPr>
        <w:spacing w:after="0" w:line="189"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On September 2, 2022, we acquired 100% of the capital stock of Noa Home Inc. (“Noa Home”), a mid-priced e-commerce furniture retailer headquartered in Montreal, Canada. Noa Home has operations in Canada, Australia, Singapore and the United Kingdom. Since acquisition, Noa Home has been consolidated as a wholly-owned subsidiary. See Note 3 for additional information.</w:t>
      </w:r>
    </w:p>
    <w:p>
      <w:pPr>
        <w:spacing w:after="0" w:line="32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48"/>
          </w:cols>
          <w:pgMar w:left="1152" w:top="925" w:right="1140" w:bottom="175"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requires us to make estimates and assumptions that affect the reported amounts of assets and liabilities and disclosure of contingent liabilities at the date of the financial statements and the reported amounts of revenues and expenses during the reporting period. Some of the more significant estimates include allowances for doubtful accounts, calculation of inventory reserves, the valuation of our reporting units for the purpose of testing the carrying value of goodwill, and the valuation of our right of use assets. We also utilize estimates in determining the valuation of income tax reserves, lease guarantees, insurance reserves, and assumptions related to our post-employment benefit obligations. Actual results could differ from those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ASC Topic 606, Revenue from Contracts with Customers, requires a company to recognize revenue when it transfers promised goods or services to customers in an amount that reflects the consideration the company expects to receive in exchange for those goods or services. For our wholesale and retail segments, revenue is recognized when the risks and rewards of ownership and title to the product have transferred to the buyer.</w:t>
      </w:r>
    </w:p>
    <w:p>
      <w:pPr>
        <w:spacing w:after="0" w:line="1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At wholesale, transfer occurs and revenue is recognized upon the shipment of goods to independent dealers and licensee-owned BHF stores. We offer payment terms varying from 30 to 60 days for wholesale customers. Estimates for returns and allowances have been recorded as a reduction of revenue based on our historical return patterns. The contracts with our licensee store owners do not provide for any royalty or license fee to be paid to us.</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At retail, transfer occurs and revenue is recognized upon delivery of goods to the customer. We typically collect a significant portion of the purchase price as a customer deposit upon order, with the balance typically collected upon delivery. These deposits are carried on our balance sheet as a current liability until delivery is fulfilled and amounted to $22,788 and $35,963 as of November 25, 2023 and November 26, 2022, respectively. Substantially all of the customer deposits held at November 26, 2022 related to performance obligations were satisfied during fiscal 2023 and have therefore been recognized in revenue for the year ended November 25, 2023. Estimates for returns and allowances have been recorded as a reduction of revenue based on our historical return patterns. The estimate for returns and allowances was $4,883 and $6,559 at November 25, 2023 and November 26, 2022, respectively, and is included with other accrued liabilities in the accompanying balance sheets. We also sell furniture protection plans to our retail customers on behalf of a third party which is responsible for the performance obligations under the plans. Revenue from the sale of these plans is recognized upon delivery of the goods net of amounts payable to the third-party service provider.</w:t>
      </w:r>
    </w:p>
    <w:p>
      <w:pPr>
        <w:spacing w:after="0" w:line="19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Sales commissions are expensed as part of selling, general and administrative expenses at the time revenue is recognized because the amortization period would have been one year or less. Sales commissions at wholesale are accrued upon the shipment of goods. Sales commissions at retail are accrued at the time a sale is written (i.e. – when the customer’s order is placed) and are carried as prepaid commissions in other current assets until the goods are delivered and revenue is recognized. At November 25, 2023 and November 26, 2022, our balance of prepaid commissions included in other current assets was $2,245 and $3,768,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our accounting and reporting under ASC 606, we apply the following policy elections and practical expedients:</w:t>
      </w:r>
    </w:p>
    <w:p>
      <w:pPr>
        <w:spacing w:after="0" w:line="27" w:lineRule="exact"/>
        <w:rPr>
          <w:sz w:val="20"/>
          <w:szCs w:val="20"/>
          <w:color w:val="auto"/>
        </w:rPr>
      </w:pPr>
    </w:p>
    <w:p>
      <w:pPr>
        <w:ind w:left="760" w:hanging="389"/>
        <w:spacing w:after="0"/>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exclude from revenue amounts collected from customers for sales tax.</w:t>
      </w:r>
    </w:p>
    <w:p>
      <w:pPr>
        <w:spacing w:after="0" w:line="18" w:lineRule="exact"/>
        <w:rPr>
          <w:rFonts w:ascii="Times New Roman" w:cs="Times New Roman" w:eastAsia="Times New Roman" w:hAnsi="Times New Roman"/>
          <w:sz w:val="20"/>
          <w:szCs w:val="20"/>
          <w:color w:val="auto"/>
        </w:rPr>
      </w:pPr>
    </w:p>
    <w:p>
      <w:pPr>
        <w:jc w:val="both"/>
        <w:ind w:left="760" w:hanging="389"/>
        <w:spacing w:after="0" w:line="249" w:lineRule="auto"/>
        <w:tabs>
          <w:tab w:leader="none" w:pos="76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adjust the promised amount of consideration for the effects of a significant financing component since the period of time between transfer of our goods or services and the collection of consideration from the customer is less than one year.</w:t>
      </w:r>
    </w:p>
    <w:p>
      <w:pPr>
        <w:spacing w:after="0" w:line="2" w:lineRule="exact"/>
        <w:rPr>
          <w:rFonts w:ascii="Times New Roman" w:cs="Times New Roman" w:eastAsia="Times New Roman" w:hAnsi="Times New Roman"/>
          <w:sz w:val="20"/>
          <w:szCs w:val="20"/>
          <w:color w:val="auto"/>
        </w:rPr>
      </w:pPr>
    </w:p>
    <w:p>
      <w:pPr>
        <w:ind w:left="760" w:hanging="389"/>
        <w:spacing w:after="0" w:line="249" w:lineRule="auto"/>
        <w:tabs>
          <w:tab w:leader="none" w:pos="76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do not disclose the value of unsatisfied performance obligations because the transfer of goods or services is made within one year of the placement of customer orders.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20 for disaggregated revenue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Equivalents and Short-Term Investments</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considers cash on hand, demand deposits in banks and all highly liquid investments with an original maturity of three months or less to be cash and cash equivalents. Our short-term investments consist of certificates of deposit that have original maturities of twelve months or less but greater than three months.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940"/>
          </w:cols>
          <w:pgMar w:left="1160" w:top="925" w:right="1140" w:bottom="175"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w:t>
      </w:r>
    </w:p>
    <w:p>
      <w:pPr>
        <w:spacing w:after="0" w:line="2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Substantially all of our trade accounts receivable is due from customers located within the United States. We maintain an allowance for credit losses for estimated losses resulting from the inability of our customers to make required payments. The allowance for credit losses is based on a review of specifically identified accounts in addition to an overall aging analysis which is applied to accounts pooled on the basis of similar risk characteristics. Judgments are made with respect to the collectibility of accounts receivable within each pool based on historical experience, current payment practices and current economic trends based on our expectations over the expected life of the receivables, which is generally ninety days or less. Actual credit losses could differ from those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Concentrations of Credit Risk and Major Customers</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Financial instruments that subject us to credit risk consist primarily of investments, accounts and notes receivable and financial guarantees. Investments are managed within established guidelines to mitigate risks. Accounts and notes receivable and financial guarantees subject us to credit risk partially due to the concentration of amounts due from and guaranteed on behalf of independent licensee customers. At November 25, 2023 and November 26, 2022, our aggregate exposure from receivables and guarantees related to customers consisted of the following: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Accounts receivable, net of allowances (Note 5)</w:t>
            </w: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76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13,736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17,838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Contingent obligations under lease and loan guarantees, less amounts recognized (Note 15)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1,819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1,828</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27"/>
        </w:trPr>
        <w:tc>
          <w:tcPr>
            <w:tcW w:w="762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Total credit risk exposure related to customers</w:t>
            </w: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Borders>
              <w:top w:val="single" w:sz="8" w:color="auto"/>
            </w:tcBorders>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15,636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19,709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At November 25, 2023 and November 26, 2022, approximately 35% and 31%, respectively, of the aggregate risk exposure, net of reserves, shown above was attributable to five customers. In fiscal 2023, 2022 and 2021, no customer accounted for more than 10% of total consolidated net sales.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We have no foreign manufacturing operations. We define export sales from our wholesale segment as sales to any country or territory other than the United States or its territories or possessions. Our wholesale export sales were approximately $406, $731, and $488 in fiscal 2023, 2022, and 2021, respectively. All of our export sales are invoiced and settled in U.S. dollars.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Inventories (retail merchandise, finished goods, work in process and raw materials) accounted for under the first-in, first out (“FIFO”) method are stated at the lower of cost or net realizable value or, in the case of inventory accounted for under the last-in, first out (“LIFO”) method, at the lower of cost or market. Cost is determined for domestic manufactured furniture inventories using the LIFO method because we believe this methodology provides better matching of revenue and expenses. The cost of imported inventories as well as Lane Venture, Bassett Outdoor and Noa Home product inventories are determined on a first-in, first -out (“FIFO”) basis. Inventories accounted for under the LIFO method represented 51% and 46% of total inventory before reserves at November 25, 2023 and November 26, 2022, respectively. We estimate inventory reserves for excess quantities and obsolete items based on specific identification and historical write-offs, taking into account future demand and market conditions. If actual demand or market conditions in the future are less favorable than those estimated, additional inventory write-downs may be required.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2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Property and equipment is comprised of all land, buildings and leasehold improvements and machinery and equipment used in the manufacturing and warehousing of furniture, our Company-owned retail operations, our logistical services operations, and corporate administration. This property and equipment is stated at cost less accumulated depreciation. Depreciation is computed over the estimated useful lives of the respective assets utilizing the straight-line method. Buildings and improvements are generally depreciated over a period of 10 to 39 years. Machinery and equipment are generally depreciated over a period of 5 to 10 years. Leasehold improvements are amortized based on the underlying lease term, or the asset’s estimated useful life, whichever is shorter.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940"/>
          </w:cols>
          <w:pgMar w:left="1160" w:top="925" w:right="1140" w:bottom="175"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23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9"/>
          <w:szCs w:val="19"/>
          <w:color w:val="auto"/>
        </w:rPr>
        <w:t>Goodwill represents the excess of the fair value of consideration given over the fair value of the tangible assets and liabilities and identifiable intangible assets of businesses acquired. The acquisition of assets and liabilities and the resulting goodwill is allocated to the respective reporting unit: Wood, Upholstery, Retail or Noa Home. We review goodwill at the reporting unit level annually for impairment or more frequently if events or circumstances indicate that assets might be impaired.</w:t>
      </w:r>
    </w:p>
    <w:p>
      <w:pPr>
        <w:spacing w:after="0" w:line="16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In accordance with ASC Topic 350, </w:t>
      </w:r>
      <w:r>
        <w:rPr>
          <w:rFonts w:ascii="Times New Roman" w:cs="Times New Roman" w:eastAsia="Times New Roman" w:hAnsi="Times New Roman"/>
          <w:sz w:val="20"/>
          <w:szCs w:val="20"/>
          <w:i w:val="1"/>
          <w:iCs w:val="1"/>
          <w:color w:val="auto"/>
        </w:rPr>
        <w:t>Intangibles</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Goodwill &amp; Other,</w:t>
      </w:r>
      <w:r>
        <w:rPr>
          <w:rFonts w:ascii="Times New Roman" w:cs="Times New Roman" w:eastAsia="Times New Roman" w:hAnsi="Times New Roman"/>
          <w:sz w:val="20"/>
          <w:szCs w:val="20"/>
          <w:color w:val="auto"/>
        </w:rPr>
        <w:t xml:space="preserve"> we first assess qualitative factors to determine whether it is more likely than not that the fair value of a reporting unit is less than its carrying amount as a basis for determining whether it is necessary to perform the quantitative goodwill impairment test described in ASC Topic 350. The more likely than not threshold is defined as having a likelihood of more than 50 percent. If, after assessing the totality of events or circumstances, we determine that it is not more likely than not that the fair value of a reporting unit is less than its carrying amount, then performing the quantitative impairment test is unnecessary and our goodwill is considered to be unimpaired. However, if based on our qualitative assessment we conclude that it is more likely than not that the fair value of a reporting unit is less than its carrying amount, we will proceed with performing the quantitative evaluation process. For the annual test of goodwill performed as of the beginning of the fourth quarter of fiscal 2023, we performed the qualitative assessment as described above with respect to our upholstery reporting unit and concluded that there was no impairment of the goodwill allocated to that reporting unit as of November 25, 2023. For the annual test of the goodwill performed as of the beginning of the fourth quarter of fiscal 2023 with respect to our Noa Home reporting unit, we proceeded to the quantitative test and concluded that the goodwill allocated to that reporting unit as of November 25, 2023 was fully impaired. For the annual tests of goodwill performed as of the beginning of the fourth fiscal quarters of 2022 and 2021, we performed the qualitative assessment as described above and concluded that there was no impairment of our goodwill as of November 26, 2022 or November 27, 2021.</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quantitative evaluation compares the carrying value of each reporting unit that has goodwill with the estimated fair value of the respective reporting unit. Should the carrying value of a reporting unit be in excess of the estimated fair value of that reporting unit, a goodwill impairment charge will be recognized in the amount by which the reporting unit’s carrying amount exceeds its fair value, but not to exceed the total goodwill assigned to the reporting unit. The determination of the fair value of our reporting units is based on a combination of a market approach, that considers benchmark company market multiples,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19"/>
          <w:szCs w:val="19"/>
          <w:i w:val="1"/>
          <w:iCs w:val="1"/>
          <w:color w:val="auto"/>
        </w:rPr>
        <w:t>Fair Value Measurements and Disclosure</w:t>
      </w:r>
      <w:r>
        <w:rPr>
          <w:rFonts w:ascii="Times New Roman" w:cs="Times New Roman" w:eastAsia="Times New Roman" w:hAnsi="Times New Roman"/>
          <w:sz w:val="19"/>
          <w:szCs w:val="19"/>
          <w:color w:val="auto"/>
        </w:rPr>
        <w:t xml:space="preserve"> (see Note 4), and, in the case of our retail reporting unit, a cost approach that utilizes estimates of net asset value.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 While we believe such assumptions and estimates are reasonable, the actual results may differ materially from the projected amounts. See Note 8 for additional information regarding the results of our goodwill impairment test performed as of the beginning of the fourth quarter of fiscal 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2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Effective as of the beginning of fiscal 2020, we adopted ASU 2016-02, Leases (Topic 842) and all related amendments. The guidance requires lessees to recognize substantially all leases on their balance sheet as a right-of-use (“ROU”) asset and a lease liability.</w:t>
      </w:r>
    </w:p>
    <w:p>
      <w:pPr>
        <w:spacing w:after="0" w:line="17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We lease land and buildings that are used in the operation of our Company-owned retail stores as well as in the operation of certain of our licensee-owned stores, and we lease land and buildings at various locations throughout the continental United States for warehouse space used in our retail segment. We also lease local delivery trucks used in our retail segment. We determine if a contract contains a lease at inception based on our right to control the use of an identified asset and our right to obtain substantially all of the economic benefits from the use of that identified asset. Our real estate lease terms range from one to 15 years and generally have renewal options of between five and 15 years. We assess these options to determine if we are reasonably certain of exercising these options based on all relevant economic and financial factors. Any options that meet this criteria are included in the lease term at lease commencement.</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940"/>
          </w:cols>
          <w:pgMar w:left="1160" w:top="925" w:right="1140" w:bottom="175"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Most of our leases do not have an interest rate implicit in the lease. As a result, for purposes of measuring our ROU asset and lease liability, we determine our incremental borrowing rate by applying a spread above the U.S. Treasury borrowing rates. In the case an interest rate is implicit in a lease we will use that rate as the discount rate for that lease. Some of our leases contain variable rent payments based on a Consumer Price Index or percentage of sales. Due to the variable nature of these costs, they are not included in the measurement of the ROU asset and lease liability.</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adopted the standard utilizing the transition election to not restate comparative periods for the impact of adopting the standard and recognizing the cumulative impact of adoption in the opening balance of retained earnings. We elected the package of transition expedients available for expired or existing contracts, which allowed the carry -forward of historical assessments of (1) whether contracts are or contain leases, (2) lease classification and (3) initial direct costs. In addition, we have elected the practical expedient to not separate lease and non-lease components when determining the ROU asset and lease liability and have elected the practical expedient related to land easements, allowing us to carry forward our accounting treatment for land easements on existing agreements. We have also elected the hindsight practical expedient to determine the lease term for existing leases. In our application of hindsight, we evaluated the performance of the leased stores and the associated markets in relation to our overall real estate strategies, which resulted in the determination that most renewal options would not be reasonably certain in determining the expected lease term. We have made an accounting policy election to not recognize ROU assets and lease liabilities on the balance sheet for those leases with initial terms of one year or less and instead such lease obligations will be expensed on a straight-line basis over the lease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 15 for additional information regarding our leases.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Intangible assets acquired in a business combination and determined to have an indefinite useful life are not amortized but are tested for impairment annually or between annual tests when an impairment indicator exists. The recoverability of indefinite-lived intangible assets is assessed by comparison of the carrying value of the asset to its estimated fair value. If we determine that the carrying value of the asset exceeds its estimated fair value, an impairment loss equal to the excess would be recorded.</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Definite-lived intangible assets are amortized over their respective estimated useful lives and reviewed for impairment whenever events or changes in circumstances indicate that their carrying amounts may not be recoverable. We estimate the useful lives of our intangible assets and ratably amortize the value over the estimated useful lives of those assets. If the estimates of the useful lives should change, we will amortize the remaining book value over the remaining useful lives or, if an asset is deemed to be impaired, a write-down of the value of the asset may be required at such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Long Lived Assets</w:t>
      </w:r>
    </w:p>
    <w:p>
      <w:pPr>
        <w:spacing w:after="0" w:line="2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periodically evaluate whether events or circumstances have occurred that indicate long-lived assets may not be recoverable or that the remaining useful life may warrant revision. When such events or circumstances are present, we assess the recoverability of long-lived assets by determining whether the carrying value will be recovered through the expected undiscounted future cash flows resulting from the use and eventual disposition of the asset. In the event the sum of the expected undiscounted future cash flows is less than the carrying value of the asset, an impairment loss equal to the excess of the asset’s carrying value over its fair value is recorded. Fair value is determined based on discounted cash flows or appraised values depending on the nature of the assets. The long-term nature of these assets requires the estimation of cash inflows and outflows several years into the future.</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analyzing our real estate properties for potential impairment, we consider such qualitative factors as our experience in leasing and selling real estate properties as well as specific site and local market characteristics. Upon the closure of a Bassett Home Furnishings store, we generally write off all tenant improvements which are only suitable for use in such a store. ROU assets under operating leases are written down to their estimated fair value. Our estimates of the fair value of the impaired ROU assets included estimates of discounted cash flows based upon current market rents and other inputs which we consider to be Level 3 inputs as specified in the fair value hierarchy in ASC Topic 820, Fair Value Measurement and Disclosure (see Note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940"/>
          </w:cols>
          <w:pgMar w:left="1160" w:top="925" w:right="1140" w:bottom="1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account for income taxes under the liability method which requires that we recognize deferred tax assets and liabilities for the future tax consequences attributable to differences between the financial statement carrying amount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recognize the tax benefit from an uncertain tax position only if it is more likely than not that the tax position will be sustained on examination by the taxing authorities, based on the technical merits of the position. Despite our belief that our liability for unrecognized tax benefits is adequate, it is often difficult to predict the final outcome or the timing of the resolution of any particular tax matters. We may adjust these liabilities as relevant circumstances evolve, such as guidance from the relevant tax authority or our tax advisors, or resolution of issues in the courts. These adjustments are recognized as a component of income tax expense in the period in which they are identified.</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evaluate our deferred income tax assets to determine if valuation allowances are required or should be adjusted. A valuation allowance is established against our deferred tax assets based on consideration of all available evidence, both positive and negative, using a “more likely than not” standard. This assessment considers, among other matters, the nature, frequency and severity of recent losses, forecasts of future profitability, the duration of statutory carryforward or carryback periods, our experience with tax attributes expiring unused and tax planning alternatives. In making such judgments, significant weight is given to evidence that can be objectively verified. See Note 13 for additional information regarding our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Shipping and Handling Costs</w:t>
      </w:r>
    </w:p>
    <w:p>
      <w:pPr>
        <w:spacing w:after="0" w:line="23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Costs incurred to deliver wholesale merchandise to customers are recorded in selling, general and administrative expense and totaled $26,125, $ 33,029, and $27,122 for fiscal 2023, 2022 and 2021, respectively. The amounts for fiscal 2022 and 2021 have been revised for comparability with the fiscal 2023 presentation of wholesale shipping and handling costs, which reflects a broader scope of such items. Costs incurred to deliver retail merchandise to customers, including the cost of operating regional distribution warehouses, are also recorded in selling, general and administrative expense and totaled $23,399, $23,812, and $22,494 for fiscal 2023, 2022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Advertising</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Costs incurred for producing and distributing advertising and advertising materials are expensed when incurred and are included in selling, general and administrative expenses. Advertising costs totaled $19,106, $16,698, and $15,228 in fiscal 2023, 2022, and 2021,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Insurance Reserves</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self-funded insurance programs in place to cover workers’ compensation and health insurance. These insurance programs are subject to various stop-loss limitations. We accrue estimated losses using historical loss experience. Although we believe that the insurance reserves are adequate, the reserve estimates are based on historical experience, which may not be indicative of current and future losses. We adjust insurance reserves, as needed, in the event that future loss experience differs from historical loss patterns.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p>
      <w:pPr>
        <w:spacing w:after="0" w:line="234"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19"/>
          <w:szCs w:val="19"/>
          <w:color w:val="auto"/>
        </w:rPr>
        <w:t>Refer to the supplemental lease disclosures in Note 15 for cash flow impacts of leasing transactions during fiscal 2023, 2022 and 2021. Otherwise, there were no material non-cash investing or financing activities during fiscal 2023, 2022 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940"/>
          </w:cols>
          <w:pgMar w:left="1160" w:top="925" w:right="1140" w:bottom="175" w:gutter="0" w:footer="0" w:header="0"/>
        </w:sectPr>
      </w:pPr>
    </w:p>
    <w:bookmarkStart w:id="34" w:name="page35"/>
    <w:bookmarkEnd w:id="34"/>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Recent Pronouncements Not Yet Adopted</w:t>
      </w:r>
    </w:p>
    <w:p>
      <w:pPr>
        <w:spacing w:after="0" w:line="230" w:lineRule="exact"/>
        <w:rPr>
          <w:sz w:val="20"/>
          <w:szCs w:val="20"/>
          <w:color w:val="auto"/>
        </w:rPr>
      </w:pPr>
    </w:p>
    <w:p>
      <w:pPr>
        <w:jc w:val="both"/>
        <w:ind w:left="8"/>
        <w:spacing w:after="0" w:line="244" w:lineRule="auto"/>
        <w:rPr>
          <w:sz w:val="20"/>
          <w:szCs w:val="20"/>
          <w:color w:val="auto"/>
        </w:rPr>
      </w:pPr>
      <w:r>
        <w:rPr>
          <w:rFonts w:ascii="Times New Roman" w:cs="Times New Roman" w:eastAsia="Times New Roman" w:hAnsi="Times New Roman"/>
          <w:sz w:val="20"/>
          <w:szCs w:val="20"/>
          <w:color w:val="auto"/>
        </w:rPr>
        <w:t>In October 2021, the FASB issued Accounting Standards Update No. 2021-08– Business Combinations (Topic 805) Accounting for Contract Assets and Contract Liabilities from Contracts with Customers, to improve the accounting for acquired revenue contracts with customers in a business combination by addressing diversity in practice and inconsistency related to the recognition of an acquired contract liability and to payment terms and their effect on subsequent revenue recognized by the acquirer. The amendments in ASU 2021-08 require that an entity (acquirer) recognize and measure contract assets and contract liabilities acquired in a business combination in accordance with Topic 606. At the acquisition date, an acquirer should account for the related revenue contracts in accordance with Topic 606 as if it had originated the contracts. The amendments in ASU 2021-08 will become effective for us as of the beginning of our 2024 fiscal year. Early adoption is permitted, including adoption in any interim period. We do not expect that this guidance will have a material impact upon our financial position and results of operations.</w:t>
      </w:r>
    </w:p>
    <w:p>
      <w:pPr>
        <w:spacing w:after="0" w:line="191"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20"/>
          <w:szCs w:val="20"/>
          <w:color w:val="auto"/>
        </w:rPr>
        <w:t>In March 2022, the FASB issued Accounting Standards Update No. 2022-02 – Financial Instruments – Credit Losses (Topic 326): Troubled Debt Restructurings and Vintage Disclosures, to address certain concerns identified in the Post-Implementation Review process for ASU Topic 326. The amendments in ASU 2022-02 eliminate the accounting guidance for troubled debt restructurings by creditors in ASC Subtopic 310-40, Receivables – Troubled Debt Restructurings by Creditors, while enhancing disclosure requirements for certain loan refinancings and restructurings by creditors when a borrower is experiencing financial difficulty. In addition, for public business entities, the amendments in ASU 2022-02 require that an entity disclose current-period gross write-offs by year of origination for financing receivables and net investments in leases within the scope of ASC Subtopic 326-20, Financial Instruments – Credit Losses – Measured at Amortized Cost. The amendments in ASU 2022-02 will become effective for us as of the beginning of our 2024 fiscal year. Early adoption is permitted. We expect that the adoption of this standard will primarily impact our disclosures but do not expect that this guidance will have a material impact upon our financial position and results of operations.</w:t>
      </w:r>
    </w:p>
    <w:p>
      <w:pPr>
        <w:spacing w:after="0" w:line="199"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20"/>
          <w:szCs w:val="20"/>
          <w:color w:val="auto"/>
        </w:rPr>
        <w:t>In June 2022, the FASB issued Accounting Standards Update No. 2022-03 – Fair Value Measurement (Topic 820): Fair Value Measurement of Equity Securities Subject to Contractual Sale Restrictions, to clarify the guidance in Topic 820 when measuring the fair value of an equity security subject to contractual restrictions that prohibit the sale of an equity security. The amendments in ASU 2022-03 clarify that a contractual restriction on the sale of an equity security is not considered part of the unit of account of the equity security and, therefore, is not considered in measuring fair value. The amendments also clarify that an entity cannot, as a separate unit of account, recognize and measure a contractual sale restriction. In addition, the amendments in ASU 2022-03 require certain additional disclosures related to investments in equity securities subject to contractual sale restrictions. The amendments in ASU 2022-03 will become effective for us as of the beginning of our 2025 fiscal year. Early adoption is permitted. As of November 25, 2023 we do not hold any investments in equity securities, therefore we do not currently expect that this guidance will have a material impact upon our financial position and results of operations.</w:t>
      </w:r>
    </w:p>
    <w:p>
      <w:pPr>
        <w:spacing w:after="0" w:line="199"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In December 2023, the FASB issued Accounting Standards Update 2023-09 – Income Taxes (Topic ASC 740) Income Taxes. The ASU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The amendments in ASU 2022-03 will become effective for us as of the beginning of our 2026 fiscal year. Early adoption is permitted for annual financial statements that have not yet been issued or made available for issuance. We do not expect that this guidance will have a material impact upon our financial position and results of operations.</w:t>
      </w:r>
    </w:p>
    <w:p>
      <w:pPr>
        <w:spacing w:after="0" w:line="200" w:lineRule="exact"/>
        <w:rPr>
          <w:sz w:val="20"/>
          <w:szCs w:val="20"/>
          <w:color w:val="auto"/>
        </w:rPr>
      </w:pPr>
    </w:p>
    <w:p>
      <w:pPr>
        <w:spacing w:after="0" w:line="215" w:lineRule="exact"/>
        <w:rPr>
          <w:sz w:val="20"/>
          <w:szCs w:val="20"/>
          <w:color w:val="auto"/>
        </w:rPr>
      </w:pPr>
    </w:p>
    <w:p>
      <w:pPr>
        <w:ind w:left="348" w:hanging="348"/>
        <w:spacing w:after="0"/>
        <w:tabs>
          <w:tab w:leader="none" w:pos="348"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Business Combinations</w:t>
      </w:r>
    </w:p>
    <w:p>
      <w:pPr>
        <w:spacing w:after="0" w:line="235"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On September 2, 2022, we acquired 100% of the capital stock of Noa Home, a mid-priced e-commerce furniture retailer headquartered in Montreal, Canada. Noa Home has operations in Canada, Australia, Singapore and the United Kingdom. The initial purchase price (denominated in Canadian dollars) of approximately C$7,700 included cash payments of C$2,000 paid to the co -founders of Noa Home and approximately C$5,700 for the repayment of existing debt owed by Noa Home. Per the terms of the agreement at the acquisition date, the Noa Home co-founders also had the opportunity to receive additional cash payments totaling approximately C$1,330 per year for the three fiscal years following the year of acquisition based on established increases in net revenues and achieving certain internal EBITDA goals.</w:t>
      </w:r>
    </w:p>
    <w:p>
      <w:pPr>
        <w:spacing w:after="0" w:line="10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948"/>
          </w:cols>
          <w:pgMar w:left="1152" w:top="925" w:right="1140" w:bottom="175"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Under the acquisition method of accounting, the fair value of the consideration transferred was allocated to the tangible and intangible assets acquired and the liabilities assumed based on their estimated fair values as of the acquisition date with the remaining unallocated amount recorded as goodwill. The allocation of the purchase price (translated into U.S. dollars as of the acquisition date) is as follows:</w:t>
      </w:r>
    </w:p>
    <w:p>
      <w:pPr>
        <w:spacing w:after="0" w:line="199" w:lineRule="exact"/>
        <w:rPr>
          <w:sz w:val="20"/>
          <w:szCs w:val="20"/>
          <w:color w:val="auto"/>
        </w:rPr>
      </w:pPr>
    </w:p>
    <w:tbl>
      <w:tblPr>
        <w:tblLayout w:type="fixed"/>
        <w:tblInd w:w="1200" w:type="dxa"/>
        <w:tblCellMar>
          <w:top w:w="0" w:type="dxa"/>
          <w:left w:w="0" w:type="dxa"/>
          <w:bottom w:w="0" w:type="dxa"/>
          <w:right w:w="0" w:type="dxa"/>
        </w:tblCellMar>
      </w:tblPr>
      <w:tr>
        <w:trPr>
          <w:trHeight w:val="260"/>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of consideration transferred in exchange for 100% of Noa Home:</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Cash</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Fair value of contingent consideration payable</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fair value of consideration paid or payable</w:t>
            </w:r>
          </w:p>
        </w:tc>
        <w:tc>
          <w:tcPr>
            <w:tcW w:w="3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Allocation of the fair value of consideration transferred:</w:t>
            </w: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63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Identifiable assets acquired:</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Cash</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Inventory</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 current assets</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Property &amp; equipment</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Intangible asset - trade name</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1,929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identifiable assets acquired</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Liabilities assumed:</w:t>
            </w: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3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(1,227 )</w:t>
            </w:r>
          </w:p>
        </w:tc>
        <w:tc>
          <w:tcPr>
            <w:tcW w:w="0" w:type="dxa"/>
            <w:vAlign w:val="bottom"/>
          </w:tcPr>
          <w:p>
            <w:pPr>
              <w:spacing w:after="0"/>
              <w:rPr>
                <w:sz w:val="1"/>
                <w:szCs w:val="1"/>
                <w:color w:val="auto"/>
              </w:rPr>
            </w:pPr>
          </w:p>
        </w:tc>
      </w:tr>
      <w:tr>
        <w:trPr>
          <w:trHeight w:val="259"/>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Customer deposits</w:t>
            </w:r>
          </w:p>
        </w:tc>
        <w:tc>
          <w:tcPr>
            <w:tcW w:w="3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(1,059 )</w:t>
            </w:r>
          </w:p>
        </w:tc>
        <w:tc>
          <w:tcPr>
            <w:tcW w:w="0" w:type="dxa"/>
            <w:vAlign w:val="bottom"/>
          </w:tcPr>
          <w:p>
            <w:pPr>
              <w:spacing w:after="0"/>
              <w:rPr>
                <w:sz w:val="1"/>
                <w:szCs w:val="1"/>
                <w:color w:val="auto"/>
              </w:rPr>
            </w:pPr>
          </w:p>
        </w:tc>
      </w:tr>
      <w:tr>
        <w:trPr>
          <w:trHeight w:val="265"/>
        </w:trPr>
        <w:tc>
          <w:tcPr>
            <w:tcW w:w="63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Other current liabilities and accrued expenses</w:t>
            </w:r>
          </w:p>
        </w:tc>
        <w:tc>
          <w:tcPr>
            <w:tcW w:w="34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(458 )</w:t>
            </w:r>
          </w:p>
        </w:tc>
        <w:tc>
          <w:tcPr>
            <w:tcW w:w="0" w:type="dxa"/>
            <w:vAlign w:val="bottom"/>
          </w:tcPr>
          <w:p>
            <w:pPr>
              <w:spacing w:after="0"/>
              <w:rPr>
                <w:sz w:val="1"/>
                <w:szCs w:val="1"/>
                <w:color w:val="auto"/>
              </w:rPr>
            </w:pPr>
          </w:p>
        </w:tc>
      </w:tr>
      <w:tr>
        <w:trPr>
          <w:trHeight w:val="240"/>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Total liabilities assumed</w:t>
            </w:r>
          </w:p>
        </w:tc>
        <w:tc>
          <w:tcPr>
            <w:tcW w:w="3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(2,744</w:t>
            </w:r>
          </w:p>
        </w:tc>
        <w:tc>
          <w:tcPr>
            <w:tcW w:w="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34"/>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Net identifiable assets acquired</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636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3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6360" w:type="dxa"/>
            <w:vAlign w:val="bottom"/>
            <w:gridSpan w:val="2"/>
          </w:tcPr>
          <w:p>
            <w:pPr>
              <w:ind w:left="540"/>
              <w:spacing w:after="0"/>
              <w:rPr>
                <w:sz w:val="20"/>
                <w:szCs w:val="20"/>
                <w:color w:val="auto"/>
              </w:rPr>
            </w:pPr>
            <w:r>
              <w:rPr>
                <w:rFonts w:ascii="Times New Roman" w:cs="Times New Roman" w:eastAsia="Times New Roman" w:hAnsi="Times New Roman"/>
                <w:sz w:val="20"/>
                <w:szCs w:val="20"/>
                <w:color w:val="auto"/>
              </w:rPr>
              <w:t>Total net assets acquired</w:t>
            </w:r>
          </w:p>
        </w:tc>
        <w:tc>
          <w:tcPr>
            <w:tcW w:w="34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Goodwill was determined based on the residual difference between the fair value of the consideration transferred and the value assigned to the tangible and intangible assets and liabilities recognized in connection with the acquisition and is deductible for US tax purposes. Among the factors that contributed to a purchase price resulting in the recognition of goodwill were the expected synergies arising from combining the Company’s manufacturing and distribution capabilities with Noa Home’s position in the international e-commerce market for home furnishings and accessories. As part of our annual test for impairment of goodwill as of the beginning of the fourth quarter of fiscal 2023, all of the goodwill recognized at acquisition was fully impaired. See Note 8 for additional information regarding the impairment.</w:t>
      </w:r>
    </w:p>
    <w:p>
      <w:pPr>
        <w:spacing w:after="0" w:line="1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 portion of the fair value of the consideration transferred in the amount of $1,929 has been assigned to the identifiable intangible asset associated with the Noa Home trade name. This intangible asset is considered to have an indefinite life. The indefinite-lived intangible asset and goodwill are not amortized but will be tested for impairment annually or between annual tests if an indicator of impairment exists.</w:t>
      </w:r>
    </w:p>
    <w:p>
      <w:pPr>
        <w:spacing w:after="0" w:line="18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 xml:space="preserve">The fair values of consideration transferred and net assets acquired were determined using a combination of Level 2 and Level 3 inputs as specified in the fair value hierarchy in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See Note 4.</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Subsequent to the acquisition date, the parties concluded that the targets originally set forth by which the Noa Home co-founders were to earn the contingent consideration would likely not be met within the initially anticipated time frame. Therefore, we have agreed to replace the contingent consideration with two fixed payments of C$200 each, the first of which was paid in June of 2023 with the second to be paid in December of 2024. As a result of the write-down of the contingent consideration payable that was recognized at the acquisition date, we recorded a gain of $1,013 during fiscal 2023.</w:t>
      </w:r>
    </w:p>
    <w:p>
      <w:pPr>
        <w:spacing w:after="0" w:line="1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Acquisition costs related to the Noa Home acquisition totaled $87 during the year ended November 26, 2022, and are included in selling, general and administrative expenses in the consolidated statements of income. The acquisition costs are primarily related to legal services.</w:t>
      </w: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940"/>
          </w:cols>
          <w:pgMar w:left="1160" w:top="925" w:right="1140" w:bottom="175" w:gutter="0" w:footer="0" w:header="0"/>
        </w:sectPr>
      </w:pPr>
    </w:p>
    <w:bookmarkStart w:id="36" w:name="page37"/>
    <w:bookmarkEnd w:id="36"/>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20"/>
          <w:szCs w:val="20"/>
          <w:color w:val="auto"/>
        </w:rPr>
        <w:t>The revenues and results of operations of Noa Home since September 2, 2022 were not material. The pro forma impact of the acquisition has not been presented because it was not material to our consolidated results of operations for the three fiscal years ended November 26, 2022.</w:t>
      </w:r>
    </w:p>
    <w:p>
      <w:pPr>
        <w:spacing w:after="0" w:line="172" w:lineRule="exact"/>
        <w:rPr>
          <w:sz w:val="20"/>
          <w:szCs w:val="20"/>
          <w:color w:val="auto"/>
        </w:rPr>
      </w:pPr>
    </w:p>
    <w:p>
      <w:pPr>
        <w:ind w:left="348" w:hanging="348"/>
        <w:spacing w:after="0"/>
        <w:tabs>
          <w:tab w:leader="none" w:pos="348" w:val="left"/>
        </w:tabs>
        <w:numPr>
          <w:ilvl w:val="0"/>
          <w:numId w:val="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 Investments and Fair Value Measurements</w:t>
      </w:r>
    </w:p>
    <w:p>
      <w:pPr>
        <w:spacing w:after="0" w:line="2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Financial Instruments</w:t>
      </w:r>
    </w:p>
    <w:p>
      <w:pPr>
        <w:spacing w:after="0" w:line="230"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Our financial instruments include cash and cash equivalents, short-term investments in certificates of deposit, accounts receivable, accounts payable and long-term debt. Because of their short maturities, the carrying amounts of cash and cash equivalents, short-term investments in certificates of deposit, accounts receivable, and accounts payable approximate fair value.</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230"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9"/>
          <w:szCs w:val="19"/>
          <w:color w:val="auto"/>
        </w:rPr>
        <w:t>Our short-term investments of $17,775 and $17,715 at November 25, 2023 and November 26, 2022 consisted of certificates of deposit (CDs) with original terms of six to twelve months, bearing interest at rates ranging from 0.7% to 5.45%. At November 25, 2023, the weighted average remaining time to maturity of the CDs was approximately three months and the weighted average yield of the CDs was approximately 5.1%. Each CD is placed with a federally insured financial institution and all deposits are within Federal deposit insurance limits. As the CDs mature, we expect to reinvest them in CDs of similar maturities of up to one year. Due to the nature of these investments and their relatively short maturities, the carrying amount of the short-term investments at November 25, 2023 and November 26, 2022 approximates their fair value.</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w:t>
      </w:r>
    </w:p>
    <w:p>
      <w:pPr>
        <w:spacing w:after="0" w:line="231"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 xml:space="preserve">The Company accounts for items measured at fair value in accordance with ASC Topic 820, </w:t>
      </w:r>
      <w:r>
        <w:rPr>
          <w:rFonts w:ascii="Times New Roman" w:cs="Times New Roman" w:eastAsia="Times New Roman" w:hAnsi="Times New Roman"/>
          <w:sz w:val="20"/>
          <w:szCs w:val="20"/>
          <w:i w:val="1"/>
          <w:iCs w:val="1"/>
          <w:color w:val="auto"/>
        </w:rPr>
        <w:t>Fair Value Measurements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Disclosures</w:t>
      </w:r>
      <w:r>
        <w:rPr>
          <w:rFonts w:ascii="Times New Roman" w:cs="Times New Roman" w:eastAsia="Times New Roman" w:hAnsi="Times New Roman"/>
          <w:sz w:val="20"/>
          <w:szCs w:val="20"/>
          <w:color w:val="auto"/>
        </w:rPr>
        <w:t>. ASC 820’s valuation techniques are based on observable and unobservable inputs. Observable inputs reflect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readily obtainable data from independent sources, while unobservable inputs reflect our market assumptions. ASC 820 classifies these inputs into the following hierarchy:</w:t>
      </w:r>
    </w:p>
    <w:p>
      <w:pPr>
        <w:spacing w:after="0" w:line="1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 xml:space="preserve">Level </w:t>
      </w: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i w:val="1"/>
          <w:iCs w:val="1"/>
          <w:color w:val="auto"/>
        </w:rPr>
        <w:t xml:space="preserve"> Inputs</w:t>
      </w:r>
      <w:r>
        <w:rPr>
          <w:rFonts w:ascii="Times New Roman" w:cs="Times New Roman" w:eastAsia="Times New Roman" w:hAnsi="Times New Roman"/>
          <w:sz w:val="20"/>
          <w:szCs w:val="20"/>
          <w:color w:val="auto"/>
        </w:rPr>
        <w:t>– Quoted prices for identical instruments in active markets.</w:t>
      </w:r>
    </w:p>
    <w:p>
      <w:pPr>
        <w:spacing w:after="0" w:line="230"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Level </w:t>
      </w:r>
      <w:r>
        <w:rPr>
          <w:rFonts w:ascii="Times New Roman" w:cs="Times New Roman" w:eastAsia="Times New Roman" w:hAnsi="Times New Roman"/>
          <w:sz w:val="20"/>
          <w:szCs w:val="20"/>
          <w:color w:val="auto"/>
        </w:rPr>
        <w:t>2</w:t>
      </w:r>
      <w:r>
        <w:rPr>
          <w:rFonts w:ascii="Times New Roman" w:cs="Times New Roman" w:eastAsia="Times New Roman" w:hAnsi="Times New Roman"/>
          <w:sz w:val="20"/>
          <w:szCs w:val="20"/>
          <w:i w:val="1"/>
          <w:iCs w:val="1"/>
          <w:color w:val="auto"/>
        </w:rPr>
        <w:t xml:space="preserve"> Inputs</w:t>
      </w:r>
      <w:r>
        <w:rPr>
          <w:rFonts w:ascii="Times New Roman" w:cs="Times New Roman" w:eastAsia="Times New Roman" w:hAnsi="Times New Roman"/>
          <w:sz w:val="20"/>
          <w:szCs w:val="20"/>
          <w:color w:val="auto"/>
        </w:rPr>
        <w:t>– Quoted prices for similar instruments in active markets; quoted prices for identical or similar instruments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markets that are not active; and model-derived valuations whose inputs are observable or whose significant value drivers are observable.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i w:val="1"/>
          <w:iCs w:val="1"/>
          <w:color w:val="auto"/>
        </w:rPr>
        <w:t xml:space="preserve">Level </w:t>
      </w:r>
      <w:r>
        <w:rPr>
          <w:rFonts w:ascii="Times New Roman" w:cs="Times New Roman" w:eastAsia="Times New Roman" w:hAnsi="Times New Roman"/>
          <w:sz w:val="20"/>
          <w:szCs w:val="20"/>
          <w:color w:val="auto"/>
        </w:rPr>
        <w:t>3</w:t>
      </w:r>
      <w:r>
        <w:rPr>
          <w:rFonts w:ascii="Times New Roman" w:cs="Times New Roman" w:eastAsia="Times New Roman" w:hAnsi="Times New Roman"/>
          <w:sz w:val="20"/>
          <w:szCs w:val="20"/>
          <w:i w:val="1"/>
          <w:iCs w:val="1"/>
          <w:color w:val="auto"/>
        </w:rPr>
        <w:t xml:space="preserve"> Inputs</w:t>
      </w:r>
      <w:r>
        <w:rPr>
          <w:rFonts w:ascii="Times New Roman" w:cs="Times New Roman" w:eastAsia="Times New Roman" w:hAnsi="Times New Roman"/>
          <w:sz w:val="20"/>
          <w:szCs w:val="20"/>
          <w:color w:val="auto"/>
        </w:rPr>
        <w:t>– Instruments with primarily unobservable value drivers.</w:t>
      </w:r>
    </w:p>
    <w:p>
      <w:pPr>
        <w:spacing w:after="0" w:line="230" w:lineRule="exact"/>
        <w:rPr>
          <w:sz w:val="20"/>
          <w:szCs w:val="20"/>
          <w:color w:val="auto"/>
        </w:rPr>
      </w:pPr>
    </w:p>
    <w:p>
      <w:pPr>
        <w:jc w:val="both"/>
        <w:ind w:left="8"/>
        <w:spacing w:after="0" w:line="249" w:lineRule="auto"/>
        <w:rPr>
          <w:sz w:val="20"/>
          <w:szCs w:val="20"/>
          <w:color w:val="auto"/>
        </w:rPr>
      </w:pPr>
      <w:r>
        <w:rPr>
          <w:rFonts w:ascii="Times New Roman" w:cs="Times New Roman" w:eastAsia="Times New Roman" w:hAnsi="Times New Roman"/>
          <w:sz w:val="20"/>
          <w:szCs w:val="20"/>
          <w:color w:val="auto"/>
        </w:rPr>
        <w:t>We believe that the carrying amounts of our current assets and current liabilities approximate fair value due to the short-term nature of these items. Our primary non-recurring fair value estimates typically involve the following: business acquisitions (Note 3) which involve a combination of Level 2 and Level 3 inputs to determine the fair value of contingent consideration and net assets acquired, including identified intangible assets; goodwill impairment testing (Note 8), which involves Level 3 inputs; and asset impairments (Note 14) which utilize Level 3 inputs.</w:t>
      </w:r>
    </w:p>
    <w:p>
      <w:pPr>
        <w:spacing w:after="0" w:line="200" w:lineRule="exact"/>
        <w:rPr>
          <w:sz w:val="20"/>
          <w:szCs w:val="20"/>
          <w:color w:val="auto"/>
        </w:rPr>
      </w:pP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275"/>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5. Accounts Receivable</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5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Accounts receivable consists of the following:</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November 25,</w:t>
            </w:r>
          </w:p>
        </w:tc>
        <w:tc>
          <w:tcPr>
            <w:tcW w:w="10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November 26,</w:t>
            </w:r>
          </w:p>
        </w:tc>
        <w:tc>
          <w:tcPr>
            <w:tcW w:w="0" w:type="dxa"/>
            <w:vAlign w:val="bottom"/>
          </w:tcPr>
          <w:p>
            <w:pPr>
              <w:spacing w:after="0"/>
              <w:rPr>
                <w:sz w:val="1"/>
                <w:szCs w:val="1"/>
                <w:color w:val="auto"/>
              </w:rPr>
            </w:pPr>
          </w:p>
        </w:tc>
      </w:tr>
      <w:tr>
        <w:trPr>
          <w:trHeight w:val="254"/>
        </w:trPr>
        <w:tc>
          <w:tcPr>
            <w:tcW w:w="5740" w:type="dxa"/>
            <w:vAlign w:val="bottom"/>
            <w:gridSpan w:val="2"/>
            <w:vMerge w:val="restart"/>
          </w:tcPr>
          <w:p>
            <w:pPr>
              <w:ind w:left="1360"/>
              <w:spacing w:after="0"/>
              <w:rPr>
                <w:sz w:val="20"/>
                <w:szCs w:val="20"/>
                <w:color w:val="auto"/>
              </w:rPr>
            </w:pPr>
            <w:r>
              <w:rPr>
                <w:rFonts w:ascii="Times New Roman" w:cs="Times New Roman" w:eastAsia="Times New Roman" w:hAnsi="Times New Roman"/>
                <w:sz w:val="20"/>
                <w:szCs w:val="20"/>
                <w:color w:val="auto"/>
              </w:rPr>
              <w:t>Gross accounts receivable</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4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14,271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19,099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ind w:left="136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10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(535)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r>
        <w:trPr>
          <w:trHeight w:val="226"/>
        </w:trPr>
        <w:tc>
          <w:tcPr>
            <w:tcW w:w="5740" w:type="dxa"/>
            <w:vAlign w:val="bottom"/>
            <w:gridSpan w:val="2"/>
          </w:tcPr>
          <w:p>
            <w:pPr>
              <w:ind w:left="1360"/>
              <w:spacing w:after="0" w:line="226" w:lineRule="exact"/>
              <w:rPr>
                <w:sz w:val="20"/>
                <w:szCs w:val="20"/>
                <w:color w:val="auto"/>
              </w:rPr>
            </w:pPr>
            <w:r>
              <w:rPr>
                <w:rFonts w:ascii="Times New Roman" w:cs="Times New Roman" w:eastAsia="Times New Roman" w:hAnsi="Times New Roman"/>
                <w:sz w:val="20"/>
                <w:szCs w:val="20"/>
                <w:color w:val="auto"/>
              </w:rPr>
              <w:t>Net accounts receivable</w:t>
            </w:r>
          </w:p>
        </w:tc>
        <w:tc>
          <w:tcPr>
            <w:tcW w:w="10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13,736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17,838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948"/>
          </w:cols>
          <w:pgMar w:left="1152" w:top="925" w:right="1140" w:bottom="175"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720" w:type="dxa"/>
            <w:vAlign w:val="bottom"/>
          </w:tcPr>
          <w:p>
            <w:pPr>
              <w:spacing w:after="0"/>
              <w:rPr>
                <w:sz w:val="20"/>
                <w:szCs w:val="20"/>
                <w:color w:val="auto"/>
              </w:rPr>
            </w:pPr>
            <w:r>
              <w:rPr>
                <w:rFonts w:ascii="Times New Roman" w:cs="Times New Roman" w:eastAsia="Times New Roman" w:hAnsi="Times New Roman"/>
                <w:sz w:val="20"/>
                <w:szCs w:val="20"/>
                <w:color w:val="auto"/>
              </w:rPr>
              <w:t>Activity in the allowance for credit losses was as follows:</w:t>
            </w: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52"/>
        </w:trPr>
        <w:tc>
          <w:tcPr>
            <w:tcW w:w="5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r>
      <w:tr>
        <w:trPr>
          <w:trHeight w:val="435"/>
        </w:trPr>
        <w:tc>
          <w:tcPr>
            <w:tcW w:w="572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Balance, beginning of the year</w:t>
            </w:r>
          </w:p>
        </w:tc>
        <w:tc>
          <w:tcPr>
            <w:tcW w:w="88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3"/>
              </w:rPr>
              <w:t>1,261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567</w:t>
            </w:r>
          </w:p>
        </w:tc>
      </w:tr>
      <w:tr>
        <w:trPr>
          <w:trHeight w:val="230"/>
        </w:trPr>
        <w:tc>
          <w:tcPr>
            <w:tcW w:w="572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Additions (recoveries) charged to expense</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761</w:t>
            </w:r>
          </w:p>
        </w:tc>
      </w:tr>
      <w:tr>
        <w:trPr>
          <w:trHeight w:val="250"/>
        </w:trPr>
        <w:tc>
          <w:tcPr>
            <w:tcW w:w="5720" w:type="dxa"/>
            <w:vAlign w:val="bottom"/>
          </w:tcPr>
          <w:p>
            <w:pPr>
              <w:ind w:left="1360"/>
              <w:spacing w:after="0"/>
              <w:rPr>
                <w:sz w:val="20"/>
                <w:szCs w:val="20"/>
                <w:color w:val="auto"/>
              </w:rPr>
            </w:pPr>
            <w:r>
              <w:rPr>
                <w:rFonts w:ascii="Times New Roman" w:cs="Times New Roman" w:eastAsia="Times New Roman" w:hAnsi="Times New Roman"/>
                <w:sz w:val="20"/>
                <w:szCs w:val="20"/>
                <w:color w:val="auto"/>
              </w:rPr>
              <w:t>Reductions to allowance, net</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(945)</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27"/>
        </w:trPr>
        <w:tc>
          <w:tcPr>
            <w:tcW w:w="5720" w:type="dxa"/>
            <w:vAlign w:val="bottom"/>
          </w:tcPr>
          <w:p>
            <w:pPr>
              <w:ind w:left="1360"/>
              <w:spacing w:after="0" w:line="228" w:lineRule="exact"/>
              <w:rPr>
                <w:sz w:val="20"/>
                <w:szCs w:val="20"/>
                <w:color w:val="auto"/>
              </w:rPr>
            </w:pPr>
            <w:r>
              <w:rPr>
                <w:rFonts w:ascii="Times New Roman" w:cs="Times New Roman" w:eastAsia="Times New Roman" w:hAnsi="Times New Roman"/>
                <w:sz w:val="20"/>
                <w:szCs w:val="20"/>
                <w:color w:val="auto"/>
              </w:rPr>
              <w:t>Balance, end of the year</w:t>
            </w: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6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44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535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1,261</w:t>
            </w:r>
          </w:p>
        </w:tc>
        <w:tc>
          <w:tcPr>
            <w:tcW w:w="6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 xml:space="preserve">We believe that the carrying value of our net accounts receivable approximates fair value. The inputs into these fair value estimates reflect our market assumptions and are not observable. Consequently, the inputs are considered to be Level 3 as specified in the fair value hierarchy in ASC Topic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See Note 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 Inventories</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6"/>
        </w:trPr>
        <w:tc>
          <w:tcPr>
            <w:tcW w:w="5780" w:type="dxa"/>
            <w:vAlign w:val="bottom"/>
          </w:tcPr>
          <w:p>
            <w:pPr>
              <w:spacing w:after="0"/>
              <w:rPr>
                <w:sz w:val="20"/>
                <w:szCs w:val="20"/>
                <w:color w:val="auto"/>
              </w:rPr>
            </w:pPr>
            <w:r>
              <w:rPr>
                <w:rFonts w:ascii="Times New Roman" w:cs="Times New Roman" w:eastAsia="Times New Roman" w:hAnsi="Times New Roman"/>
                <w:sz w:val="20"/>
                <w:szCs w:val="20"/>
                <w:color w:val="auto"/>
              </w:rPr>
              <w:t>Inventories consist of the following:</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November 25,</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5780" w:type="dxa"/>
            <w:vAlign w:val="bottom"/>
            <w:vMerge w:val="restart"/>
          </w:tcPr>
          <w:p>
            <w:pPr>
              <w:ind w:left="1280"/>
              <w:spacing w:after="0"/>
              <w:rPr>
                <w:sz w:val="20"/>
                <w:szCs w:val="20"/>
                <w:color w:val="auto"/>
              </w:rPr>
            </w:pPr>
            <w:r>
              <w:rPr>
                <w:rFonts w:ascii="Times New Roman" w:cs="Times New Roman" w:eastAsia="Times New Roman" w:hAnsi="Times New Roman"/>
                <w:sz w:val="20"/>
                <w:szCs w:val="20"/>
                <w:color w:val="auto"/>
              </w:rPr>
              <w:t>Wholesale finished goods</w:t>
            </w: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27,521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46,607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Work in process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620</w:t>
            </w:r>
          </w:p>
        </w:tc>
        <w:tc>
          <w:tcPr>
            <w:tcW w:w="0" w:type="dxa"/>
            <w:vAlign w:val="bottom"/>
          </w:tcPr>
          <w:p>
            <w:pPr>
              <w:spacing w:after="0"/>
              <w:rPr>
                <w:sz w:val="1"/>
                <w:szCs w:val="1"/>
                <w:color w:val="auto"/>
              </w:rPr>
            </w:pPr>
          </w:p>
        </w:tc>
      </w:tr>
      <w:tr>
        <w:trPr>
          <w:trHeight w:val="230"/>
        </w:trPr>
        <w:tc>
          <w:tcPr>
            <w:tcW w:w="578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Raw materials and supplies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18,655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22,859</w:t>
            </w:r>
          </w:p>
        </w:tc>
        <w:tc>
          <w:tcPr>
            <w:tcW w:w="0" w:type="dxa"/>
            <w:vAlign w:val="bottom"/>
          </w:tcPr>
          <w:p>
            <w:pPr>
              <w:spacing w:after="0"/>
              <w:rPr>
                <w:sz w:val="1"/>
                <w:szCs w:val="1"/>
                <w:color w:val="auto"/>
              </w:rPr>
            </w:pPr>
          </w:p>
        </w:tc>
      </w:tr>
      <w:tr>
        <w:trPr>
          <w:trHeight w:val="250"/>
        </w:trPr>
        <w:tc>
          <w:tcPr>
            <w:tcW w:w="578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Retail merchandise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33,090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32,974</w:t>
            </w:r>
          </w:p>
        </w:tc>
        <w:tc>
          <w:tcPr>
            <w:tcW w:w="0" w:type="dxa"/>
            <w:vAlign w:val="bottom"/>
          </w:tcPr>
          <w:p>
            <w:pPr>
              <w:spacing w:after="0"/>
              <w:rPr>
                <w:sz w:val="1"/>
                <w:szCs w:val="1"/>
                <w:color w:val="auto"/>
              </w:rPr>
            </w:pPr>
          </w:p>
        </w:tc>
      </w:tr>
      <w:tr>
        <w:trPr>
          <w:trHeight w:val="205"/>
        </w:trPr>
        <w:tc>
          <w:tcPr>
            <w:tcW w:w="5780" w:type="dxa"/>
            <w:vAlign w:val="bottom"/>
          </w:tcPr>
          <w:p>
            <w:pPr>
              <w:ind w:left="1280"/>
              <w:spacing w:after="0" w:line="206" w:lineRule="exact"/>
              <w:rPr>
                <w:sz w:val="20"/>
                <w:szCs w:val="20"/>
                <w:color w:val="auto"/>
              </w:rPr>
            </w:pPr>
            <w:r>
              <w:rPr>
                <w:rFonts w:ascii="Times New Roman" w:cs="Times New Roman" w:eastAsia="Times New Roman" w:hAnsi="Times New Roman"/>
                <w:sz w:val="20"/>
                <w:szCs w:val="20"/>
                <w:color w:val="auto"/>
              </w:rPr>
              <w:t>Total inventories on first-in, first-out method</w:t>
            </w: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79,903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103,060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LIFO adjustment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(11,738)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(12,416)</w:t>
            </w:r>
          </w:p>
        </w:tc>
        <w:tc>
          <w:tcPr>
            <w:tcW w:w="0" w:type="dxa"/>
            <w:vAlign w:val="bottom"/>
          </w:tcPr>
          <w:p>
            <w:pPr>
              <w:spacing w:after="0"/>
              <w:rPr>
                <w:sz w:val="1"/>
                <w:szCs w:val="1"/>
                <w:color w:val="auto"/>
              </w:rPr>
            </w:pPr>
          </w:p>
        </w:tc>
      </w:tr>
      <w:tr>
        <w:trPr>
          <w:trHeight w:val="250"/>
        </w:trPr>
        <w:tc>
          <w:tcPr>
            <w:tcW w:w="5780" w:type="dxa"/>
            <w:vAlign w:val="bottom"/>
          </w:tcPr>
          <w:p>
            <w:pPr>
              <w:ind w:left="1280"/>
              <w:spacing w:after="0"/>
              <w:rPr>
                <w:sz w:val="20"/>
                <w:szCs w:val="20"/>
                <w:color w:val="auto"/>
              </w:rPr>
            </w:pPr>
            <w:r>
              <w:rPr>
                <w:rFonts w:ascii="Times New Roman" w:cs="Times New Roman" w:eastAsia="Times New Roman" w:hAnsi="Times New Roman"/>
                <w:sz w:val="20"/>
                <w:szCs w:val="20"/>
                <w:color w:val="auto"/>
              </w:rPr>
              <w:t>Reserve for excess and obsolete inventory</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(5,183)</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(5,167)</w:t>
            </w:r>
          </w:p>
        </w:tc>
        <w:tc>
          <w:tcPr>
            <w:tcW w:w="0" w:type="dxa"/>
            <w:vAlign w:val="bottom"/>
          </w:tcPr>
          <w:p>
            <w:pPr>
              <w:spacing w:after="0"/>
              <w:rPr>
                <w:sz w:val="1"/>
                <w:szCs w:val="1"/>
                <w:color w:val="auto"/>
              </w:rPr>
            </w:pPr>
          </w:p>
        </w:tc>
      </w:tr>
      <w:tr>
        <w:trPr>
          <w:trHeight w:val="227"/>
        </w:trPr>
        <w:tc>
          <w:tcPr>
            <w:tcW w:w="5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62,982</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85,477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We source a significant amount of our wholesale product from other countries. During 2023, 2022 and 2021, purchases from our three largest vendors located in Vietnam and China were $13,498, $33,253 and $34,658 respectively.</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estimate an inventory reserve for excess quantities and obsolete items based on specific identification and historical write-offs, taking into account future demand, market conditions and the respective valuations at LIFO. The need for these reserves is primarily driven by the normal product life cycle. As products mature and sales volumes decline, we rationalize our product offerings to respond to consumer tastes and keep our product lines fresh. If actual demand or market conditions in the future are less favorable than those estimated, additional inventory write-downs may be required. In determining reserves, we calculate separate reserves on our wholesale and retail inventories. Our wholesale inventories tend to carry the majority of the reserves for excess quantities and obsolete inventory due to the nature of our distribution model. These wholesale reserves primarily represent design and style obsolescence. Typically, product is not shipped to our retail warehouses until a consumer has ordered and paid a deposit for the product. We do not typically hold retail inventory for stock purposes. Consequently, floor sample inventory and inventory for delivery to customers account for the majority of our inventory at retail. Retail reserves are based on accessory and clearance floor sample inventory in our stores and any inventory that is not associated with a specific customer order in our retail warehouses.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Activity in the reserves for excess quantities and obsolete inventory by segment are as follows:</w:t>
      </w:r>
    </w:p>
    <w:p>
      <w:pPr>
        <w:spacing w:after="0" w:line="133"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Wholesale</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6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Balance at November 27, 2021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20" w:type="dxa"/>
            <w:vAlign w:val="bottom"/>
          </w:tcPr>
          <w:p>
            <w:pPr>
              <w:spacing w:after="0"/>
              <w:rPr>
                <w:sz w:val="22"/>
                <w:szCs w:val="22"/>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Retail Segment</w:t>
            </w:r>
          </w:p>
        </w:tc>
        <w:tc>
          <w:tcPr>
            <w:tcW w:w="280" w:type="dxa"/>
            <w:vAlign w:val="bottom"/>
          </w:tcPr>
          <w:p>
            <w:pPr>
              <w:spacing w:after="0"/>
              <w:rPr>
                <w:sz w:val="22"/>
                <w:szCs w:val="22"/>
                <w:color w:val="auto"/>
              </w:rPr>
            </w:pPr>
          </w:p>
        </w:tc>
        <w:tc>
          <w:tcPr>
            <w:tcW w:w="118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05"/>
        </w:trPr>
        <w:tc>
          <w:tcPr>
            <w:tcW w:w="36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center"/>
              <w:ind w:left="680"/>
              <w:spacing w:after="0" w:line="206" w:lineRule="exact"/>
              <w:rPr>
                <w:sz w:val="20"/>
                <w:szCs w:val="20"/>
                <w:color w:val="auto"/>
              </w:rPr>
            </w:pPr>
            <w:r>
              <w:rPr>
                <w:rFonts w:ascii="Times New Roman" w:cs="Times New Roman" w:eastAsia="Times New Roman" w:hAnsi="Times New Roman"/>
                <w:sz w:val="20"/>
                <w:szCs w:val="20"/>
                <w:color w:val="auto"/>
                <w:w w:val="97"/>
              </w:rPr>
              <w:t>3,683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auto"/>
            </w:tcBorders>
          </w:tcPr>
          <w:p>
            <w:pPr>
              <w:jc w:val="right"/>
              <w:ind w:right="2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1,133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4,816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Additions charged to expense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left="660"/>
              <w:spacing w:after="0"/>
              <w:rPr>
                <w:sz w:val="20"/>
                <w:szCs w:val="20"/>
                <w:color w:val="auto"/>
              </w:rPr>
            </w:pPr>
            <w:r>
              <w:rPr>
                <w:rFonts w:ascii="Times New Roman" w:cs="Times New Roman" w:eastAsia="Times New Roman" w:hAnsi="Times New Roman"/>
                <w:sz w:val="20"/>
                <w:szCs w:val="20"/>
                <w:color w:val="auto"/>
                <w:w w:val="97"/>
              </w:rPr>
              <w:t>2,577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1,071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3,648</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Write-offs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color w:val="auto"/>
                <w:w w:val="99"/>
              </w:rPr>
              <w:t>(2,157)</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(1,140)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(3,297)</w:t>
            </w:r>
          </w:p>
        </w:tc>
        <w:tc>
          <w:tcPr>
            <w:tcW w:w="0" w:type="dxa"/>
            <w:vAlign w:val="bottom"/>
          </w:tcPr>
          <w:p>
            <w:pPr>
              <w:spacing w:after="0"/>
              <w:rPr>
                <w:sz w:val="1"/>
                <w:szCs w:val="1"/>
                <w:color w:val="auto"/>
              </w:rPr>
            </w:pPr>
          </w:p>
        </w:tc>
      </w:tr>
      <w:tr>
        <w:trPr>
          <w:trHeight w:val="205"/>
        </w:trPr>
        <w:tc>
          <w:tcPr>
            <w:tcW w:w="3640" w:type="dxa"/>
            <w:vAlign w:val="bottom"/>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Balance at November 26, 2022</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left="660"/>
              <w:spacing w:after="0" w:line="206" w:lineRule="exact"/>
              <w:rPr>
                <w:sz w:val="20"/>
                <w:szCs w:val="20"/>
                <w:color w:val="auto"/>
              </w:rPr>
            </w:pPr>
            <w:r>
              <w:rPr>
                <w:rFonts w:ascii="Times New Roman" w:cs="Times New Roman" w:eastAsia="Times New Roman" w:hAnsi="Times New Roman"/>
                <w:sz w:val="20"/>
                <w:szCs w:val="20"/>
                <w:color w:val="auto"/>
                <w:w w:val="97"/>
              </w:rPr>
              <w:t>4,103</w:t>
            </w: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1,064</w:t>
            </w: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5,167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Additions charged to expense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left="660"/>
              <w:spacing w:after="0"/>
              <w:rPr>
                <w:sz w:val="20"/>
                <w:szCs w:val="20"/>
                <w:color w:val="auto"/>
              </w:rPr>
            </w:pPr>
            <w:r>
              <w:rPr>
                <w:rFonts w:ascii="Times New Roman" w:cs="Times New Roman" w:eastAsia="Times New Roman" w:hAnsi="Times New Roman"/>
                <w:sz w:val="20"/>
                <w:szCs w:val="20"/>
                <w:color w:val="auto"/>
                <w:w w:val="97"/>
              </w:rPr>
              <w:t>3,876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750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4,626</w:t>
            </w:r>
          </w:p>
        </w:tc>
        <w:tc>
          <w:tcPr>
            <w:tcW w:w="0" w:type="dxa"/>
            <w:vAlign w:val="bottom"/>
          </w:tcPr>
          <w:p>
            <w:pPr>
              <w:spacing w:after="0"/>
              <w:rPr>
                <w:sz w:val="1"/>
                <w:szCs w:val="1"/>
                <w:color w:val="auto"/>
              </w:rPr>
            </w:pPr>
          </w:p>
        </w:tc>
      </w:tr>
      <w:tr>
        <w:trPr>
          <w:trHeight w:val="250"/>
        </w:trPr>
        <w:tc>
          <w:tcPr>
            <w:tcW w:w="3640" w:type="dxa"/>
            <w:vAlign w:val="bottom"/>
          </w:tcPr>
          <w:p>
            <w:pPr>
              <w:spacing w:after="0"/>
              <w:rPr>
                <w:sz w:val="20"/>
                <w:szCs w:val="20"/>
                <w:color w:val="auto"/>
              </w:rPr>
            </w:pPr>
            <w:r>
              <w:rPr>
                <w:rFonts w:ascii="Times New Roman" w:cs="Times New Roman" w:eastAsia="Times New Roman" w:hAnsi="Times New Roman"/>
                <w:sz w:val="20"/>
                <w:szCs w:val="20"/>
                <w:color w:val="auto"/>
              </w:rPr>
              <w:t>Write-offs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3"/>
          </w:tcPr>
          <w:p>
            <w:pPr>
              <w:jc w:val="center"/>
              <w:ind w:left="520"/>
              <w:spacing w:after="0"/>
              <w:rPr>
                <w:sz w:val="20"/>
                <w:szCs w:val="20"/>
                <w:color w:val="auto"/>
              </w:rPr>
            </w:pPr>
            <w:r>
              <w:rPr>
                <w:rFonts w:ascii="Times New Roman" w:cs="Times New Roman" w:eastAsia="Times New Roman" w:hAnsi="Times New Roman"/>
                <w:sz w:val="20"/>
                <w:szCs w:val="20"/>
                <w:color w:val="auto"/>
                <w:w w:val="99"/>
              </w:rPr>
              <w:t>(3,834)</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(776)</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(4,610)</w:t>
            </w:r>
          </w:p>
        </w:tc>
        <w:tc>
          <w:tcPr>
            <w:tcW w:w="0" w:type="dxa"/>
            <w:vAlign w:val="bottom"/>
          </w:tcPr>
          <w:p>
            <w:pPr>
              <w:spacing w:after="0"/>
              <w:rPr>
                <w:sz w:val="1"/>
                <w:szCs w:val="1"/>
                <w:color w:val="auto"/>
              </w:rPr>
            </w:pPr>
          </w:p>
        </w:tc>
      </w:tr>
      <w:tr>
        <w:trPr>
          <w:trHeight w:val="227"/>
        </w:trPr>
        <w:tc>
          <w:tcPr>
            <w:tcW w:w="3640" w:type="dxa"/>
            <w:vAlign w:val="bottom"/>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Balance at November 25, 2023</w:t>
            </w: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gridSpan w:val="2"/>
          </w:tcPr>
          <w:p>
            <w:pPr>
              <w:jc w:val="center"/>
              <w:ind w:left="660"/>
              <w:spacing w:after="0" w:line="228" w:lineRule="exact"/>
              <w:rPr>
                <w:sz w:val="20"/>
                <w:szCs w:val="20"/>
                <w:color w:val="auto"/>
              </w:rPr>
            </w:pPr>
            <w:r>
              <w:rPr>
                <w:rFonts w:ascii="Times New Roman" w:cs="Times New Roman" w:eastAsia="Times New Roman" w:hAnsi="Times New Roman"/>
                <w:sz w:val="20"/>
                <w:szCs w:val="20"/>
                <w:color w:val="auto"/>
                <w:w w:val="97"/>
              </w:rPr>
              <w:t>4,145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ind w:right="28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1,038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5,183</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9940"/>
          </w:cols>
          <w:pgMar w:left="1160" w:top="925" w:right="1140" w:bottom="139"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Property and Equipment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06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consist of the following:</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9"/>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November 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60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Land</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10,866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10,866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Buildings and leasehold improvements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125,290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116,418</w:t>
            </w:r>
          </w:p>
        </w:tc>
        <w:tc>
          <w:tcPr>
            <w:tcW w:w="0" w:type="dxa"/>
            <w:vAlign w:val="bottom"/>
          </w:tcPr>
          <w:p>
            <w:pPr>
              <w:spacing w:after="0"/>
              <w:rPr>
                <w:sz w:val="1"/>
                <w:szCs w:val="1"/>
                <w:color w:val="auto"/>
              </w:rPr>
            </w:pPr>
          </w:p>
        </w:tc>
      </w:tr>
      <w:tr>
        <w:trPr>
          <w:trHeight w:val="250"/>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Machinery and equipment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106,613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101,153</w:t>
            </w:r>
          </w:p>
        </w:tc>
        <w:tc>
          <w:tcPr>
            <w:tcW w:w="0" w:type="dxa"/>
            <w:vAlign w:val="bottom"/>
          </w:tcPr>
          <w:p>
            <w:pPr>
              <w:spacing w:after="0"/>
              <w:rPr>
                <w:sz w:val="1"/>
                <w:szCs w:val="1"/>
                <w:color w:val="auto"/>
              </w:rPr>
            </w:pPr>
          </w:p>
        </w:tc>
      </w:tr>
      <w:tr>
        <w:trPr>
          <w:trHeight w:val="205"/>
        </w:trPr>
        <w:tc>
          <w:tcPr>
            <w:tcW w:w="6060" w:type="dxa"/>
            <w:vAlign w:val="bottom"/>
          </w:tcPr>
          <w:p>
            <w:pPr>
              <w:ind w:left="820"/>
              <w:spacing w:after="0" w:line="206" w:lineRule="exact"/>
              <w:rPr>
                <w:sz w:val="20"/>
                <w:szCs w:val="20"/>
                <w:color w:val="auto"/>
              </w:rPr>
            </w:pPr>
            <w:r>
              <w:rPr>
                <w:rFonts w:ascii="Times New Roman" w:cs="Times New Roman" w:eastAsia="Times New Roman" w:hAnsi="Times New Roman"/>
                <w:sz w:val="20"/>
                <w:szCs w:val="20"/>
                <w:color w:val="auto"/>
              </w:rPr>
              <w:t>Property and equipment at cost</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242,769</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228,437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(158,788)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(151,436)</w:t>
            </w:r>
          </w:p>
        </w:tc>
        <w:tc>
          <w:tcPr>
            <w:tcW w:w="0" w:type="dxa"/>
            <w:vAlign w:val="bottom"/>
          </w:tcPr>
          <w:p>
            <w:pPr>
              <w:spacing w:after="0"/>
              <w:rPr>
                <w:sz w:val="1"/>
                <w:szCs w:val="1"/>
                <w:color w:val="auto"/>
              </w:rPr>
            </w:pPr>
          </w:p>
        </w:tc>
      </w:tr>
      <w:tr>
        <w:trPr>
          <w:trHeight w:val="226"/>
        </w:trPr>
        <w:tc>
          <w:tcPr>
            <w:tcW w:w="6060" w:type="dxa"/>
            <w:vAlign w:val="bottom"/>
          </w:tcPr>
          <w:p>
            <w:pPr>
              <w:ind w:left="820"/>
              <w:spacing w:after="0" w:line="226" w:lineRule="exact"/>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83,981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77,001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770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The net book value of our property and equipment by reportable segment is a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9"/>
              </w:rPr>
              <w:t>November 25,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6060" w:type="dxa"/>
            <w:vAlign w:val="bottom"/>
            <w:vMerge w:val="restart"/>
          </w:tcPr>
          <w:p>
            <w:pPr>
              <w:ind w:left="640"/>
              <w:spacing w:after="0"/>
              <w:rPr>
                <w:sz w:val="20"/>
                <w:szCs w:val="20"/>
                <w:color w:val="auto"/>
              </w:rPr>
            </w:pPr>
            <w:r>
              <w:rPr>
                <w:rFonts w:ascii="Times New Roman" w:cs="Times New Roman" w:eastAsia="Times New Roman" w:hAnsi="Times New Roman"/>
                <w:sz w:val="20"/>
                <w:szCs w:val="20"/>
                <w:color w:val="auto"/>
              </w:rPr>
              <w:t>Wholesale</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2022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23,155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23,205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Retail - Company-owned stores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44,799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40,361</w:t>
            </w:r>
          </w:p>
        </w:tc>
        <w:tc>
          <w:tcPr>
            <w:tcW w:w="0" w:type="dxa"/>
            <w:vAlign w:val="bottom"/>
          </w:tcPr>
          <w:p>
            <w:pPr>
              <w:spacing w:after="0"/>
              <w:rPr>
                <w:sz w:val="1"/>
                <w:szCs w:val="1"/>
                <w:color w:val="auto"/>
              </w:rPr>
            </w:pPr>
          </w:p>
        </w:tc>
      </w:tr>
      <w:tr>
        <w:trPr>
          <w:trHeight w:val="250"/>
        </w:trPr>
        <w:tc>
          <w:tcPr>
            <w:tcW w:w="60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Corporate and other</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16,027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13,435</w:t>
            </w:r>
          </w:p>
        </w:tc>
        <w:tc>
          <w:tcPr>
            <w:tcW w:w="0" w:type="dxa"/>
            <w:vAlign w:val="bottom"/>
          </w:tcPr>
          <w:p>
            <w:pPr>
              <w:spacing w:after="0"/>
              <w:rPr>
                <w:sz w:val="1"/>
                <w:szCs w:val="1"/>
                <w:color w:val="auto"/>
              </w:rPr>
            </w:pPr>
          </w:p>
        </w:tc>
      </w:tr>
      <w:tr>
        <w:trPr>
          <w:trHeight w:val="227"/>
        </w:trPr>
        <w:tc>
          <w:tcPr>
            <w:tcW w:w="6060" w:type="dxa"/>
            <w:vAlign w:val="bottom"/>
          </w:tcPr>
          <w:p>
            <w:pPr>
              <w:ind w:left="820"/>
              <w:spacing w:after="0" w:line="228" w:lineRule="exact"/>
              <w:rPr>
                <w:sz w:val="20"/>
                <w:szCs w:val="20"/>
                <w:color w:val="auto"/>
              </w:rPr>
            </w:pPr>
            <w:r>
              <w:rPr>
                <w:rFonts w:ascii="Times New Roman" w:cs="Times New Roman" w:eastAsia="Times New Roman" w:hAnsi="Times New Roman"/>
                <w:sz w:val="20"/>
                <w:szCs w:val="20"/>
                <w:color w:val="auto"/>
              </w:rPr>
              <w:t>Total property and equipment, net</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gridSpan w:val="2"/>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rPr>
              <w:t>83,981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77,001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Depreciation expense associated with the property and equipment shown above was included in income from operations in our consolidated statements of operations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2023</w:t>
            </w:r>
          </w:p>
        </w:tc>
        <w:tc>
          <w:tcPr>
            <w:tcW w:w="56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435"/>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(wholesale segment)</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2,124</w:t>
            </w:r>
          </w:p>
        </w:tc>
        <w:tc>
          <w:tcPr>
            <w:tcW w:w="180" w:type="dxa"/>
            <w:vAlign w:val="bottom"/>
          </w:tcPr>
          <w:p>
            <w:pPr>
              <w:spacing w:after="0"/>
              <w:rPr>
                <w:sz w:val="24"/>
                <w:szCs w:val="24"/>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2,082</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1,797</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adminstrative expenses: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Wholesale segment</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274</w:t>
            </w:r>
          </w:p>
        </w:tc>
        <w:tc>
          <w:tcPr>
            <w:tcW w:w="34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Retail segment</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5,502</w:t>
            </w: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5,738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6,580</w:t>
            </w:r>
          </w:p>
        </w:tc>
      </w:tr>
      <w:tr>
        <w:trPr>
          <w:trHeight w:val="25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2,184</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1,895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1,273</w:t>
            </w:r>
          </w:p>
        </w:tc>
      </w:tr>
      <w:tr>
        <w:trPr>
          <w:trHeight w:val="205"/>
        </w:trPr>
        <w:tc>
          <w:tcPr>
            <w:tcW w:w="4940" w:type="dxa"/>
            <w:vAlign w:val="bottom"/>
          </w:tcPr>
          <w:p>
            <w:pPr>
              <w:ind w:left="180"/>
              <w:spacing w:after="0" w:line="206" w:lineRule="exact"/>
              <w:rPr>
                <w:sz w:val="20"/>
                <w:szCs w:val="20"/>
                <w:color w:val="auto"/>
              </w:rPr>
            </w:pPr>
            <w:r>
              <w:rPr>
                <w:rFonts w:ascii="Times New Roman" w:cs="Times New Roman" w:eastAsia="Times New Roman" w:hAnsi="Times New Roman"/>
                <w:sz w:val="20"/>
                <w:szCs w:val="20"/>
                <w:color w:val="auto"/>
              </w:rPr>
              <w:t>Total included in selling, general and adminstrative</w:t>
            </w:r>
          </w:p>
        </w:tc>
        <w:tc>
          <w:tcPr>
            <w:tcW w:w="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50"/>
        </w:trPr>
        <w:tc>
          <w:tcPr>
            <w:tcW w:w="4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expenses</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7,904</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8,112</w:t>
            </w:r>
          </w:p>
        </w:tc>
      </w:tr>
      <w:tr>
        <w:trPr>
          <w:trHeight w:val="205"/>
        </w:trPr>
        <w:tc>
          <w:tcPr>
            <w:tcW w:w="4940" w:type="dxa"/>
            <w:vAlign w:val="bottom"/>
          </w:tcPr>
          <w:p>
            <w:pPr>
              <w:ind w:left="180"/>
              <w:spacing w:after="0" w:line="206" w:lineRule="exact"/>
              <w:rPr>
                <w:sz w:val="20"/>
                <w:szCs w:val="20"/>
                <w:color w:val="auto"/>
              </w:rPr>
            </w:pPr>
            <w:r>
              <w:rPr>
                <w:rFonts w:ascii="Times New Roman" w:cs="Times New Roman" w:eastAsia="Times New Roman" w:hAnsi="Times New Roman"/>
                <w:sz w:val="20"/>
                <w:szCs w:val="20"/>
                <w:color w:val="auto"/>
              </w:rPr>
              <w:t>Total depreciation expense included in income from</w:t>
            </w:r>
          </w:p>
        </w:tc>
        <w:tc>
          <w:tcPr>
            <w:tcW w:w="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52"/>
        </w:trPr>
        <w:tc>
          <w:tcPr>
            <w:tcW w:w="49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operations</w:t>
            </w:r>
          </w:p>
        </w:tc>
        <w:tc>
          <w:tcPr>
            <w:tcW w:w="960" w:type="dxa"/>
            <w:vAlign w:val="bottom"/>
            <w:gridSpan w:val="2"/>
          </w:tcPr>
          <w:p>
            <w:pPr>
              <w:jc w:val="right"/>
              <w:ind w:right="740"/>
              <w:spacing w:after="0"/>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10,084</w:t>
            </w:r>
          </w:p>
        </w:tc>
        <w:tc>
          <w:tcPr>
            <w:tcW w:w="180" w:type="dxa"/>
            <w:vAlign w:val="bottom"/>
          </w:tcPr>
          <w:p>
            <w:pPr>
              <w:spacing w:after="0"/>
              <w:rPr>
                <w:sz w:val="21"/>
                <w:szCs w:val="21"/>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9,986</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9,909</w:t>
            </w: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920"/>
          </w:cols>
          <w:pgMar w:left="1160" w:top="925" w:right="1160" w:bottom="175"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Goodwill and Other Intangible Assets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Goodwill and other intangible assets consisted of the following:</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54"/>
        </w:trPr>
        <w:tc>
          <w:tcPr>
            <w:tcW w:w="43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November 25, 2023</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160" w:type="dxa"/>
            <w:vAlign w:val="bottom"/>
          </w:tcPr>
          <w:p>
            <w:pPr>
              <w:spacing w:after="0"/>
              <w:rPr>
                <w:sz w:val="19"/>
                <w:szCs w:val="19"/>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40" w:type="dxa"/>
            <w:vAlign w:val="bottom"/>
          </w:tcPr>
          <w:p>
            <w:pPr>
              <w:spacing w:after="0"/>
              <w:rPr>
                <w:sz w:val="19"/>
                <w:szCs w:val="19"/>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0" w:type="dxa"/>
            <w:vAlign w:val="bottom"/>
          </w:tcPr>
          <w:p>
            <w:pPr>
              <w:spacing w:after="0"/>
              <w:rPr>
                <w:sz w:val="1"/>
                <w:szCs w:val="1"/>
                <w:color w:val="auto"/>
              </w:rPr>
            </w:pPr>
          </w:p>
        </w:tc>
      </w:tr>
      <w:tr>
        <w:trPr>
          <w:trHeight w:val="254"/>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Intangibles subject to amortization:</w:t>
            </w:r>
          </w:p>
        </w:tc>
        <w:tc>
          <w:tcPr>
            <w:tcW w:w="180" w:type="dxa"/>
            <w:vAlign w:val="bottom"/>
          </w:tcPr>
          <w:p>
            <w:pPr>
              <w:spacing w:after="0"/>
              <w:rPr>
                <w:sz w:val="22"/>
                <w:szCs w:val="22"/>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60" w:type="dxa"/>
            <w:vAlign w:val="bottom"/>
          </w:tcPr>
          <w:p>
            <w:pPr>
              <w:spacing w:after="0"/>
              <w:rPr>
                <w:sz w:val="22"/>
                <w:szCs w:val="22"/>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140" w:type="dxa"/>
            <w:vAlign w:val="bottom"/>
          </w:tcPr>
          <w:p>
            <w:pPr>
              <w:spacing w:after="0"/>
              <w:rPr>
                <w:sz w:val="22"/>
                <w:szCs w:val="22"/>
                <w:color w:val="auto"/>
              </w:rPr>
            </w:pPr>
          </w:p>
        </w:tc>
        <w:tc>
          <w:tcPr>
            <w:tcW w:w="11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Assets, Net</w:t>
            </w: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(337)</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Intangibles not subject to amortization: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Trade names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8,675</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7,217</w:t>
            </w:r>
          </w:p>
        </w:tc>
        <w:tc>
          <w:tcPr>
            <w:tcW w:w="0" w:type="dxa"/>
            <w:vAlign w:val="bottom"/>
          </w:tcPr>
          <w:p>
            <w:pPr>
              <w:spacing w:after="0"/>
              <w:rPr>
                <w:sz w:val="1"/>
                <w:szCs w:val="1"/>
                <w:color w:val="auto"/>
              </w:rPr>
            </w:pPr>
          </w:p>
        </w:tc>
      </w:tr>
      <w:tr>
        <w:trPr>
          <w:trHeight w:val="456"/>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goodwill and other intangible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16,067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4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November 26, 2022</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60"/>
              <w:spacing w:after="0" w:line="20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Carrying</w:t>
            </w:r>
          </w:p>
        </w:tc>
        <w:tc>
          <w:tcPr>
            <w:tcW w:w="160" w:type="dxa"/>
            <w:vAlign w:val="bottom"/>
          </w:tcPr>
          <w:p>
            <w:pPr>
              <w:spacing w:after="0"/>
              <w:rPr>
                <w:sz w:val="20"/>
                <w:szCs w:val="20"/>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140" w:type="dxa"/>
            <w:vAlign w:val="bottom"/>
          </w:tcPr>
          <w:p>
            <w:pPr>
              <w:spacing w:after="0"/>
              <w:rPr>
                <w:sz w:val="20"/>
                <w:szCs w:val="20"/>
                <w:color w:val="auto"/>
              </w:rPr>
            </w:pPr>
          </w:p>
        </w:tc>
        <w:tc>
          <w:tcPr>
            <w:tcW w:w="116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Intangible</w:t>
            </w:r>
          </w:p>
        </w:tc>
        <w:tc>
          <w:tcPr>
            <w:tcW w:w="0" w:type="dxa"/>
            <w:vAlign w:val="bottom"/>
          </w:tcPr>
          <w:p>
            <w:pPr>
              <w:spacing w:after="0"/>
              <w:rPr>
                <w:sz w:val="1"/>
                <w:szCs w:val="1"/>
                <w:color w:val="auto"/>
              </w:rPr>
            </w:pPr>
          </w:p>
        </w:tc>
      </w:tr>
      <w:tr>
        <w:trPr>
          <w:trHeight w:val="254"/>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Intangibles subject to amortization:</w:t>
            </w:r>
          </w:p>
        </w:tc>
        <w:tc>
          <w:tcPr>
            <w:tcW w:w="180" w:type="dxa"/>
            <w:vAlign w:val="bottom"/>
          </w:tcPr>
          <w:p>
            <w:pPr>
              <w:spacing w:after="0"/>
              <w:rPr>
                <w:sz w:val="22"/>
                <w:szCs w:val="22"/>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160" w:type="dxa"/>
            <w:vAlign w:val="bottom"/>
          </w:tcPr>
          <w:p>
            <w:pPr>
              <w:spacing w:after="0"/>
              <w:rPr>
                <w:sz w:val="22"/>
                <w:szCs w:val="22"/>
                <w:color w:val="auto"/>
              </w:rPr>
            </w:pPr>
          </w:p>
        </w:tc>
        <w:tc>
          <w:tcPr>
            <w:tcW w:w="1480" w:type="dxa"/>
            <w:vAlign w:val="bottom"/>
            <w:gridSpan w:val="4"/>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c>
          <w:tcPr>
            <w:tcW w:w="140" w:type="dxa"/>
            <w:vAlign w:val="bottom"/>
          </w:tcPr>
          <w:p>
            <w:pPr>
              <w:spacing w:after="0"/>
              <w:rPr>
                <w:sz w:val="22"/>
                <w:szCs w:val="22"/>
                <w:color w:val="auto"/>
              </w:rPr>
            </w:pPr>
          </w:p>
        </w:tc>
        <w:tc>
          <w:tcPr>
            <w:tcW w:w="1160" w:type="dxa"/>
            <w:vAlign w:val="bottom"/>
          </w:tcPr>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Assets, Net</w:t>
            </w:r>
          </w:p>
        </w:tc>
        <w:tc>
          <w:tcPr>
            <w:tcW w:w="0" w:type="dxa"/>
            <w:vAlign w:val="bottom"/>
          </w:tcPr>
          <w:p>
            <w:pPr>
              <w:spacing w:after="0"/>
              <w:rPr>
                <w:sz w:val="1"/>
                <w:szCs w:val="1"/>
                <w:color w:val="auto"/>
              </w:rPr>
            </w:pPr>
          </w:p>
        </w:tc>
      </w:tr>
      <w:tr>
        <w:trPr>
          <w:trHeight w:val="205"/>
        </w:trPr>
        <w:tc>
          <w:tcPr>
            <w:tcW w:w="430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Customer relationships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(280)</w:t>
            </w: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Intangibles not subject to amortization: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Trade names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8,723</w:t>
            </w:r>
          </w:p>
        </w:tc>
        <w:tc>
          <w:tcPr>
            <w:tcW w:w="0" w:type="dxa"/>
            <w:vAlign w:val="bottom"/>
          </w:tcPr>
          <w:p>
            <w:pPr>
              <w:spacing w:after="0"/>
              <w:rPr>
                <w:sz w:val="1"/>
                <w:szCs w:val="1"/>
                <w:color w:val="auto"/>
              </w:rPr>
            </w:pPr>
          </w:p>
        </w:tc>
      </w:tr>
      <w:tr>
        <w:trPr>
          <w:trHeight w:val="250"/>
        </w:trPr>
        <w:tc>
          <w:tcPr>
            <w:tcW w:w="4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12,772</w:t>
            </w:r>
          </w:p>
        </w:tc>
        <w:tc>
          <w:tcPr>
            <w:tcW w:w="0" w:type="dxa"/>
            <w:vAlign w:val="bottom"/>
          </w:tcPr>
          <w:p>
            <w:pPr>
              <w:spacing w:after="0"/>
              <w:rPr>
                <w:sz w:val="1"/>
                <w:szCs w:val="1"/>
                <w:color w:val="auto"/>
              </w:rPr>
            </w:pPr>
          </w:p>
        </w:tc>
      </w:tr>
      <w:tr>
        <w:trPr>
          <w:trHeight w:val="456"/>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Total goodwill and other intangible assets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21,727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performed the annual test for impairment of the carrying value of our goodwill as of the beginning of the fourth quarter of fiscal 2023. Based on the initial qualitative analysis performed under ASC Topic 350, we concluded that is was not more likely than not that the carrying value of our upholstery reporting unit within our wholesale segment exceeded its fair value. However, due to the actual and expected future underperformance of our Noa Home reporting unit relative to management's original expectations, we performed a strategic review of the operations as of the beginning of the fourth quarter and concluded that Noa should exit the Australian market and focus more on the North American market. Coupled with the financial underperformance and the planned exit of Australia, we performed a quantitative test of the carrying value of the goodwill recognized as part of the 2022 acquisition of Noa Home and concluded that it was necessary to fully impair the carrying value of the Noa Home goodwill, resulting in a non-cash impairment charge of $5,409 in fiscal 2023.</w:t>
      </w:r>
    </w:p>
    <w:p>
      <w:pPr>
        <w:spacing w:after="0" w:line="19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The determination of the fair value of our reporting units is based on a combination of a market approach, that considers benchmark company market multiples and comparable transactions occurring within the last two years, and an income approach, that utilizes discounted cash flows for each reporting unit and other Level 3 inputs as specified in the fair value hierarchy in ASC Topic 820, </w:t>
      </w:r>
      <w:r>
        <w:rPr>
          <w:rFonts w:ascii="Times New Roman" w:cs="Times New Roman" w:eastAsia="Times New Roman" w:hAnsi="Times New Roman"/>
          <w:sz w:val="20"/>
          <w:szCs w:val="20"/>
          <w:i w:val="1"/>
          <w:iCs w:val="1"/>
          <w:color w:val="auto"/>
        </w:rPr>
        <w:t>Fair Value Measurements and Disclosure</w:t>
      </w:r>
      <w:r>
        <w:rPr>
          <w:rFonts w:ascii="Times New Roman" w:cs="Times New Roman" w:eastAsia="Times New Roman" w:hAnsi="Times New Roman"/>
          <w:sz w:val="20"/>
          <w:szCs w:val="20"/>
          <w:color w:val="auto"/>
        </w:rPr>
        <w:t xml:space="preserve"> (see Note 4). The valuation of the Noa Home reporting unit was primarily based on the market approach due to signficant uncertainty in the future cash flows of Noa Home. Under the income approach, we determine fair value based on the present value of the most recent cash flow projections for each reporting unit as of the date of the analysis and calculate a terminal value utilizing a terminal growth rate. The significant assumptions under this approach include, among others: income projections, which are dependent on future sales, new product introductions, customer behavior, competitor pricing, operating expenses, the discount rate, and the terminal growth rate. The cash flows used to determine fair value are dependent on a number of significant management assumptions such as our expectations of future performance and the expected future economic environment, which are partly based upon our historical experience. Our estimates are subject to change given the inherent uncertainty in predicting future results. Additionally, the discount rate and the terminal growth rate are based on our judgment of the rates that would be utilized by a hypothetical market participant. As part of the goodwill impairment testing, we also consider our market capitalization in assessing the reasonableness of the combined fair values estimated for our reporting units.</w:t>
      </w:r>
    </w:p>
    <w:p>
      <w:pPr>
        <w:spacing w:after="0" w:line="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940"/>
          </w:cols>
          <w:pgMar w:left="1160" w:top="925" w:right="1140" w:bottom="175"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carrying amounts of goodwill by reportable segment were as follows:</w:t>
      </w: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Corporate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4"/>
        </w:trPr>
        <w:tc>
          <w:tcPr>
            <w:tcW w:w="3960" w:type="dxa"/>
            <w:vAlign w:val="bottom"/>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Wholesale</w:t>
            </w:r>
          </w:p>
        </w:tc>
        <w:tc>
          <w:tcPr>
            <w:tcW w:w="220" w:type="dxa"/>
            <w:vAlign w:val="bottom"/>
            <w:gridSpan w:val="3"/>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Retail</w:t>
            </w:r>
          </w:p>
        </w:tc>
        <w:tc>
          <w:tcPr>
            <w:tcW w:w="1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and Other</w:t>
            </w:r>
          </w:p>
        </w:tc>
        <w:tc>
          <w:tcPr>
            <w:tcW w:w="220" w:type="dxa"/>
            <w:vAlign w:val="bottom"/>
            <w:gridSpan w:val="2"/>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80" w:type="dxa"/>
            <w:vAlign w:val="bottom"/>
          </w:tcPr>
          <w:p>
            <w:pPr>
              <w:spacing w:after="0"/>
              <w:rPr>
                <w:sz w:val="22"/>
                <w:szCs w:val="22"/>
                <w:color w:val="auto"/>
              </w:rPr>
            </w:pPr>
          </w:p>
        </w:tc>
      </w:tr>
      <w:tr>
        <w:trPr>
          <w:trHeight w:val="436"/>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November 27, 2021</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7,217</w:t>
            </w:r>
          </w:p>
        </w:tc>
      </w:tr>
      <w:tr>
        <w:trPr>
          <w:trHeight w:val="229"/>
        </w:trPr>
        <w:tc>
          <w:tcPr>
            <w:tcW w:w="3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Acquisition of Noa Home</w:t>
            </w: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5,715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5,715</w:t>
            </w:r>
          </w:p>
        </w:tc>
      </w:tr>
      <w:tr>
        <w:trPr>
          <w:trHeight w:val="250"/>
        </w:trPr>
        <w:tc>
          <w:tcPr>
            <w:tcW w:w="3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(161 )</w:t>
            </w:r>
          </w:p>
        </w:tc>
      </w:tr>
      <w:tr>
        <w:trPr>
          <w:trHeight w:val="20"/>
        </w:trPr>
        <w:tc>
          <w:tcPr>
            <w:tcW w:w="3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6"/>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November 26, 2022</w:t>
            </w:r>
          </w:p>
        </w:tc>
        <w:tc>
          <w:tcPr>
            <w:tcW w:w="3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5,554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12,771</w:t>
            </w:r>
          </w:p>
        </w:tc>
      </w:tr>
      <w:tr>
        <w:trPr>
          <w:trHeight w:val="229"/>
        </w:trPr>
        <w:tc>
          <w:tcPr>
            <w:tcW w:w="3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(145)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(145 )</w:t>
            </w:r>
          </w:p>
        </w:tc>
      </w:tr>
      <w:tr>
        <w:trPr>
          <w:trHeight w:val="250"/>
        </w:trPr>
        <w:tc>
          <w:tcPr>
            <w:tcW w:w="39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Full impairment of Noa Home goodwill</w:t>
            </w: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(5,409)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(5,409 )</w:t>
            </w:r>
          </w:p>
        </w:tc>
      </w:tr>
      <w:tr>
        <w:trPr>
          <w:trHeight w:val="20"/>
        </w:trPr>
        <w:tc>
          <w:tcPr>
            <w:tcW w:w="3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8"/>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November 25, 2023</w:t>
            </w:r>
          </w:p>
        </w:tc>
        <w:tc>
          <w:tcPr>
            <w:tcW w:w="3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9"/>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7,217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680"/>
              <w:spacing w:after="0"/>
              <w:rPr>
                <w:sz w:val="20"/>
                <w:szCs w:val="20"/>
                <w:color w:val="auto"/>
              </w:rPr>
            </w:pPr>
            <w:r>
              <w:rPr>
                <w:rFonts w:ascii="Times New Roman" w:cs="Times New Roman" w:eastAsia="Times New Roman" w:hAnsi="Times New Roman"/>
                <w:sz w:val="20"/>
                <w:szCs w:val="20"/>
                <w:color w:val="auto"/>
                <w:w w:val="79"/>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7,217</w:t>
            </w:r>
          </w:p>
        </w:tc>
      </w:tr>
      <w:tr>
        <w:trPr>
          <w:trHeight w:val="20"/>
        </w:trPr>
        <w:tc>
          <w:tcPr>
            <w:tcW w:w="3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Accumulated impairment losses were $9,306, $3,897 and $3,897 at November 25, 2023, November 26, 2022 and November 27, 2021, respectively.</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weighted average useful lives of our finite-lived intangible assets and remaining amortization periods as of November 25, 2023 are as follows:</w:t>
      </w:r>
    </w:p>
    <w:p>
      <w:pPr>
        <w:spacing w:after="0" w:line="153" w:lineRule="exact"/>
        <w:rPr>
          <w:sz w:val="20"/>
          <w:szCs w:val="20"/>
          <w:color w:val="auto"/>
        </w:rPr>
      </w:pPr>
    </w:p>
    <w:tbl>
      <w:tblPr>
        <w:tblLayout w:type="fixed"/>
        <w:tblInd w:w="176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r>
      <w:tr>
        <w:trPr>
          <w:trHeight w:val="229"/>
        </w:trPr>
        <w:tc>
          <w:tcPr>
            <w:tcW w:w="3060" w:type="dxa"/>
            <w:vAlign w:val="bottom"/>
          </w:tcPr>
          <w:p>
            <w:pPr>
              <w:spacing w:after="0"/>
              <w:rPr>
                <w:sz w:val="19"/>
                <w:szCs w:val="19"/>
                <w:color w:val="auto"/>
              </w:rPr>
            </w:pPr>
          </w:p>
        </w:tc>
        <w:tc>
          <w:tcPr>
            <w:tcW w:w="1320" w:type="dxa"/>
            <w:vAlign w:val="bottom"/>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rPr>
              <w:t>Useful Life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Amortization</w:t>
            </w:r>
          </w:p>
        </w:tc>
      </w:tr>
      <w:tr>
        <w:trPr>
          <w:trHeight w:val="254"/>
        </w:trPr>
        <w:tc>
          <w:tcPr>
            <w:tcW w:w="3060" w:type="dxa"/>
            <w:vAlign w:val="bottom"/>
          </w:tcPr>
          <w:p>
            <w:pPr>
              <w:spacing w:after="0"/>
              <w:rPr>
                <w:sz w:val="22"/>
                <w:szCs w:val="22"/>
                <w:color w:val="auto"/>
              </w:rPr>
            </w:pPr>
          </w:p>
        </w:tc>
        <w:tc>
          <w:tcPr>
            <w:tcW w:w="1320" w:type="dxa"/>
            <w:vAlign w:val="bottom"/>
            <w:tcBorders>
              <w:bottom w:val="single" w:sz="8" w:color="auto"/>
            </w:tcBorders>
          </w:tcPr>
          <w:p>
            <w:pPr>
              <w:jc w:val="center"/>
              <w:ind w:left="100"/>
              <w:spacing w:after="0"/>
              <w:rPr>
                <w:sz w:val="20"/>
                <w:szCs w:val="20"/>
                <w:color w:val="auto"/>
              </w:rPr>
            </w:pPr>
            <w:r>
              <w:rPr>
                <w:rFonts w:ascii="Times New Roman" w:cs="Times New Roman" w:eastAsia="Times New Roman" w:hAnsi="Times New Roman"/>
                <w:sz w:val="20"/>
                <w:szCs w:val="20"/>
                <w:b w:val="1"/>
                <w:bCs w:val="1"/>
                <w:color w:val="auto"/>
              </w:rPr>
              <w:t>in Years</w:t>
            </w:r>
          </w:p>
        </w:tc>
        <w:tc>
          <w:tcPr>
            <w:tcW w:w="20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Period in Years</w:t>
            </w:r>
          </w:p>
        </w:tc>
      </w:tr>
      <w:tr>
        <w:trPr>
          <w:trHeight w:val="472"/>
        </w:trPr>
        <w:tc>
          <w:tcPr>
            <w:tcW w:w="4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Customer relationships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9</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bl>
    <w:p>
      <w:pPr>
        <w:spacing w:after="0" w:line="19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Our trade name intangible assets are associated with Noa Home and Lane Venture. Because it is our intention to maintain and grow those brands, they are considered to be indefinite-lived intangible assets. The amortization expense associated with finite-lived intangible assets during fiscal 2023, 2022 and 2021 was $57 each year and is included in selling, general and administrative expense in our consolidated statement of operations. All expense arising from the amortization of intangible assets is associated with our wholesale segment. Estimated future amortization expense for intangible assets that exist at November 25, 2023 is as follows:</w:t>
      </w:r>
    </w:p>
    <w:p>
      <w:pPr>
        <w:spacing w:after="0" w:line="19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Fiscal 2024</w:t>
            </w:r>
          </w:p>
        </w:tc>
        <w:tc>
          <w:tcPr>
            <w:tcW w:w="540" w:type="dxa"/>
            <w:vAlign w:val="bottom"/>
          </w:tcPr>
          <w:p>
            <w:pPr>
              <w:jc w:val="right"/>
              <w:ind w:right="320"/>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Fiscal 2025</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Fiscal 2026</w:t>
            </w:r>
          </w:p>
        </w:tc>
        <w:tc>
          <w:tcPr>
            <w:tcW w:w="5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Fiscal 2027</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r>
      <w:tr>
        <w:trPr>
          <w:trHeight w:val="250"/>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Fiscal 2028</w:t>
            </w:r>
          </w:p>
        </w:tc>
        <w:tc>
          <w:tcPr>
            <w:tcW w:w="5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58"/>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5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r>
      <w:tr>
        <w:trPr>
          <w:trHeight w:val="20"/>
        </w:trPr>
        <w:tc>
          <w:tcPr>
            <w:tcW w:w="4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Bank Credit Facility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Bank Credit Facility</w:t>
      </w:r>
    </w:p>
    <w:p>
      <w:pPr>
        <w:spacing w:after="0" w:line="23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Our bank credit facility provides for a line of credit of up to $25,000. At November 25, 2023, we had $3,731 outstanding under standby letters of credit against our line, leaving availability under our credit line of $21,269. The line bears interest at the One-Month Term Secured Overnight Financing Rate (“One-Month Term SOFR”) plus 1.5% and is unsecured. Our bank charges a fee of 0.25% on the daily unused balance of the line, payable quarterly. Under the terms of the facility, we must maintain the following financial covenants, measured quarterly on a rolling twelve-month basis:</w:t>
      </w:r>
    </w:p>
    <w:p>
      <w:pPr>
        <w:spacing w:after="0" w:line="49" w:lineRule="exact"/>
        <w:rPr>
          <w:sz w:val="20"/>
          <w:szCs w:val="20"/>
          <w:color w:val="auto"/>
        </w:rPr>
      </w:pPr>
    </w:p>
    <w:p>
      <w:pPr>
        <w:ind w:left="760" w:hanging="389"/>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 coverage ratio of not less than 1.4 times,</w:t>
      </w:r>
    </w:p>
    <w:p>
      <w:pPr>
        <w:spacing w:after="0" w:line="137" w:lineRule="exact"/>
        <w:rPr>
          <w:rFonts w:ascii="Times New Roman" w:cs="Times New Roman" w:eastAsia="Times New Roman" w:hAnsi="Times New Roman"/>
          <w:sz w:val="20"/>
          <w:szCs w:val="20"/>
          <w:color w:val="auto"/>
        </w:rPr>
      </w:pPr>
    </w:p>
    <w:p>
      <w:pPr>
        <w:ind w:left="760" w:hanging="389"/>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lease-adjusted leverage ratio not to exceed 3.0 times, and</w:t>
      </w:r>
    </w:p>
    <w:p>
      <w:pPr>
        <w:spacing w:after="0" w:line="92" w:lineRule="exact"/>
        <w:rPr>
          <w:rFonts w:ascii="Times New Roman" w:cs="Times New Roman" w:eastAsia="Times New Roman" w:hAnsi="Times New Roman"/>
          <w:sz w:val="20"/>
          <w:szCs w:val="20"/>
          <w:color w:val="auto"/>
        </w:rPr>
      </w:pPr>
    </w:p>
    <w:p>
      <w:pPr>
        <w:ind w:left="760" w:hanging="389"/>
        <w:spacing w:after="0"/>
        <w:tabs>
          <w:tab w:leader="none" w:pos="76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tangible net worth of $140,000.</w:t>
      </w: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940"/>
          </w:cols>
          <w:pgMar w:left="1160" w:top="925" w:right="1140" w:bottom="175"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Due to our results of operations in 2023, we were not in compliance with certain of these covenants at the end of the year. Consequently, our bank agreed to reduce the consolidated fixed charge coverage ratio to 1.0 times and increase the consolidated lease-adjusted leverage ratio to 3.75 times, as defined, for the year ended November 25, 2023 and the quarter ended March 2, 2024. We were in compliance with the amended covenants at November 25, 2023 and expect to be in compliance at March 2, 2024. The respective ratios revert back to the previous values for the quarter ended June 1, 2024. We are in negotiations with our bank and plan to have an amended, restated or new agreement with a similar line of credit in place by the end of the second quarter of 2024.</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Total interest paid during fiscal 2023, 2022 and 2021 was not material.</w:t>
      </w:r>
    </w:p>
    <w:p>
      <w:pPr>
        <w:spacing w:after="0" w:line="200" w:lineRule="exact"/>
        <w:rPr>
          <w:sz w:val="20"/>
          <w:szCs w:val="20"/>
          <w:color w:val="auto"/>
        </w:rPr>
      </w:pPr>
    </w:p>
    <w:p>
      <w:pPr>
        <w:spacing w:after="0" w:line="256" w:lineRule="exact"/>
        <w:rPr>
          <w:sz w:val="20"/>
          <w:szCs w:val="20"/>
          <w:color w:val="auto"/>
        </w:rPr>
      </w:pPr>
    </w:p>
    <w:p>
      <w:pPr>
        <w:ind w:left="8" w:right="6420" w:hanging="8"/>
        <w:spacing w:after="0" w:line="482" w:lineRule="auto"/>
        <w:tabs>
          <w:tab w:leader="none" w:pos="309" w:val="left"/>
        </w:tabs>
        <w:numPr>
          <w:ilvl w:val="0"/>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Post-Employment Benefit Obligations </w:t>
      </w:r>
      <w:r>
        <w:rPr>
          <w:rFonts w:ascii="Times New Roman" w:cs="Times New Roman" w:eastAsia="Times New Roman" w:hAnsi="Times New Roman"/>
          <w:sz w:val="20"/>
          <w:szCs w:val="20"/>
          <w:b w:val="1"/>
          <w:bCs w:val="1"/>
          <w:u w:val="single" w:color="auto"/>
          <w:color w:val="auto"/>
        </w:rPr>
        <w:t>Management Savings Plan</w:t>
      </w:r>
    </w:p>
    <w:p>
      <w:pPr>
        <w:spacing w:after="0" w:line="1"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On May 1, 2017, our Board of Directors, upon the recommendation of the Organization, Compensation and Nominating Committee (the “Committee”), adopted the Bassett Furniture Industries, Incorporated Management Savings Plan (the “Plan”). The Plan is an unfunded, nonqualified deferred compensation plan maintained for the benefit of certain highly compensated or management level employees.</w:t>
      </w:r>
    </w:p>
    <w:p>
      <w:pPr>
        <w:spacing w:after="0" w:line="18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9"/>
          <w:szCs w:val="19"/>
          <w:color w:val="auto"/>
        </w:rPr>
        <w:t>The Plan is an account-based plan under which (i) participants may defer voluntarily the payment of current compensation to future years (“participant deferrals”) and (ii) the Company may make annual awards to participants payable in future years (“Company contributions”). The Plan permits each participant to defer up to 75% of base salary and up to 100% of any incentive compensation or other bonus, which amounts would be credited to a deferral account established for the participant. Such deferrals will be fully vested at the time of the deferral. Participant deferrals will be indexed to one or more deemed investment alternatives chosen by the participant from a range of alternatives made available under the Plan. Each participant’s account will be adjusted to reflect gains and losses based on the performance of the selected investment alternatives. A participant may receive distributions from the Plan: (1) upon separation from service, in either a lump sum or annual installment payments over up to a 15 year period, as elected by the participant, (2) upon death or disability, in a lump sum, or (3) on a date or dates specified by the participant (“scheduled distributions”) with such scheduled payments made in either a lump sum or substantially equal annual installments over a period of up to five years, as elected by the participant. Participant contributions commenced during the third quarter of fiscal 2017. Company contributions will vest in full (1) on the third anniversary of the date such amounts are credited to the participant’s account, (2) the date that the participant reaches age 63 or (3) upon death or disability. Company contributions are subject to the same rules described above regarding the crediting of gains or losses from deemed investments and the timing of distributions. Expense (credits) associated with deferred compensation under the Plan was $46, $(16) and $338 for fiscal 2023, 2022 and 2021, respectively. Our liability for Company contributions and participant deferrals at November 25, 2023 and November 26, 2022 was $2,661 and $2,070, respectively, and is included in post-employment benefit obligations in our consolidated balance sheets.</w:t>
      </w:r>
    </w:p>
    <w:p>
      <w:pPr>
        <w:spacing w:after="0" w:line="192"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20"/>
          <w:szCs w:val="20"/>
          <w:color w:val="auto"/>
        </w:rPr>
        <w:t>On May 2, 2017, we made Long Term Cash Awards (“LTC Awards”) totaling $2,000 under the Plan to certain management employees in the amount of $400 each. The LTC Awards vest in full on the first anniversary of the date of the award if the participant has reached age 63 by that time, or, if later, on the date the participant reaches age 63, provided in either instance that the participant is still employed by the Company at that time. If not previously vested, the awards will also vest immediately upon the death or disability of the participant prior to the participant’s separation from service. The awards will be payable in 10 equal annual installments following the participant’s death, disability or separation from service. We are accounting for the LTC Awards as a defined benefit pension plan. During fiscal 2023, 2022 and 2021, we invested $1,019, $853 and $647 in life insurance policies covering all participants in the Plan. At November 25, 2023, these policies have a net death benefit of $15,020 for which the Company is the sole beneficiary. These policies are intended to provide a potential source of funds to meet the obligations arising from the deferred compensation and LTC Awards under the Plan and serve as an economic hedge of the financial impact of changes in the liabilities. They are held in an irrevocable trust but are subject to claims of creditors in the event of the Company’s insolvency.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948"/>
          </w:cols>
          <w:pgMar w:left="1152" w:top="925" w:right="1140" w:bottom="175"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Supplemental Retirement Income Plan</w:t>
      </w:r>
    </w:p>
    <w:p>
      <w:pPr>
        <w:spacing w:after="0" w:line="23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have an unfunded Supplemental Retirement Income Plan (the “Supplemental Plan”) that covers one current and certain former executives. Upon retirement, the Supplemental Plan provides for lifetime monthly payments in an amount equal to 65% of the participant’s final average compensation as defined in the Supplemental Plan, which is reduced by certain social security benefits to be received and other benefits provided by us. The Supplemental Plan also provides a death benefit that is calculated as (a) prior to retirement death, which pays the beneficiary 50% of final average annual compensation for a period of 120 months, or (b) post-retirement death, which pays the beneficiary 200% of final average compensation in a single payment. We own life insurance policies on these executives with a current net death benefit of $1,504 at November 25, 2023 and we expect to substantially fund this death benefit through the proceeds received upon the death of the executive. Funding for the remaining cash flows is expected to be provided through operations. There are no benefits payable as a result of a termination of employment for any reason other than death or retirement, other than a change of control provision which provides for the immediate vesting and payment of the retirement benefit under the Supplemental Plan in the event of an employment termination resulting from a change of control.</w:t>
      </w:r>
    </w:p>
    <w:p>
      <w:pPr>
        <w:spacing w:after="0" w:line="19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Aggregated summarized information for the Supplemental Plan and the LTC Awards, measured as of the end of each year presented,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5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58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b w:val="1"/>
                <w:bCs w:val="1"/>
                <w:color w:val="auto"/>
              </w:rPr>
              <w:t>Change in Benefit Obligation:</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Projected benefit obligation at beginning of year</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7,262</w:t>
            </w: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10,740</w:t>
            </w:r>
          </w:p>
        </w:tc>
        <w:tc>
          <w:tcPr>
            <w:tcW w:w="0" w:type="dxa"/>
            <w:vAlign w:val="bottom"/>
          </w:tcPr>
          <w:p>
            <w:pPr>
              <w:spacing w:after="0"/>
              <w:rPr>
                <w:sz w:val="1"/>
                <w:szCs w:val="1"/>
                <w:color w:val="auto"/>
              </w:rPr>
            </w:pPr>
          </w:p>
        </w:tc>
      </w:tr>
      <w:tr>
        <w:trPr>
          <w:trHeight w:val="23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Service cost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Interest cost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370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231</w:t>
            </w:r>
          </w:p>
        </w:tc>
        <w:tc>
          <w:tcPr>
            <w:tcW w:w="0" w:type="dxa"/>
            <w:vAlign w:val="bottom"/>
          </w:tcPr>
          <w:p>
            <w:pPr>
              <w:spacing w:after="0"/>
              <w:rPr>
                <w:sz w:val="1"/>
                <w:szCs w:val="1"/>
                <w:color w:val="auto"/>
              </w:rPr>
            </w:pPr>
          </w:p>
        </w:tc>
      </w:tr>
      <w:tr>
        <w:trPr>
          <w:trHeight w:val="229"/>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Actuarial (gains) and losses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(2,503)</w:t>
            </w:r>
          </w:p>
        </w:tc>
        <w:tc>
          <w:tcPr>
            <w:tcW w:w="0" w:type="dxa"/>
            <w:vAlign w:val="bottom"/>
          </w:tcPr>
          <w:p>
            <w:pPr>
              <w:spacing w:after="0"/>
              <w:rPr>
                <w:sz w:val="1"/>
                <w:szCs w:val="1"/>
                <w:color w:val="auto"/>
              </w:rPr>
            </w:pPr>
          </w:p>
        </w:tc>
      </w:tr>
      <w:tr>
        <w:trPr>
          <w:trHeight w:val="25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Benefits paid</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(256)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(1,242)</w:t>
            </w:r>
          </w:p>
        </w:tc>
        <w:tc>
          <w:tcPr>
            <w:tcW w:w="0" w:type="dxa"/>
            <w:vAlign w:val="bottom"/>
          </w:tcPr>
          <w:p>
            <w:pPr>
              <w:spacing w:after="0"/>
              <w:rPr>
                <w:sz w:val="1"/>
                <w:szCs w:val="1"/>
                <w:color w:val="auto"/>
              </w:rPr>
            </w:pPr>
          </w:p>
        </w:tc>
      </w:tr>
      <w:tr>
        <w:trPr>
          <w:trHeight w:val="226"/>
        </w:trPr>
        <w:tc>
          <w:tcPr>
            <w:tcW w:w="65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Projected benefit obligation at end of year</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6,979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7,262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Accumulated Benefit Obligation</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580" w:type="dxa"/>
            <w:vAlign w:val="bottom"/>
            <w:gridSpan w:val="2"/>
            <w:vMerge w:val="continue"/>
          </w:tcPr>
          <w:p>
            <w:pPr>
              <w:spacing w:after="0"/>
              <w:rPr>
                <w:sz w:val="24"/>
                <w:szCs w:val="24"/>
                <w:color w:val="auto"/>
              </w:rPr>
            </w:pP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6,979</w:t>
            </w:r>
          </w:p>
        </w:tc>
        <w:tc>
          <w:tcPr>
            <w:tcW w:w="200" w:type="dxa"/>
            <w:vAlign w:val="bottom"/>
          </w:tcPr>
          <w:p>
            <w:pPr>
              <w:spacing w:after="0"/>
              <w:rPr>
                <w:sz w:val="24"/>
                <w:szCs w:val="24"/>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7,262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Discount rate used to value the ending benefit obligations: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5.92%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0" w:type="dxa"/>
            <w:vAlign w:val="bottom"/>
          </w:tcPr>
          <w:p>
            <w:pPr>
              <w:spacing w:after="0"/>
              <w:rPr>
                <w:sz w:val="1"/>
                <w:szCs w:val="1"/>
                <w:color w:val="auto"/>
              </w:rPr>
            </w:pPr>
          </w:p>
        </w:tc>
      </w:tr>
      <w:tr>
        <w:trPr>
          <w:trHeight w:val="419"/>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the consolidated balance sheet:</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Current liabilities</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719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698</w:t>
            </w:r>
          </w:p>
        </w:tc>
        <w:tc>
          <w:tcPr>
            <w:tcW w:w="0" w:type="dxa"/>
            <w:vAlign w:val="bottom"/>
          </w:tcPr>
          <w:p>
            <w:pPr>
              <w:spacing w:after="0"/>
              <w:rPr>
                <w:sz w:val="1"/>
                <w:szCs w:val="1"/>
                <w:color w:val="auto"/>
              </w:rPr>
            </w:pPr>
          </w:p>
        </w:tc>
      </w:tr>
      <w:tr>
        <w:trPr>
          <w:trHeight w:val="250"/>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Noncurrent liabilities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6,260</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6,564</w:t>
            </w:r>
          </w:p>
        </w:tc>
        <w:tc>
          <w:tcPr>
            <w:tcW w:w="0" w:type="dxa"/>
            <w:vAlign w:val="bottom"/>
          </w:tcPr>
          <w:p>
            <w:pPr>
              <w:spacing w:after="0"/>
              <w:rPr>
                <w:sz w:val="1"/>
                <w:szCs w:val="1"/>
                <w:color w:val="auto"/>
              </w:rPr>
            </w:pPr>
          </w:p>
        </w:tc>
      </w:tr>
      <w:tr>
        <w:trPr>
          <w:trHeight w:val="225"/>
        </w:trPr>
        <w:tc>
          <w:tcPr>
            <w:tcW w:w="6580" w:type="dxa"/>
            <w:vAlign w:val="bottom"/>
            <w:gridSpan w:val="2"/>
          </w:tcPr>
          <w:p>
            <w:pPr>
              <w:ind w:left="360"/>
              <w:spacing w:after="0" w:line="225" w:lineRule="exact"/>
              <w:rPr>
                <w:sz w:val="20"/>
                <w:szCs w:val="20"/>
                <w:color w:val="auto"/>
              </w:rPr>
            </w:pPr>
            <w:r>
              <w:rPr>
                <w:rFonts w:ascii="Times New Roman" w:cs="Times New Roman" w:eastAsia="Times New Roman" w:hAnsi="Times New Roman"/>
                <w:sz w:val="20"/>
                <w:szCs w:val="20"/>
                <w:color w:val="auto"/>
              </w:rPr>
              <w:t>Total amounts recognized</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gridSpan w:val="2"/>
          </w:tcPr>
          <w:p>
            <w:pPr>
              <w:jc w:val="right"/>
              <w:ind w:right="20"/>
              <w:spacing w:after="0" w:line="225" w:lineRule="exact"/>
              <w:rPr>
                <w:sz w:val="20"/>
                <w:szCs w:val="20"/>
                <w:color w:val="auto"/>
              </w:rPr>
            </w:pPr>
            <w:r>
              <w:rPr>
                <w:rFonts w:ascii="Times New Roman" w:cs="Times New Roman" w:eastAsia="Times New Roman" w:hAnsi="Times New Roman"/>
                <w:sz w:val="20"/>
                <w:szCs w:val="20"/>
                <w:color w:val="auto"/>
              </w:rPr>
              <w:t>6,979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7,262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Amounts recognized in accumulated other comprehensive income:</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5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Prior service cost</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103</w:t>
            </w:r>
          </w:p>
        </w:tc>
        <w:tc>
          <w:tcPr>
            <w:tcW w:w="20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50"/>
        </w:trPr>
        <w:tc>
          <w:tcPr>
            <w:tcW w:w="6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 loss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(965)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(543)</w:t>
            </w:r>
          </w:p>
        </w:tc>
        <w:tc>
          <w:tcPr>
            <w:tcW w:w="0" w:type="dxa"/>
            <w:vAlign w:val="bottom"/>
          </w:tcPr>
          <w:p>
            <w:pPr>
              <w:spacing w:after="0"/>
              <w:rPr>
                <w:sz w:val="1"/>
                <w:szCs w:val="1"/>
                <w:color w:val="auto"/>
              </w:rPr>
            </w:pPr>
          </w:p>
        </w:tc>
      </w:tr>
      <w:tr>
        <w:trPr>
          <w:trHeight w:val="225"/>
        </w:trPr>
        <w:tc>
          <w:tcPr>
            <w:tcW w:w="658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Net amount recognized</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(862)</w:t>
            </w: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Total recognized in net periodic benefit cost and accumulated other</w:t>
            </w: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580" w:type="dxa"/>
            <w:vAlign w:val="bottom"/>
            <w:gridSpan w:val="2"/>
          </w:tcPr>
          <w:p>
            <w:pPr>
              <w:ind w:left="180"/>
              <w:spacing w:after="0"/>
              <w:rPr>
                <w:sz w:val="20"/>
                <w:szCs w:val="20"/>
                <w:color w:val="auto"/>
              </w:rPr>
            </w:pPr>
            <w:r>
              <w:rPr>
                <w:rFonts w:ascii="Times New Roman" w:cs="Times New Roman" w:eastAsia="Times New Roman" w:hAnsi="Times New Roman"/>
                <w:sz w:val="20"/>
                <w:szCs w:val="20"/>
                <w:b w:val="1"/>
                <w:bCs w:val="1"/>
                <w:color w:val="auto"/>
              </w:rPr>
              <w:t>comprehensive income:</w:t>
            </w:r>
          </w:p>
        </w:tc>
        <w:tc>
          <w:tcPr>
            <w:tcW w:w="300" w:type="dxa"/>
            <w:vAlign w:val="bottom"/>
            <w:gridSpan w:val="2"/>
          </w:tcPr>
          <w:p>
            <w:pPr>
              <w:jc w:val="right"/>
              <w:ind w:right="115"/>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(2,236)</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940"/>
          </w:cols>
          <w:pgMar w:left="1160" w:top="925" w:right="1140" w:bottom="175"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7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2021</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6"/>
        </w:trPr>
        <w:tc>
          <w:tcPr>
            <w:tcW w:w="4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Components of Net Periodic Pension Cost:</w:t>
            </w:r>
          </w:p>
        </w:tc>
        <w:tc>
          <w:tcPr>
            <w:tcW w:w="1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Service cost</w:t>
            </w:r>
          </w:p>
        </w:tc>
        <w:tc>
          <w:tcPr>
            <w:tcW w:w="120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240" w:type="dxa"/>
            <w:vAlign w:val="bottom"/>
          </w:tcPr>
          <w:p>
            <w:pPr>
              <w:spacing w:after="0"/>
              <w:rPr>
                <w:sz w:val="19"/>
                <w:szCs w:val="19"/>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36</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Interest cost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231</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196</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prior service cost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125</w:t>
            </w: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126</w:t>
            </w: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other loss</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133</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59</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Net periodic pension cost</w:t>
            </w: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4700" w:type="dxa"/>
            <w:vAlign w:val="bottom"/>
            <w:vMerge w:val="continue"/>
          </w:tcPr>
          <w:p>
            <w:pPr>
              <w:spacing w:after="0"/>
              <w:rPr>
                <w:sz w:val="24"/>
                <w:szCs w:val="24"/>
                <w:color w:val="auto"/>
              </w:rPr>
            </w:pPr>
          </w:p>
        </w:tc>
        <w:tc>
          <w:tcPr>
            <w:tcW w:w="120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w:t>
            </w:r>
          </w:p>
        </w:tc>
        <w:tc>
          <w:tcPr>
            <w:tcW w:w="24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526</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502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Assumptions used to determine net periodic pension</w:t>
            </w: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4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cost:</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Discount rate</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5.38 %</w:t>
            </w:r>
          </w:p>
        </w:tc>
        <w:tc>
          <w:tcPr>
            <w:tcW w:w="320" w:type="dxa"/>
            <w:vAlign w:val="bottom"/>
          </w:tcPr>
          <w:p>
            <w:pPr>
              <w:spacing w:after="0"/>
              <w:rPr>
                <w:sz w:val="20"/>
                <w:szCs w:val="20"/>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2.25%</w:t>
            </w:r>
          </w:p>
        </w:tc>
        <w:tc>
          <w:tcPr>
            <w:tcW w:w="3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0" w:type="dxa"/>
            <w:vAlign w:val="bottom"/>
          </w:tcPr>
          <w:p>
            <w:pPr>
              <w:spacing w:after="0"/>
              <w:rPr>
                <w:sz w:val="1"/>
                <w:szCs w:val="1"/>
                <w:color w:val="auto"/>
              </w:rPr>
            </w:pPr>
          </w:p>
        </w:tc>
      </w:tr>
      <w:tr>
        <w:trPr>
          <w:trHeight w:val="267"/>
        </w:trPr>
        <w:tc>
          <w:tcPr>
            <w:tcW w:w="4700" w:type="dxa"/>
            <w:vAlign w:val="bottom"/>
          </w:tcPr>
          <w:p>
            <w:pPr>
              <w:spacing w:after="0"/>
              <w:rPr>
                <w:sz w:val="20"/>
                <w:szCs w:val="20"/>
                <w:color w:val="auto"/>
              </w:rPr>
            </w:pPr>
            <w:r>
              <w:rPr>
                <w:rFonts w:ascii="Times New Roman" w:cs="Times New Roman" w:eastAsia="Times New Roman" w:hAnsi="Times New Roman"/>
                <w:sz w:val="20"/>
                <w:szCs w:val="20"/>
                <w:color w:val="auto"/>
              </w:rPr>
              <w:t>Increase in future compensation levels</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3.00 %</w:t>
            </w:r>
          </w:p>
        </w:tc>
        <w:tc>
          <w:tcPr>
            <w:tcW w:w="320" w:type="dxa"/>
            <w:vAlign w:val="bottom"/>
          </w:tcPr>
          <w:p>
            <w:pPr>
              <w:spacing w:after="0"/>
              <w:rPr>
                <w:sz w:val="23"/>
                <w:szCs w:val="23"/>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3.00%</w:t>
            </w:r>
          </w:p>
        </w:tc>
        <w:tc>
          <w:tcPr>
            <w:tcW w:w="32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0" w:type="dxa"/>
            <w:vAlign w:val="bottom"/>
          </w:tcPr>
          <w:p>
            <w:pPr>
              <w:spacing w:after="0"/>
              <w:rPr>
                <w:sz w:val="1"/>
                <w:szCs w:val="1"/>
                <w:color w:val="auto"/>
              </w:rPr>
            </w:pPr>
          </w:p>
        </w:tc>
      </w:tr>
      <w:tr>
        <w:trPr>
          <w:trHeight w:val="423"/>
        </w:trPr>
        <w:tc>
          <w:tcPr>
            <w:tcW w:w="4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Estimated Future Benefit Payments (with mortality):</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2024</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759</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2025</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722</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2026</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765</w:t>
            </w:r>
          </w:p>
        </w:tc>
        <w:tc>
          <w:tcPr>
            <w:tcW w:w="0" w:type="dxa"/>
            <w:vAlign w:val="bottom"/>
          </w:tcPr>
          <w:p>
            <w:pPr>
              <w:spacing w:after="0"/>
              <w:rPr>
                <w:sz w:val="1"/>
                <w:szCs w:val="1"/>
                <w:color w:val="auto"/>
              </w:rPr>
            </w:pPr>
          </w:p>
        </w:tc>
      </w:tr>
      <w:tr>
        <w:trPr>
          <w:trHeight w:val="229"/>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2027</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769</w:t>
            </w:r>
          </w:p>
        </w:tc>
        <w:tc>
          <w:tcPr>
            <w:tcW w:w="0" w:type="dxa"/>
            <w:vAlign w:val="bottom"/>
          </w:tcPr>
          <w:p>
            <w:pPr>
              <w:spacing w:after="0"/>
              <w:rPr>
                <w:sz w:val="1"/>
                <w:szCs w:val="1"/>
                <w:color w:val="auto"/>
              </w:rPr>
            </w:pPr>
          </w:p>
        </w:tc>
      </w:tr>
      <w:tr>
        <w:trPr>
          <w:trHeight w:val="230"/>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2028</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733</w:t>
            </w:r>
          </w:p>
        </w:tc>
        <w:tc>
          <w:tcPr>
            <w:tcW w:w="0" w:type="dxa"/>
            <w:vAlign w:val="bottom"/>
          </w:tcPr>
          <w:p>
            <w:pPr>
              <w:spacing w:after="0"/>
              <w:rPr>
                <w:sz w:val="1"/>
                <w:szCs w:val="1"/>
                <w:color w:val="auto"/>
              </w:rPr>
            </w:pPr>
          </w:p>
        </w:tc>
      </w:tr>
      <w:tr>
        <w:trPr>
          <w:trHeight w:val="267"/>
        </w:trPr>
        <w:tc>
          <w:tcPr>
            <w:tcW w:w="47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Fiscal 2029 through 2033</w:t>
            </w: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3,078</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Of the $862 net gain recognized in accumulated other comprehensive income at November 26, 2022, amounts expected to be recognized as components of net periodic pension cost during fiscal 2024 are as follows:</w:t>
      </w:r>
    </w:p>
    <w:p>
      <w:pPr>
        <w:spacing w:after="0" w:line="103" w:lineRule="exact"/>
        <w:rPr>
          <w:sz w:val="20"/>
          <w:szCs w:val="20"/>
          <w:color w:val="auto"/>
        </w:rPr>
      </w:pPr>
    </w:p>
    <w:tbl>
      <w:tblPr>
        <w:tblLayout w:type="fixed"/>
        <w:tblInd w:w="1100" w:type="dxa"/>
        <w:tblCellMar>
          <w:top w:w="0" w:type="dxa"/>
          <w:left w:w="0" w:type="dxa"/>
          <w:bottom w:w="0" w:type="dxa"/>
          <w:right w:w="0" w:type="dxa"/>
        </w:tblCellMar>
      </w:tblPr>
      <w:tr>
        <w:trPr>
          <w:trHeight w:val="260"/>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Prior service cost</w:t>
            </w:r>
          </w:p>
        </w:tc>
        <w:tc>
          <w:tcPr>
            <w:tcW w:w="600" w:type="dxa"/>
            <w:vAlign w:val="bottom"/>
          </w:tcPr>
          <w:p>
            <w:pPr>
              <w:jc w:val="right"/>
              <w:ind w:right="3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0" w:type="dxa"/>
            <w:vAlign w:val="bottom"/>
          </w:tcPr>
          <w:p>
            <w:pPr>
              <w:spacing w:after="0"/>
              <w:rPr>
                <w:sz w:val="22"/>
                <w:szCs w:val="22"/>
                <w:color w:val="auto"/>
              </w:rPr>
            </w:pPr>
          </w:p>
        </w:tc>
      </w:tr>
      <w:tr>
        <w:trPr>
          <w:trHeight w:val="264"/>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loss</w:t>
            </w:r>
          </w:p>
        </w:tc>
        <w:tc>
          <w:tcPr>
            <w:tcW w:w="60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(64 )</w:t>
            </w:r>
          </w:p>
        </w:tc>
      </w:tr>
      <w:tr>
        <w:trPr>
          <w:trHeight w:val="434"/>
        </w:trPr>
        <w:tc>
          <w:tcPr>
            <w:tcW w:w="6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expected to be amortized to net periodic pension cost in 2024</w:t>
            </w:r>
          </w:p>
        </w:tc>
        <w:tc>
          <w:tcPr>
            <w:tcW w:w="60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w:t>
            </w:r>
          </w:p>
        </w:tc>
        <w:tc>
          <w:tcPr>
            <w:tcW w:w="80" w:type="dxa"/>
            <w:vAlign w:val="bottom"/>
          </w:tcPr>
          <w:p>
            <w:pPr>
              <w:spacing w:after="0"/>
              <w:rPr>
                <w:sz w:val="24"/>
                <w:szCs w:val="24"/>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0"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color w:val="auto"/>
        </w:rPr>
        <w:t>The components of net periodic pension cost other than the service cost component are included in other loss, net in our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Deferred Compensation Plan</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have an unfunded Deferred Compensation Plan that covers one current and certain former executives and provides for voluntary deferral of compensation. This plan has been frozen with no additional participants or benefits permitted. We recognized expense of $204, $154, and $204 in fiscal 2023, 2022, and 2021, respectively, associated with the plan. Our liability under this plan was $1,655 and $1,616 as of November 25, 2023 and November 26, 2022, respectively. The non-current portion of this obligation is included in post-employment benefit obligations in our consolidated balance sheets, with the current portion included in accrued compensation and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Defined Contribution Plan</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have a qualified defined contribution plan (Employee Savings/Retirement Plan) that covers substantially all employees who elect to participate and have fulfilled the necessary service requirements. Employee contributions to the Plan are matched at the rate of 25% of up to 8% of gross pay, regardless of years of service. Expense for employer matching contributions was $998, $1,108 and $1,040 during fiscal 2023,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940"/>
          </w:cols>
          <w:pgMar w:left="1160" w:top="925" w:right="1140" w:bottom="175"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Accumulated Other Comprehensive Income (Loss)</w:t>
      </w:r>
    </w:p>
    <w:p>
      <w:pPr>
        <w:spacing w:after="0" w:line="2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activity in accumulated other comprehensive income (loss) for the fiscal years ended November 25, 2023 and November 26, 2022, which is comprised of post-retirement benefit costs related to our SERP and LTC Awards as well as cumulative translation adjustments arising from our investment in Noa Home, is as follows:</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Balance at November 27, 2021</w:t>
            </w:r>
          </w:p>
        </w:tc>
        <w:tc>
          <w:tcPr>
            <w:tcW w:w="5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(1,823)</w:t>
            </w:r>
          </w:p>
        </w:tc>
      </w:tr>
      <w:tr>
        <w:trPr>
          <w:trHeight w:val="229"/>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gains</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2,503</w:t>
            </w:r>
          </w:p>
        </w:tc>
        <w:tc>
          <w:tcPr>
            <w:tcW w:w="60" w:type="dxa"/>
            <w:vAlign w:val="bottom"/>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pension amortization reclassified from accumulated other comprehensive loss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60" w:type="dxa"/>
            <w:vAlign w:val="bottom"/>
          </w:tcPr>
          <w:p>
            <w:pPr>
              <w:spacing w:after="0"/>
              <w:rPr>
                <w:sz w:val="20"/>
                <w:szCs w:val="20"/>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5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(272)</w:t>
            </w:r>
          </w:p>
        </w:tc>
      </w:tr>
      <w:tr>
        <w:trPr>
          <w:trHeight w:val="25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effects</w:t>
            </w:r>
          </w:p>
        </w:tc>
        <w:tc>
          <w:tcPr>
            <w:tcW w:w="5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w:t>
            </w:r>
          </w:p>
        </w:tc>
      </w:tr>
      <w:tr>
        <w:trPr>
          <w:trHeight w:val="205"/>
        </w:trPr>
        <w:tc>
          <w:tcPr>
            <w:tcW w:w="708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Balance at November 26, 2022</w:t>
            </w: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50</w:t>
            </w:r>
          </w:p>
        </w:tc>
        <w:tc>
          <w:tcPr>
            <w:tcW w:w="60" w:type="dxa"/>
            <w:vAlign w:val="bottom"/>
          </w:tcPr>
          <w:p>
            <w:pPr>
              <w:spacing w:after="0"/>
              <w:rPr>
                <w:sz w:val="17"/>
                <w:szCs w:val="17"/>
                <w:color w:val="auto"/>
              </w:rPr>
            </w:pPr>
          </w:p>
        </w:tc>
      </w:tr>
      <w:tr>
        <w:trPr>
          <w:trHeight w:val="229"/>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Actuarial gains</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60" w:type="dxa"/>
            <w:vAlign w:val="bottom"/>
          </w:tcPr>
          <w:p>
            <w:pPr>
              <w:spacing w:after="0"/>
              <w:rPr>
                <w:sz w:val="19"/>
                <w:szCs w:val="19"/>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pension amortization reclassified from accumulated other comprehensive loss</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0"/>
                <w:szCs w:val="20"/>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5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(378)</w:t>
            </w:r>
          </w:p>
        </w:tc>
      </w:tr>
      <w:tr>
        <w:trPr>
          <w:trHeight w:val="25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effects</w:t>
            </w:r>
          </w:p>
        </w:tc>
        <w:tc>
          <w:tcPr>
            <w:tcW w:w="54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6"/>
        </w:trPr>
        <w:tc>
          <w:tcPr>
            <w:tcW w:w="7080" w:type="dxa"/>
            <w:vAlign w:val="bottom"/>
            <w:gridSpan w:val="2"/>
          </w:tcPr>
          <w:p>
            <w:pPr>
              <w:spacing w:after="0" w:line="226" w:lineRule="exact"/>
              <w:rPr>
                <w:sz w:val="20"/>
                <w:szCs w:val="20"/>
                <w:color w:val="auto"/>
              </w:rPr>
            </w:pPr>
            <w:r>
              <w:rPr>
                <w:rFonts w:ascii="Times New Roman" w:cs="Times New Roman" w:eastAsia="Times New Roman" w:hAnsi="Times New Roman"/>
                <w:sz w:val="20"/>
                <w:szCs w:val="20"/>
                <w:color w:val="auto"/>
              </w:rPr>
              <w:t>Balance at November 25, 2023</w:t>
            </w:r>
          </w:p>
        </w:tc>
        <w:tc>
          <w:tcPr>
            <w:tcW w:w="540" w:type="dxa"/>
            <w:vAlign w:val="bottom"/>
            <w:tcBorders>
              <w:top w:val="single" w:sz="8" w:color="auto"/>
            </w:tcBorders>
          </w:tcPr>
          <w:p>
            <w:pPr>
              <w:jc w:val="right"/>
              <w:ind w:right="34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152</w:t>
            </w:r>
          </w:p>
        </w:tc>
        <w:tc>
          <w:tcPr>
            <w:tcW w:w="6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Capital Stock and Stock Compensation</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We account for our stock-based employee and director compensation plans in accordance with ASC 718,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i w:val="1"/>
          <w:iCs w:val="1"/>
          <w:color w:val="auto"/>
        </w:rPr>
        <w:t>Stock Compensation</w:t>
      </w:r>
      <w:r>
        <w:rPr>
          <w:rFonts w:ascii="Times New Roman" w:cs="Times New Roman" w:eastAsia="Times New Roman" w:hAnsi="Times New Roman"/>
          <w:sz w:val="20"/>
          <w:szCs w:val="20"/>
          <w:color w:val="auto"/>
        </w:rPr>
        <w:t>. ASC 718 requires recognition of the cost of employee services received in exchange for an award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equity instruments in the financial statements over the period the employee is required to perform the services in exchange for the award (presumptively the vesting period) which we recognize on a straight-line basis. Compensation expense related to restricted stock and stock options included in selling, general and administrative expenses in our consolidated statements of operations for fiscal 2023, 2022 and 2021 was as follows:</w:t>
      </w:r>
    </w:p>
    <w:p>
      <w:pPr>
        <w:spacing w:after="0" w:line="186" w:lineRule="exact"/>
        <w:rPr>
          <w:sz w:val="20"/>
          <w:szCs w:val="20"/>
          <w:color w:val="auto"/>
        </w:rPr>
      </w:pPr>
    </w:p>
    <w:p>
      <w:pPr>
        <w:ind w:left="5120"/>
        <w:spacing w:after="0"/>
        <w:tabs>
          <w:tab w:leader="none" w:pos="6380" w:val="left"/>
          <w:tab w:leader="none" w:pos="7680" w:val="left"/>
        </w:tabs>
        <w:rPr>
          <w:sz w:val="20"/>
          <w:szCs w:val="20"/>
          <w:color w:val="auto"/>
        </w:rPr>
      </w:pPr>
      <w:r>
        <w:rPr>
          <w:rFonts w:ascii="Times New Roman" w:cs="Times New Roman" w:eastAsia="Times New Roman" w:hAnsi="Times New Roman"/>
          <w:sz w:val="20"/>
          <w:szCs w:val="20"/>
          <w:b w:val="1"/>
          <w:bCs w:val="1"/>
          <w:color w:val="auto"/>
        </w:rPr>
        <w:t>2023</w:t>
      </w:r>
      <w:r>
        <w:rPr>
          <w:sz w:val="20"/>
          <w:szCs w:val="20"/>
          <w:color w:val="auto"/>
        </w:rPr>
        <w:tab/>
      </w:r>
      <w:r>
        <w:rPr>
          <w:rFonts w:ascii="Times New Roman" w:cs="Times New Roman" w:eastAsia="Times New Roman" w:hAnsi="Times New Roman"/>
          <w:sz w:val="20"/>
          <w:szCs w:val="20"/>
          <w:b w:val="1"/>
          <w:bCs w:val="1"/>
          <w:color w:val="auto"/>
        </w:rPr>
        <w:t>2022</w:t>
      </w:r>
      <w:r>
        <w:rPr>
          <w:sz w:val="20"/>
          <w:szCs w:val="20"/>
          <w:color w:val="auto"/>
        </w:rPr>
        <w:tab/>
      </w:r>
      <w:r>
        <w:rPr>
          <w:rFonts w:ascii="Times New Roman" w:cs="Times New Roman" w:eastAsia="Times New Roman" w:hAnsi="Times New Roman"/>
          <w:sz w:val="20"/>
          <w:szCs w:val="20"/>
          <w:b w:val="1"/>
          <w:bCs w:val="1"/>
          <w:color w:val="auto"/>
        </w:rPr>
        <w:t>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3001010</wp:posOffset>
                </wp:positionH>
                <wp:positionV relativeFrom="paragraph">
                  <wp:posOffset>19685</wp:posOffset>
                </wp:positionV>
                <wp:extent cx="74358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358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3pt,1.55pt" to="294.85pt,1.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3824605</wp:posOffset>
                </wp:positionH>
                <wp:positionV relativeFrom="paragraph">
                  <wp:posOffset>19685</wp:posOffset>
                </wp:positionV>
                <wp:extent cx="74422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422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1.15pt,1.55pt" to="359.75pt,1.55pt" o:allowincell="f" strokecolor="#000000" strokeweight="0.72pt"/>
            </w:pict>
          </mc:Fallback>
        </mc:AlternateContent>
        <mc:AlternateContent>
          <mc:Choice Requires="wps">
            <w:drawing>
              <wp:anchor simplePos="0" relativeHeight="251657728" behindDoc="1" locked="0" layoutInCell="0" allowOverlap="1">
                <wp:simplePos x="0" y="0"/>
                <wp:positionH relativeFrom="column">
                  <wp:posOffset>4649470</wp:posOffset>
                </wp:positionH>
                <wp:positionV relativeFrom="paragraph">
                  <wp:posOffset>19685</wp:posOffset>
                </wp:positionV>
                <wp:extent cx="74549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45490"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1pt,1.55pt" to="424.8pt,1.55pt" o:allowincell="f" strokecolor="#000000" strokeweight="0.72pt"/>
            </w:pict>
          </mc:Fallback>
        </mc:AlternateContent>
      </w:r>
    </w:p>
    <w:p>
      <w:pPr>
        <w:spacing w:after="0" w:line="229" w:lineRule="exact"/>
        <w:rPr>
          <w:sz w:val="20"/>
          <w:szCs w:val="20"/>
          <w:color w:val="auto"/>
        </w:rPr>
      </w:pPr>
    </w:p>
    <w:p>
      <w:pPr>
        <w:ind w:left="1360"/>
        <w:spacing w:after="0"/>
        <w:tabs>
          <w:tab w:leader="none" w:pos="4700" w:val="left"/>
          <w:tab w:leader="none" w:pos="5580" w:val="left"/>
          <w:tab w:leader="none" w:pos="6880" w:val="left"/>
          <w:tab w:leader="none" w:pos="8180" w:val="left"/>
        </w:tabs>
        <w:rPr>
          <w:sz w:val="20"/>
          <w:szCs w:val="20"/>
          <w:color w:val="auto"/>
        </w:rPr>
      </w:pPr>
      <w:r>
        <w:rPr>
          <w:rFonts w:ascii="Times New Roman" w:cs="Times New Roman" w:eastAsia="Times New Roman" w:hAnsi="Times New Roman"/>
          <w:sz w:val="20"/>
          <w:szCs w:val="20"/>
          <w:color w:val="auto"/>
        </w:rPr>
        <w:t>Stock based compensation expense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849 $</w:t>
      </w:r>
      <w:r>
        <w:rPr>
          <w:sz w:val="20"/>
          <w:szCs w:val="20"/>
          <w:color w:val="auto"/>
        </w:rPr>
        <w:tab/>
      </w:r>
      <w:r>
        <w:rPr>
          <w:rFonts w:ascii="Times New Roman" w:cs="Times New Roman" w:eastAsia="Times New Roman" w:hAnsi="Times New Roman"/>
          <w:sz w:val="20"/>
          <w:szCs w:val="20"/>
          <w:color w:val="auto"/>
        </w:rPr>
        <w:t>538 $</w:t>
      </w:r>
      <w:r>
        <w:rPr>
          <w:sz w:val="20"/>
          <w:szCs w:val="20"/>
          <w:color w:val="auto"/>
        </w:rPr>
        <w:tab/>
      </w:r>
      <w:r>
        <w:rPr>
          <w:rFonts w:ascii="Times New Roman" w:cs="Times New Roman" w:eastAsia="Times New Roman" w:hAnsi="Times New Roman"/>
          <w:sz w:val="20"/>
          <w:szCs w:val="20"/>
          <w:color w:val="auto"/>
        </w:rPr>
        <w:t>158</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Incentive Stock Compensation Plans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Plan</w:t>
      </w:r>
    </w:p>
    <w:p>
      <w:pPr>
        <w:spacing w:after="0" w:line="23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March 10, 2021, our shareholders approved the Bassett Furniture Industries, Incorporated 2021 Stock Incentive Plan (the “2021 Plan”). All present and future non-employee directors, key employees and outside consultants for the Company are eligible to receive incentive awards under the 2021 Plan. Our Organization, Compensation and Nominating Committee (the “OCN Committee”) selects eligible key employees and outside consultants to receive awards under the 2021 Plan in its discretion. Our Board of Directors or any committee designated by the Board of Directors selects eligible non-employee directors to receive awards under the 2021 Plan in its discretion. Five hundred thousand (500,000) shares of common stock are reserved for issuance under the 2021 Plan. Participants may receive the following types of incentive awards under the 2021 Plan: stock options, stock appreciation rights, payment shares, restricted stock, restricted stock units and performance shares. Stock options may be incentive stock options or non -qualified stock options. Stock appreciation rights may be granted in tandem with stock options or as a freestanding award. Non-employee directors and outside consultants are eligible to receive restricted stock and restricted stock units only. The full terms of the 2021 Plan have been filed as an exhibit to our Schedule 14A filed with the United States Securities and Exchange Commission on February 8, 2021.</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2010 Plan</w:t>
      </w:r>
    </w:p>
    <w:p>
      <w:pPr>
        <w:spacing w:after="0" w:line="230"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On April 14, 2010, our shareholders approved the Bassett Furniture Industries, Incorporated 2010 Stock Incentive Plan which was amended and restated effective January 13, 2016 (the “2010 Plan”). All non-employee directors, key employees and outside consultants for the Company were eligible to receive incentive awards under the 2010 Plan. The 2010 Plan expired in April of 2020 and no additional grants can be awarded under the plan. All remaining unexpired options granted under the 2010 Plan were exercised during fiscal 2021.</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940"/>
          </w:cols>
          <w:pgMar w:left="1160" w:top="925" w:right="1140" w:bottom="175"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fair value of each option award was estimated on the date of grant using the Black-Scholes option pricing model. The risk free rate is based on the U.S. Treasury rate for the expected life at the time of grant, volatility is based on the average long-term implied volatilities of peer companies, the expected life is based on the estimated average of the life of options using the simplified method. Forfeitures are recognized as they occur. We utilized the simplified method to determine the expected life of our options due to insufficient exercise activity during recent years as a basis from which to estimate future exercise patterns.</w:t>
      </w:r>
    </w:p>
    <w:p>
      <w:pPr>
        <w:spacing w:after="0" w:line="1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Grants of non-vested restricted shares are measured at fair value as if the shares were vested and issued on the grant date. Forfeitures are recognized as they occur. We recognize compensation cost for awards with service only conditions with a graded vesting schedule on a straight-line basis over the longest vesting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Stock Options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new grants of options made in 2023, 2022 or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information regarding activity in our stock options during fiscal 2023, 2022 and 2021 is as follows: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54"/>
        </w:trPr>
        <w:tc>
          <w:tcPr>
            <w:tcW w:w="4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436"/>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Total intrinsic value of options exercised</w:t>
            </w:r>
          </w:p>
        </w:tc>
        <w:tc>
          <w:tcPr>
            <w:tcW w:w="96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720"/>
              <w:spacing w:after="0"/>
              <w:rPr>
                <w:sz w:val="20"/>
                <w:szCs w:val="20"/>
                <w:color w:val="auto"/>
              </w:rPr>
            </w:pPr>
            <w:r>
              <w:rPr>
                <w:rFonts w:ascii="Times New Roman" w:cs="Times New Roman" w:eastAsia="Times New Roman" w:hAnsi="Times New Roman"/>
                <w:sz w:val="20"/>
                <w:szCs w:val="20"/>
                <w:color w:val="auto"/>
              </w:rPr>
              <w:t>$</w:t>
            </w:r>
          </w:p>
        </w:tc>
        <w:tc>
          <w:tcPr>
            <w:tcW w:w="6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29"/>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Total cash received from the exercise of options</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spacing w:after="0"/>
              <w:rPr>
                <w:sz w:val="19"/>
                <w:szCs w:val="19"/>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Excess tax benefits recognized in income tax expense upon</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67"/>
        </w:trPr>
        <w:tc>
          <w:tcPr>
            <w:tcW w:w="4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the exercise of options</w:t>
            </w: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Restricted Shares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Changes in the outstanding non-vested restricted shares during the year ended November 25, 2023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r>
      <w:tr>
        <w:trPr>
          <w:trHeight w:val="229"/>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Average</w:t>
            </w:r>
          </w:p>
        </w:tc>
      </w:tr>
      <w:tr>
        <w:trPr>
          <w:trHeight w:val="230"/>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Grant Date</w:t>
            </w:r>
          </w:p>
        </w:tc>
      </w:tr>
      <w:tr>
        <w:trPr>
          <w:trHeight w:val="230"/>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Number of</w:t>
            </w: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Fair Value Per</w:t>
            </w:r>
          </w:p>
        </w:tc>
      </w:tr>
      <w:tr>
        <w:trPr>
          <w:trHeight w:val="254"/>
        </w:trPr>
        <w:tc>
          <w:tcPr>
            <w:tcW w:w="6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80" w:type="dxa"/>
            <w:vAlign w:val="bottom"/>
            <w:gridSpan w:val="2"/>
          </w:tcPr>
          <w:p>
            <w:pPr>
              <w:jc w:val="right"/>
              <w:ind w:right="6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0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Share</w:t>
            </w:r>
          </w:p>
        </w:tc>
      </w:tr>
      <w:tr>
        <w:trPr>
          <w:trHeight w:val="435"/>
        </w:trPr>
        <w:tc>
          <w:tcPr>
            <w:tcW w:w="6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Non-vested restricted shares outstanding at November 26, 2022</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67,099</w:t>
            </w:r>
          </w:p>
        </w:tc>
        <w:tc>
          <w:tcPr>
            <w:tcW w:w="2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16.27</w:t>
            </w:r>
          </w:p>
        </w:tc>
      </w:tr>
      <w:tr>
        <w:trPr>
          <w:trHeight w:val="230"/>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w:t>
            </w:r>
          </w:p>
        </w:tc>
      </w:tr>
      <w:tr>
        <w:trPr>
          <w:trHeight w:val="229"/>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(32,899)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16.73</w:t>
            </w:r>
          </w:p>
        </w:tc>
      </w:tr>
      <w:tr>
        <w:trPr>
          <w:trHeight w:val="250"/>
        </w:trPr>
        <w:tc>
          <w:tcPr>
            <w:tcW w:w="66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Forfeited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(8,000)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w:t>
            </w:r>
          </w:p>
        </w:tc>
      </w:tr>
      <w:tr>
        <w:trPr>
          <w:trHeight w:val="227"/>
        </w:trPr>
        <w:tc>
          <w:tcPr>
            <w:tcW w:w="66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Non-vested restricted shares outstanding at November 25, 2023</w:t>
            </w:r>
          </w:p>
        </w:tc>
        <w:tc>
          <w:tcPr>
            <w:tcW w:w="1480" w:type="dxa"/>
            <w:vAlign w:val="bottom"/>
            <w:tcBorders>
              <w:top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92,313</w:t>
            </w:r>
          </w:p>
        </w:tc>
        <w:tc>
          <w:tcPr>
            <w:tcW w:w="200" w:type="dxa"/>
            <w:vAlign w:val="bottom"/>
          </w:tcPr>
          <w:p>
            <w:pPr>
              <w:spacing w:after="0"/>
              <w:rPr>
                <w:sz w:val="19"/>
                <w:szCs w:val="19"/>
                <w:color w:val="auto"/>
              </w:rPr>
            </w:pPr>
          </w:p>
        </w:tc>
        <w:tc>
          <w:tcPr>
            <w:tcW w:w="1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17.13</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During fiscal 2023, 32,899 restricted shares were vested and released, of which 17,100 shares had been granted to employees and 15,799 shares had been granted to directors. During fiscal 2023, 2022 and 2021, 5,985 shares, 1,225 shares and 10,850 shares, respectively, were withheld to cover withholding taxes of $109, $19 and $219, respectively, arising from the vesting of restricted shares. During fiscal 2023, 2022 and 2021, excess tax benefits (expense) of $10, $1 and $(133), respectively, were recognized within income tax expense upon the release of vested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940"/>
          </w:cols>
          <w:pgMar w:left="1160" w:top="925" w:right="1140" w:bottom="175"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information regarding our outstanding non-vested restricted shares at November 25, 2023 is as follows:</w:t>
      </w:r>
    </w:p>
    <w:p>
      <w:pPr>
        <w:spacing w:after="0" w:line="226"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Remaining</w:t>
            </w:r>
          </w:p>
        </w:tc>
      </w:tr>
      <w:tr>
        <w:trPr>
          <w:trHeight w:val="230"/>
        </w:trPr>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Restricted</w:t>
            </w:r>
          </w:p>
        </w:tc>
        <w:tc>
          <w:tcPr>
            <w:tcW w:w="10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rPr>
              <w:t>Share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Restriction</w:t>
            </w:r>
          </w:p>
        </w:tc>
      </w:tr>
      <w:tr>
        <w:trPr>
          <w:trHeight w:val="230"/>
        </w:trPr>
        <w:tc>
          <w:tcPr>
            <w:tcW w:w="2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Grant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1400" w:type="dxa"/>
            <w:vAlign w:val="bottom"/>
            <w:gridSpan w:val="3"/>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at Grant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Period</w:t>
            </w:r>
          </w:p>
        </w:tc>
      </w:tr>
      <w:tr>
        <w:trPr>
          <w:trHeight w:val="254"/>
        </w:trPr>
        <w:tc>
          <w:tcPr>
            <w:tcW w:w="2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Outstanding</w:t>
            </w:r>
          </w:p>
        </w:tc>
        <w:tc>
          <w:tcPr>
            <w:tcW w:w="1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Per Share</w:t>
            </w:r>
          </w:p>
        </w:tc>
        <w:tc>
          <w:tcPr>
            <w:tcW w:w="140" w:type="dxa"/>
            <w:vAlign w:val="bottom"/>
          </w:tcPr>
          <w:p>
            <w:pPr>
              <w:spacing w:after="0"/>
              <w:rPr>
                <w:sz w:val="22"/>
                <w:szCs w:val="22"/>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(Years)</w:t>
            </w:r>
          </w:p>
        </w:tc>
      </w:tr>
      <w:tr>
        <w:trPr>
          <w:trHeight w:val="665"/>
        </w:trPr>
        <w:tc>
          <w:tcPr>
            <w:tcW w:w="2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12, 2022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31,000</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15.82</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229"/>
        </w:trPr>
        <w:tc>
          <w:tcPr>
            <w:tcW w:w="2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January 11, 2023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46,200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17.55</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0"/>
        </w:trPr>
        <w:tc>
          <w:tcPr>
            <w:tcW w:w="2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8, 2023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15,113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18.53</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227"/>
        </w:trPr>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92,313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Unrecognized compensation cost related to these non-vested restricted shares at November 25, 2023 is $867, all of which is expected to be recognized in fiscal 2024 and 2025.</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Employee Stock Purchase Plan</w:t>
      </w:r>
    </w:p>
    <w:p>
      <w:pPr>
        <w:spacing w:after="0" w:line="2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March of 2017 we adopted and implemented the 2017 Employee Stock Purchase Plan (“2017 ESPP”) that allows eligible employees to purchase a limited number of shares of our stock at 85% of market value. Under the 2017 ESPP we sold 28,063, 30,074 and 22,547 shares to employees during fiscal 2023, 2022 and 2021, respectively, which resulted in an immaterial amount of compensation expense. There are 74,397 shares remaining available for sale under the 2017 ESPP at November 25, 2023.</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Income Taxes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the income tax provision from continuing operations are as follows:</w:t>
      </w:r>
    </w:p>
    <w:p>
      <w:pPr>
        <w:spacing w:after="0" w:line="231" w:lineRule="exact"/>
        <w:rPr>
          <w:sz w:val="20"/>
          <w:szCs w:val="20"/>
          <w:color w:val="auto"/>
        </w:rPr>
      </w:pPr>
    </w:p>
    <w:tbl>
      <w:tblPr>
        <w:tblLayout w:type="fixed"/>
        <w:tblInd w:w="2000" w:type="dxa"/>
        <w:tblCellMar>
          <w:top w:w="0" w:type="dxa"/>
          <w:left w:w="0" w:type="dxa"/>
          <w:bottom w:w="0" w:type="dxa"/>
          <w:right w:w="0" w:type="dxa"/>
        </w:tblCellMar>
      </w:tblPr>
      <w:tr>
        <w:trPr>
          <w:trHeight w:val="250"/>
        </w:trPr>
        <w:tc>
          <w:tcPr>
            <w:tcW w:w="2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w:t>
            </w: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color w:val="auto"/>
              </w:rPr>
              <w:t>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3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5,659</w:t>
            </w:r>
          </w:p>
        </w:tc>
        <w:tc>
          <w:tcPr>
            <w:tcW w:w="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4,507</w:t>
            </w:r>
          </w:p>
        </w:tc>
        <w:tc>
          <w:tcPr>
            <w:tcW w:w="0" w:type="dxa"/>
            <w:vAlign w:val="bottom"/>
          </w:tcPr>
          <w:p>
            <w:pPr>
              <w:spacing w:after="0"/>
              <w:rPr>
                <w:sz w:val="1"/>
                <w:szCs w:val="1"/>
                <w:color w:val="auto"/>
              </w:rPr>
            </w:pPr>
          </w:p>
        </w:tc>
      </w:tr>
      <w:tr>
        <w:trPr>
          <w:trHeight w:val="267"/>
        </w:trPr>
        <w:tc>
          <w:tcPr>
            <w:tcW w:w="2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(72)</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2,154</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423"/>
        </w:trPr>
        <w:tc>
          <w:tcPr>
            <w:tcW w:w="2300" w:type="dxa"/>
            <w:vAlign w:val="bottom"/>
          </w:tcPr>
          <w:p>
            <w:pPr>
              <w:spacing w:after="0"/>
              <w:rPr>
                <w:sz w:val="20"/>
                <w:szCs w:val="20"/>
                <w:color w:val="auto"/>
              </w:rPr>
            </w:pPr>
            <w:r>
              <w:rPr>
                <w:rFonts w:ascii="Times New Roman" w:cs="Times New Roman" w:eastAsia="Times New Roman" w:hAnsi="Times New Roman"/>
                <w:sz w:val="20"/>
                <w:szCs w:val="20"/>
                <w:color w:val="auto"/>
              </w:rPr>
              <w:t>Deferred: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Federal</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484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50"/>
        </w:trPr>
        <w:tc>
          <w:tcPr>
            <w:tcW w:w="23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State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405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1,098</w:t>
            </w:r>
          </w:p>
        </w:tc>
        <w:tc>
          <w:tcPr>
            <w:tcW w:w="0" w:type="dxa"/>
            <w:vAlign w:val="bottom"/>
          </w:tcPr>
          <w:p>
            <w:pPr>
              <w:spacing w:after="0"/>
              <w:rPr>
                <w:sz w:val="1"/>
                <w:szCs w:val="1"/>
                <w:color w:val="auto"/>
              </w:rPr>
            </w:pPr>
          </w:p>
        </w:tc>
      </w:tr>
      <w:tr>
        <w:trPr>
          <w:trHeight w:val="226"/>
        </w:trPr>
        <w:tc>
          <w:tcPr>
            <w:tcW w:w="230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683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8,702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5,836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20"/>
          <w:szCs w:val="20"/>
          <w:color w:val="auto"/>
        </w:rPr>
        <w:t>A reconciliation of the statutory federal income tax rate and the effective income tax rate, as a percentage of income before income taxes, is as follows:</w:t>
      </w:r>
    </w:p>
    <w:p>
      <w:pPr>
        <w:spacing w:after="0" w:line="159" w:lineRule="exact"/>
        <w:rPr>
          <w:sz w:val="20"/>
          <w:szCs w:val="20"/>
          <w:color w:val="auto"/>
        </w:rPr>
      </w:pPr>
    </w:p>
    <w:tbl>
      <w:tblPr>
        <w:tblLayout w:type="fixed"/>
        <w:tblInd w:w="420" w:type="dxa"/>
        <w:tblCellMar>
          <w:top w:w="0" w:type="dxa"/>
          <w:left w:w="0" w:type="dxa"/>
          <w:bottom w:w="0" w:type="dxa"/>
          <w:right w:w="0" w:type="dxa"/>
        </w:tblCellMar>
      </w:tblPr>
      <w:tr>
        <w:trPr>
          <w:trHeight w:val="25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Statutory federal income tax rate</w:t>
            </w: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Pr>
          <w:p>
            <w:pPr>
              <w:spacing w:after="0"/>
              <w:rPr>
                <w:sz w:val="21"/>
                <w:szCs w:val="21"/>
                <w:color w:val="auto"/>
              </w:rPr>
            </w:pPr>
          </w:p>
        </w:tc>
        <w:tc>
          <w:tcPr>
            <w:tcW w:w="11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color w:val="auto"/>
              </w:rPr>
              <w:t>2021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980" w:type="dxa"/>
            <w:vAlign w:val="bottom"/>
            <w:gridSpan w:val="2"/>
            <w:vMerge w:val="continue"/>
          </w:tcPr>
          <w:p>
            <w:pPr>
              <w:spacing w:after="0"/>
              <w:rPr>
                <w:sz w:val="17"/>
                <w:szCs w:val="17"/>
                <w:color w:val="auto"/>
              </w:rPr>
            </w:pPr>
          </w:p>
        </w:tc>
        <w:tc>
          <w:tcPr>
            <w:tcW w:w="14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20"/>
                <w:szCs w:val="20"/>
                <w:color w:val="auto"/>
              </w:rPr>
              <w:t>21.0%</w:t>
            </w:r>
          </w:p>
        </w:tc>
        <w:tc>
          <w:tcPr>
            <w:tcW w:w="20" w:type="dxa"/>
            <w:vAlign w:val="bottom"/>
          </w:tcPr>
          <w:p>
            <w:pPr>
              <w:spacing w:after="0"/>
              <w:rPr>
                <w:sz w:val="17"/>
                <w:szCs w:val="17"/>
                <w:color w:val="auto"/>
              </w:rPr>
            </w:pPr>
          </w:p>
        </w:tc>
        <w:tc>
          <w:tcPr>
            <w:tcW w:w="130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 net of federal benefit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3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4.4</w:t>
            </w:r>
          </w:p>
        </w:tc>
        <w:tc>
          <w:tcPr>
            <w:tcW w:w="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Nondeductible goodwill</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(45.7)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0.4</w:t>
            </w:r>
          </w:p>
        </w:tc>
        <w:tc>
          <w:tcPr>
            <w:tcW w:w="0" w:type="dxa"/>
            <w:vAlign w:val="bottom"/>
          </w:tcPr>
          <w:p>
            <w:pPr>
              <w:spacing w:after="0"/>
              <w:rPr>
                <w:sz w:val="1"/>
                <w:szCs w:val="1"/>
                <w:color w:val="auto"/>
              </w:rPr>
            </w:pPr>
          </w:p>
        </w:tc>
      </w:t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gain on revaluation of contingent consideration</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8.6</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3.0</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(0.3)</w:t>
            </w:r>
          </w:p>
        </w:tc>
        <w:tc>
          <w:tcPr>
            <w:tcW w:w="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50"/>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(18.2)</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0.4</w:t>
            </w:r>
          </w:p>
        </w:tc>
        <w:tc>
          <w:tcPr>
            <w:tcW w:w="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80" w:type="dxa"/>
            <w:vAlign w:val="bottom"/>
            <w:gridSpan w:val="2"/>
            <w:vMerge w:val="continue"/>
          </w:tcPr>
          <w:p>
            <w:pPr>
              <w:spacing w:after="0"/>
              <w:rPr>
                <w:sz w:val="19"/>
                <w:szCs w:val="19"/>
                <w:color w:val="auto"/>
              </w:rPr>
            </w:pPr>
          </w:p>
        </w:tc>
        <w:tc>
          <w:tcPr>
            <w:tcW w:w="1420" w:type="dxa"/>
            <w:vAlign w:val="bottom"/>
            <w:gridSpan w:val="2"/>
          </w:tcPr>
          <w:p>
            <w:pPr>
              <w:jc w:val="right"/>
              <w:ind w:right="60"/>
              <w:spacing w:after="0" w:line="228" w:lineRule="exact"/>
              <w:rPr>
                <w:sz w:val="20"/>
                <w:szCs w:val="20"/>
                <w:color w:val="auto"/>
              </w:rPr>
            </w:pPr>
            <w:r>
              <w:rPr>
                <w:rFonts w:ascii="Times New Roman" w:cs="Times New Roman" w:eastAsia="Times New Roman" w:hAnsi="Times New Roman"/>
                <w:sz w:val="20"/>
                <w:szCs w:val="20"/>
                <w:color w:val="auto"/>
              </w:rPr>
              <w:t>(27.5)%</w:t>
            </w:r>
          </w:p>
        </w:tc>
        <w:tc>
          <w:tcPr>
            <w:tcW w:w="1360" w:type="dxa"/>
            <w:vAlign w:val="bottom"/>
            <w:gridSpan w:val="2"/>
          </w:tcPr>
          <w:p>
            <w:pPr>
              <w:jc w:val="right"/>
              <w:ind w:right="40"/>
              <w:spacing w:after="0" w:line="228" w:lineRule="exact"/>
              <w:rPr>
                <w:sz w:val="20"/>
                <w:szCs w:val="20"/>
                <w:color w:val="auto"/>
              </w:rPr>
            </w:pPr>
            <w:r>
              <w:rPr>
                <w:rFonts w:ascii="Times New Roman" w:cs="Times New Roman" w:eastAsia="Times New Roman" w:hAnsi="Times New Roman"/>
                <w:sz w:val="20"/>
                <w:szCs w:val="20"/>
                <w:color w:val="auto"/>
              </w:rPr>
              <w:t>25.5%</w:t>
            </w:r>
          </w:p>
        </w:tc>
        <w:tc>
          <w:tcPr>
            <w:tcW w:w="20" w:type="dxa"/>
            <w:vAlign w:val="bottom"/>
          </w:tcPr>
          <w:p>
            <w:pPr>
              <w:spacing w:after="0"/>
              <w:rPr>
                <w:sz w:val="19"/>
                <w:szCs w:val="19"/>
                <w:color w:val="auto"/>
              </w:rPr>
            </w:pPr>
          </w:p>
        </w:tc>
        <w:tc>
          <w:tcPr>
            <w:tcW w:w="130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0"/>
                <w:szCs w:val="20"/>
                <w:color w:val="auto"/>
              </w:rPr>
              <w:t>25.5%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Excess tax benefits (expense) in the amount of $10, $1 and $(133) were recognized as a component of income tax expense during fiscal 2023, 2022 and 2021, respectively, resulting from the exercise of stock options and the release of restricted shares. The fiscal 2023 adjustment for impairment of non-deductible goodwill reflect the fact that there was no tax basis related to the impaired goodwill.</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940"/>
          </w:cols>
          <w:pgMar w:left="1160" w:top="925" w:right="1140" w:bottom="175"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 income tax effects of temporary differences and carryforwards, which give rise to significant portions of the deferred income tax assets and deferred income tax liabilities, are as follows:</w:t>
      </w:r>
    </w:p>
    <w:p>
      <w:pPr>
        <w:spacing w:after="0" w:line="153" w:lineRule="exact"/>
        <w:rPr>
          <w:sz w:val="20"/>
          <w:szCs w:val="20"/>
          <w:color w:val="auto"/>
        </w:rPr>
      </w:pPr>
    </w:p>
    <w:tbl>
      <w:tblPr>
        <w:tblLayout w:type="fixed"/>
        <w:tblInd w:w="136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November 25,</w:t>
            </w:r>
          </w:p>
        </w:tc>
        <w:tc>
          <w:tcPr>
            <w:tcW w:w="2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43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income tax assets: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Trade accounts receivable</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1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315</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Inventories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3,782</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Post employment benefit obligations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2,734</w:t>
            </w: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Foreign net operating loss carryforwards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1,339</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29,185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29,423</w:t>
            </w:r>
          </w:p>
        </w:tc>
        <w:tc>
          <w:tcPr>
            <w:tcW w:w="0" w:type="dxa"/>
            <w:vAlign w:val="bottom"/>
          </w:tcPr>
          <w:p>
            <w:pPr>
              <w:spacing w:after="0"/>
              <w:rPr>
                <w:sz w:val="1"/>
                <w:szCs w:val="1"/>
                <w:color w:val="auto"/>
              </w:rPr>
            </w:pPr>
          </w:p>
        </w:tc>
      </w:tr>
      <w:tr>
        <w:trPr>
          <w:trHeight w:val="25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1,668</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1,722</w:t>
            </w:r>
          </w:p>
        </w:tc>
        <w:tc>
          <w:tcPr>
            <w:tcW w:w="0" w:type="dxa"/>
            <w:vAlign w:val="bottom"/>
          </w:tcPr>
          <w:p>
            <w:pPr>
              <w:spacing w:after="0"/>
              <w:rPr>
                <w:sz w:val="1"/>
                <w:szCs w:val="1"/>
                <w:color w:val="auto"/>
              </w:rPr>
            </w:pPr>
          </w:p>
        </w:tc>
      </w:tr>
      <w:tr>
        <w:trPr>
          <w:trHeight w:val="205"/>
        </w:trPr>
        <w:tc>
          <w:tcPr>
            <w:tcW w:w="4320" w:type="dxa"/>
            <w:vAlign w:val="bottom"/>
          </w:tcPr>
          <w:p>
            <w:pPr>
              <w:ind w:left="180"/>
              <w:spacing w:after="0" w:line="206" w:lineRule="exact"/>
              <w:rPr>
                <w:sz w:val="20"/>
                <w:szCs w:val="20"/>
                <w:color w:val="auto"/>
              </w:rPr>
            </w:pPr>
            <w:r>
              <w:rPr>
                <w:rFonts w:ascii="Times New Roman" w:cs="Times New Roman" w:eastAsia="Times New Roman" w:hAnsi="Times New Roman"/>
                <w:sz w:val="20"/>
                <w:szCs w:val="20"/>
                <w:color w:val="auto"/>
              </w:rPr>
              <w:t>Gross deferred income tax assets</w:t>
            </w: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39,052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39,315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(1,791)</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0" w:type="dxa"/>
            <w:vAlign w:val="bottom"/>
          </w:tcPr>
          <w:p>
            <w:pPr>
              <w:spacing w:after="0"/>
              <w:rPr>
                <w:sz w:val="1"/>
                <w:szCs w:val="1"/>
                <w:color w:val="auto"/>
              </w:rPr>
            </w:pPr>
          </w:p>
        </w:tc>
      </w:tr>
      <w:tr>
        <w:trPr>
          <w:trHeight w:val="261"/>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income tax assets</w:t>
            </w:r>
          </w:p>
        </w:tc>
        <w:tc>
          <w:tcPr>
            <w:tcW w:w="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37,261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37,976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 tax liabilities: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and equipment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5,532</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726</w:t>
            </w: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lease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25,166</w:t>
            </w:r>
          </w:p>
        </w:tc>
        <w:tc>
          <w:tcPr>
            <w:tcW w:w="0" w:type="dxa"/>
            <w:vAlign w:val="bottom"/>
          </w:tcPr>
          <w:p>
            <w:pPr>
              <w:spacing w:after="0"/>
              <w:rPr>
                <w:sz w:val="1"/>
                <w:szCs w:val="1"/>
                <w:color w:val="auto"/>
              </w:rPr>
            </w:pPr>
          </w:p>
        </w:tc>
      </w:tr>
      <w:tr>
        <w:trPr>
          <w:trHeight w:val="250"/>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Prepaid expenses and 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income tax liabilities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32,616</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32,448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deferred income tax assets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4,645</w:t>
            </w:r>
          </w:p>
        </w:tc>
        <w:tc>
          <w:tcPr>
            <w:tcW w:w="14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5,528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We have foreign net operating loss carryforwards attributable to Noa Home (see Note 3) of $7,511 resulting in a deferred tax asset of $1,791 upon which we have placed a full valuation allowance.</w:t>
      </w:r>
    </w:p>
    <w:p>
      <w:pPr>
        <w:spacing w:after="0" w:line="15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Income tax refunds received, net of taxes paid, during fiscal 2023 was $263. Income taxes paid, net of refunds received, during fiscal 2022 and 2021 were $20,176, and $3,092, respectively.</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regularly evaluate, assess and adjust our accrued liabilities for unrecognized tax benefits in light of changing facts and circumstances, which could cause the effective tax rate to fluctuate from period to period. Our liabilities for uncertain tax positions are not material.</w:t>
      </w:r>
    </w:p>
    <w:p>
      <w:pPr>
        <w:spacing w:after="0" w:line="17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20"/>
          <w:szCs w:val="20"/>
          <w:color w:val="auto"/>
        </w:rPr>
        <w:t>Significant judgment is required in evaluating the Company's federal and state tax positions and in the determination of its tax provision. Despite our belief that the liability for unrecognized tax benefits is adequate, it is often difficult to predict the final outcome or the timing of the resolution of any particular tax matter. We may adjust these liabilities as relevant circumstances evolve, such as guidance from the relevant tax authority, or resolution of issues in the courts. These adjustments are recognized as a component of income tax expense in the period in which they are identified. The Company also cannot predict when or if any other future tax payments related to these tax positions may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remain subject to examination for tax years 2020 through 2023 for all of our major tax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940"/>
          </w:cols>
          <w:pgMar w:left="1160" w:top="925" w:right="1140" w:bottom="175" w:gutter="0" w:footer="0" w:header="0"/>
        </w:sectPr>
      </w:pPr>
    </w:p>
    <w:bookmarkStart w:id="48" w:name="page49"/>
    <w:bookmarkEnd w:id="48"/>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color w:val="auto"/>
        </w:rPr>
        <w:t>14. Other Gains and Losses</w:t>
      </w:r>
    </w:p>
    <w:p>
      <w:pPr>
        <w:spacing w:after="0" w:line="2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Charge</w:t>
      </w: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See Note 8 regarding the $5,409 non-cash charge to impair goodwill associated with Noa Home.</w:t>
      </w: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Gain on Revaluation of Contingent Consideration</w:t>
      </w:r>
    </w:p>
    <w:p>
      <w:pPr>
        <w:spacing w:after="0" w:line="230"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20"/>
          <w:szCs w:val="20"/>
          <w:color w:val="auto"/>
        </w:rPr>
        <w:t>See Note 3 regarding a $1,013 gain resulting from the revaluation of contingent consideration owed to the former owners of Noa Home.</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b w:val="1"/>
          <w:bCs w:val="1"/>
          <w:i w:val="1"/>
          <w:iCs w:val="1"/>
          <w:color w:val="auto"/>
        </w:rPr>
        <w:t>Gains on Dispositions of Retail Store Locations</w:t>
      </w:r>
    </w:p>
    <w:p>
      <w:pPr>
        <w:spacing w:after="0" w:line="231"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20"/>
          <w:szCs w:val="20"/>
          <w:color w:val="auto"/>
        </w:rPr>
        <w:t>During the third quarter of fiscal 2022, we sold one of our Company-owned store locations in Houston, Texas for $8,217 net of closing costs, resulting in a gain of $4,595 during the year ended November 26, 2022.</w:t>
      </w:r>
    </w:p>
    <w:p>
      <w:pPr>
        <w:spacing w:after="0" w:line="159" w:lineRule="exact"/>
        <w:rPr>
          <w:sz w:val="20"/>
          <w:szCs w:val="20"/>
          <w:color w:val="auto"/>
        </w:rPr>
      </w:pPr>
    </w:p>
    <w:p>
      <w:pPr>
        <w:jc w:val="both"/>
        <w:ind w:left="8"/>
        <w:spacing w:after="0" w:line="245" w:lineRule="auto"/>
        <w:rPr>
          <w:sz w:val="20"/>
          <w:szCs w:val="20"/>
          <w:color w:val="auto"/>
        </w:rPr>
      </w:pPr>
      <w:r>
        <w:rPr>
          <w:rFonts w:ascii="Times New Roman" w:cs="Times New Roman" w:eastAsia="Times New Roman" w:hAnsi="Times New Roman"/>
          <w:sz w:val="20"/>
          <w:szCs w:val="20"/>
          <w:color w:val="auto"/>
        </w:rPr>
        <w:t>This sale, together with our purchase of real property in Tampa, Florida for $7,668 in cash during the second quarter of fiscal 2022 will be treated as an exchange of like-kind property under Section 1031 of the Internal Revenue Code of 1986, as amended, for the purpose of deferring approximately $4,300 of the taxable gain arising from the sale of the Houston property. A VIE was established during the second quarter of fiscal 2022 for purposes of acquiring the Tampa, Florida property, of which the Company was the primary beneficiary by virtue of our control over the activities that most significantly impact the entity's economic performance. Subsequent to the completion of the exchange transactions during the third quarter of fiscal 2022, the sole equity interest in the VIE was transferred to Bassett and the entity is now consolidated as a wholly owned subsidiary</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Other loss, net for the fiscal 2022 includes a gain of $1,441 arising from death benefits from Company-owned life insurance.</w:t>
      </w:r>
    </w:p>
    <w:p>
      <w:pPr>
        <w:spacing w:after="0" w:line="200" w:lineRule="exact"/>
        <w:rPr>
          <w:sz w:val="20"/>
          <w:szCs w:val="20"/>
          <w:color w:val="auto"/>
        </w:rPr>
      </w:pPr>
    </w:p>
    <w:p>
      <w:pPr>
        <w:spacing w:after="0" w:line="266" w:lineRule="exact"/>
        <w:rPr>
          <w:sz w:val="20"/>
          <w:szCs w:val="20"/>
          <w:color w:val="auto"/>
        </w:rPr>
      </w:pPr>
    </w:p>
    <w:p>
      <w:pPr>
        <w:ind w:left="8" w:right="7140" w:hanging="8"/>
        <w:spacing w:after="0" w:line="482" w:lineRule="auto"/>
        <w:tabs>
          <w:tab w:leader="none" w:pos="309"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 and Lease Guarantees Leases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See “Leases” under Note 2 for a discussion of our accounting policies and elections under Topic 842.</w:t>
      </w:r>
    </w:p>
    <w:p>
      <w:pPr>
        <w:spacing w:after="0" w:line="2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color w:val="auto"/>
        </w:rPr>
        <w:t>Supplemental balance sheet information related to our leases as of November 25, 2023 and November 26, 2022 is as follows:</w:t>
      </w:r>
    </w:p>
    <w:p>
      <w:pPr>
        <w:spacing w:after="0" w:line="238" w:lineRule="exact"/>
        <w:rPr>
          <w:sz w:val="20"/>
          <w:szCs w:val="20"/>
          <w:color w:val="auto"/>
        </w:rPr>
      </w:pPr>
    </w:p>
    <w:tbl>
      <w:tblPr>
        <w:tblLayout w:type="fixed"/>
        <w:tblInd w:w="928"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rPr>
              <w:t>November 25,</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39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Operating leases:</w:t>
            </w:r>
          </w:p>
        </w:tc>
        <w:tc>
          <w:tcPr>
            <w:tcW w:w="1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0" w:type="dxa"/>
            <w:vAlign w:val="bottom"/>
          </w:tcPr>
          <w:p>
            <w:pPr>
              <w:spacing w:after="0"/>
              <w:rPr>
                <w:sz w:val="1"/>
                <w:szCs w:val="1"/>
                <w:color w:val="auto"/>
              </w:rPr>
            </w:pPr>
          </w:p>
        </w:tc>
      </w:tr>
      <w:tr>
        <w:trPr>
          <w:trHeight w:val="205"/>
        </w:trPr>
        <w:tc>
          <w:tcPr>
            <w:tcW w:w="390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use assets</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100,888</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99,472</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liabilties, short-term</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18,827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18,819</w:t>
            </w:r>
          </w:p>
        </w:tc>
        <w:tc>
          <w:tcPr>
            <w:tcW w:w="0" w:type="dxa"/>
            <w:vAlign w:val="bottom"/>
          </w:tcPr>
          <w:p>
            <w:pPr>
              <w:spacing w:after="0"/>
              <w:rPr>
                <w:sz w:val="1"/>
                <w:szCs w:val="1"/>
                <w:color w:val="auto"/>
              </w:rPr>
            </w:pPr>
          </w:p>
        </w:tc>
      </w:tr>
      <w:tr>
        <w:trPr>
          <w:trHeight w:val="267"/>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liabilties, long-term</w:t>
            </w: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97,357</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97,477</w:t>
            </w:r>
          </w:p>
        </w:tc>
        <w:tc>
          <w:tcPr>
            <w:tcW w:w="0" w:type="dxa"/>
            <w:vAlign w:val="bottom"/>
          </w:tcPr>
          <w:p>
            <w:pPr>
              <w:spacing w:after="0"/>
              <w:rPr>
                <w:sz w:val="1"/>
                <w:szCs w:val="1"/>
                <w:color w:val="auto"/>
              </w:rPr>
            </w:pPr>
          </w:p>
        </w:tc>
      </w:tr>
      <w:tr>
        <w:trPr>
          <w:trHeight w:val="423"/>
        </w:trPr>
        <w:tc>
          <w:tcPr>
            <w:tcW w:w="3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Finance leases:</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 of use assets (1)</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327</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liabilties, short-term (2)</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0" w:type="dxa"/>
            <w:vAlign w:val="bottom"/>
          </w:tcPr>
          <w:p>
            <w:pPr>
              <w:spacing w:after="0"/>
              <w:rPr>
                <w:sz w:val="1"/>
                <w:szCs w:val="1"/>
                <w:color w:val="auto"/>
              </w:rPr>
            </w:pPr>
          </w:p>
        </w:tc>
      </w:tr>
      <w:tr>
        <w:trPr>
          <w:trHeight w:val="267"/>
        </w:trPr>
        <w:tc>
          <w:tcPr>
            <w:tcW w:w="3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liabilties, long-term (3)</w:t>
            </w: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99</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188" w:hanging="288"/>
        <w:spacing w:after="0"/>
        <w:tabs>
          <w:tab w:leader="none" w:pos="11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Included in property &amp; equipment, net in our consolidated balance sheet.</w:t>
      </w:r>
    </w:p>
    <w:p>
      <w:pPr>
        <w:spacing w:after="0" w:line="28" w:lineRule="exact"/>
        <w:rPr>
          <w:rFonts w:ascii="Times New Roman" w:cs="Times New Roman" w:eastAsia="Times New Roman" w:hAnsi="Times New Roman"/>
          <w:sz w:val="20"/>
          <w:szCs w:val="20"/>
          <w:color w:val="auto"/>
        </w:rPr>
      </w:pPr>
    </w:p>
    <w:p>
      <w:pPr>
        <w:ind w:left="1188" w:hanging="288"/>
        <w:spacing w:after="0"/>
        <w:tabs>
          <w:tab w:leader="none" w:pos="11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Included in other current liabilites and accrued expenses in our consolidated balance sheet.</w:t>
      </w:r>
    </w:p>
    <w:p>
      <w:pPr>
        <w:ind w:left="1188" w:hanging="288"/>
        <w:spacing w:after="0"/>
        <w:tabs>
          <w:tab w:leader="none" w:pos="118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Included in other long-term liabilites and accrued expenses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48"/>
          </w:cols>
          <w:pgMar w:left="1152" w:top="925" w:right="1140" w:bottom="175"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right-of-use assets under operating leases by segment as of November 25, 2023 and November 26, 2022 are as follows:</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20"/>
                <w:szCs w:val="20"/>
                <w:b w:val="1"/>
                <w:bCs w:val="1"/>
                <w:color w:val="auto"/>
              </w:rPr>
              <w:t>November 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November 26,</w:t>
            </w:r>
          </w:p>
        </w:tc>
        <w:tc>
          <w:tcPr>
            <w:tcW w:w="0" w:type="dxa"/>
            <w:vAlign w:val="bottom"/>
          </w:tcPr>
          <w:p>
            <w:pPr>
              <w:spacing w:after="0"/>
              <w:rPr>
                <w:sz w:val="1"/>
                <w:szCs w:val="1"/>
                <w:color w:val="auto"/>
              </w:rPr>
            </w:pPr>
          </w:p>
        </w:tc>
      </w:tr>
      <w:tr>
        <w:trPr>
          <w:trHeight w:val="254"/>
        </w:trPr>
        <w:tc>
          <w:tcPr>
            <w:tcW w:w="3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Wholesale</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6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8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8,689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jc w:val="right"/>
              <w:ind w:right="60"/>
              <w:spacing w:after="0" w:line="20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06" w:lineRule="exact"/>
              <w:rPr>
                <w:sz w:val="20"/>
                <w:szCs w:val="20"/>
                <w:color w:val="auto"/>
              </w:rPr>
            </w:pPr>
            <w:r>
              <w:rPr>
                <w:rFonts w:ascii="Times New Roman" w:cs="Times New Roman" w:eastAsia="Times New Roman" w:hAnsi="Times New Roman"/>
                <w:sz w:val="20"/>
                <w:szCs w:val="20"/>
                <w:color w:val="auto"/>
              </w:rPr>
              <w:t>8,138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Retail</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92,190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91,289</w:t>
            </w:r>
          </w:p>
        </w:tc>
        <w:tc>
          <w:tcPr>
            <w:tcW w:w="0" w:type="dxa"/>
            <w:vAlign w:val="bottom"/>
          </w:tcPr>
          <w:p>
            <w:pPr>
              <w:spacing w:after="0"/>
              <w:rPr>
                <w:sz w:val="1"/>
                <w:szCs w:val="1"/>
                <w:color w:val="auto"/>
              </w:rPr>
            </w:pPr>
          </w:p>
        </w:tc>
      </w:tr>
      <w:tr>
        <w:trPr>
          <w:trHeight w:val="250"/>
        </w:trPr>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Corporate &amp; other</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w:t>
            </w:r>
          </w:p>
        </w:tc>
        <w:tc>
          <w:tcPr>
            <w:tcW w:w="0" w:type="dxa"/>
            <w:vAlign w:val="bottom"/>
          </w:tcPr>
          <w:p>
            <w:pPr>
              <w:spacing w:after="0"/>
              <w:rPr>
                <w:sz w:val="1"/>
                <w:szCs w:val="1"/>
                <w:color w:val="auto"/>
              </w:rPr>
            </w:pPr>
          </w:p>
        </w:tc>
      </w:tr>
      <w:tr>
        <w:trPr>
          <w:trHeight w:val="226"/>
        </w:trPr>
        <w:tc>
          <w:tcPr>
            <w:tcW w:w="3600" w:type="dxa"/>
            <w:vAlign w:val="bottom"/>
          </w:tcPr>
          <w:p>
            <w:pPr>
              <w:ind w:left="180"/>
              <w:spacing w:after="0" w:line="226" w:lineRule="exact"/>
              <w:rPr>
                <w:sz w:val="20"/>
                <w:szCs w:val="20"/>
                <w:color w:val="auto"/>
              </w:rPr>
            </w:pPr>
            <w:r>
              <w:rPr>
                <w:rFonts w:ascii="Times New Roman" w:cs="Times New Roman" w:eastAsia="Times New Roman" w:hAnsi="Times New Roman"/>
                <w:sz w:val="20"/>
                <w:szCs w:val="20"/>
                <w:color w:val="auto"/>
              </w:rPr>
              <w:t>Total right of use assets</w:t>
            </w: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gridSpan w:val="2"/>
          </w:tcPr>
          <w:p>
            <w:pPr>
              <w:jc w:val="right"/>
              <w:ind w:right="20"/>
              <w:spacing w:after="0" w:line="226" w:lineRule="exact"/>
              <w:rPr>
                <w:sz w:val="20"/>
                <w:szCs w:val="20"/>
                <w:color w:val="auto"/>
              </w:rPr>
            </w:pPr>
            <w:r>
              <w:rPr>
                <w:rFonts w:ascii="Times New Roman" w:cs="Times New Roman" w:eastAsia="Times New Roman" w:hAnsi="Times New Roman"/>
                <w:sz w:val="20"/>
                <w:szCs w:val="20"/>
                <w:color w:val="auto"/>
              </w:rPr>
              <w:t>100,888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99,472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our lease cost for 2023, 2022 and 2021 were as follows:</w:t>
      </w:r>
    </w:p>
    <w:p>
      <w:pPr>
        <w:spacing w:after="0" w:line="226" w:lineRule="exact"/>
        <w:rPr>
          <w:sz w:val="20"/>
          <w:szCs w:val="20"/>
          <w:color w:val="auto"/>
        </w:rPr>
      </w:pPr>
    </w:p>
    <w:tbl>
      <w:tblPr>
        <w:tblLayout w:type="fixed"/>
        <w:tblInd w:w="180" w:type="dxa"/>
        <w:tblCellMar>
          <w:top w:w="0" w:type="dxa"/>
          <w:left w:w="0" w:type="dxa"/>
          <w:bottom w:w="0" w:type="dxa"/>
          <w:right w:w="0" w:type="dxa"/>
        </w:tblCellMar>
      </w:tblPr>
      <w:tr>
        <w:trPr>
          <w:trHeight w:val="254"/>
        </w:trPr>
        <w:tc>
          <w:tcPr>
            <w:tcW w:w="5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Lease cost:</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1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24,287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24,399</w:t>
            </w:r>
          </w:p>
        </w:tc>
        <w:tc>
          <w:tcPr>
            <w:tcW w:w="20" w:type="dxa"/>
            <w:vAlign w:val="bottom"/>
          </w:tcPr>
          <w:p>
            <w:pPr>
              <w:spacing w:after="0"/>
              <w:rPr>
                <w:sz w:val="19"/>
                <w:szCs w:val="19"/>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24,367</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Financing lease cost: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on lease liabilities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674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387</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 (net of abatements received)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260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447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277</w:t>
            </w:r>
          </w:p>
        </w:tc>
        <w:tc>
          <w:tcPr>
            <w:tcW w:w="0" w:type="dxa"/>
            <w:vAlign w:val="bottom"/>
          </w:tcPr>
          <w:p>
            <w:pPr>
              <w:spacing w:after="0"/>
              <w:rPr>
                <w:sz w:val="1"/>
                <w:szCs w:val="1"/>
                <w:color w:val="auto"/>
              </w:rPr>
            </w:pPr>
          </w:p>
        </w:tc>
      </w:tr>
      <w:tr>
        <w:trPr>
          <w:trHeight w:val="250"/>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Sublease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(1,093)</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(1,444)</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(1,292)</w:t>
            </w:r>
          </w:p>
        </w:tc>
        <w:tc>
          <w:tcPr>
            <w:tcW w:w="0" w:type="dxa"/>
            <w:vAlign w:val="bottom"/>
          </w:tcPr>
          <w:p>
            <w:pPr>
              <w:spacing w:after="0"/>
              <w:rPr>
                <w:sz w:val="1"/>
                <w:szCs w:val="1"/>
                <w:color w:val="auto"/>
              </w:rPr>
            </w:pPr>
          </w:p>
        </w:tc>
      </w:tr>
      <w:tr>
        <w:trPr>
          <w:trHeight w:val="226"/>
        </w:trPr>
        <w:tc>
          <w:tcPr>
            <w:tcW w:w="518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Total lease cost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24,155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6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24,390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8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23,849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Supplemental lease disclosures as of November 25, 2023, November 26, 2022 and November 27, 2021 and for the fiscal years then ended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00" w:type="dxa"/>
            <w:vAlign w:val="bottom"/>
          </w:tcPr>
          <w:p>
            <w:pPr>
              <w:spacing w:after="0"/>
              <w:rPr>
                <w:sz w:val="22"/>
                <w:szCs w:val="22"/>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1440" w:type="dxa"/>
            <w:vAlign w:val="bottom"/>
            <w:gridSpan w:val="2"/>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435"/>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November 27, 2021:</w:t>
            </w:r>
          </w:p>
        </w:tc>
        <w:tc>
          <w:tcPr>
            <w:tcW w:w="12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paid for amounts included in the measurements of lease liabilities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26,842</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103</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liabilities arising from new right-of-use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15,678</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927</w:t>
            </w:r>
          </w:p>
        </w:tc>
      </w:tr>
      <w:tr>
        <w:trPr>
          <w:trHeight w:val="42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November 26, 2022:</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paid for amounts included in the measurements of lease liabilities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26,913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302</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liabilities arising from new right-of-use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23,171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73</w:t>
            </w:r>
          </w:p>
        </w:tc>
      </w:tr>
      <w:tr>
        <w:trPr>
          <w:trHeight w:val="42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For the year ended November 25, 2023:</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paid for amounts included in the measurements of lease liabilities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26,854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301</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Lease liabilities arising from new right-of-use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21,921</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r>
      <w:tr>
        <w:trPr>
          <w:trHeight w:val="42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As of November 27, 2021:</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remaining lease terms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3.2</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discount rates</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4.63%</w:t>
            </w:r>
          </w:p>
        </w:tc>
      </w:tr>
      <w:tr>
        <w:trPr>
          <w:trHeight w:val="42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As of November 26, 2022:</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remaining lease terms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2.3</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discount rates</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5.53 %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4.68%</w:t>
            </w:r>
          </w:p>
        </w:tc>
      </w:tr>
      <w:tr>
        <w:trPr>
          <w:trHeight w:val="423"/>
        </w:trPr>
        <w:tc>
          <w:tcPr>
            <w:tcW w:w="7000" w:type="dxa"/>
            <w:vAlign w:val="bottom"/>
          </w:tcPr>
          <w:p>
            <w:pPr>
              <w:spacing w:after="0"/>
              <w:rPr>
                <w:sz w:val="20"/>
                <w:szCs w:val="20"/>
                <w:color w:val="auto"/>
              </w:rPr>
            </w:pPr>
            <w:r>
              <w:rPr>
                <w:rFonts w:ascii="Times New Roman" w:cs="Times New Roman" w:eastAsia="Times New Roman" w:hAnsi="Times New Roman"/>
                <w:sz w:val="20"/>
                <w:szCs w:val="20"/>
                <w:color w:val="auto"/>
              </w:rPr>
              <w:t>As of November 25, 2023:</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remaining lease terms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2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1.4</w:t>
            </w:r>
          </w:p>
        </w:tc>
      </w:tr>
      <w:tr>
        <w:trPr>
          <w:trHeight w:val="267"/>
        </w:trPr>
        <w:tc>
          <w:tcPr>
            <w:tcW w:w="70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Weighted average discount rates</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5.78 %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940"/>
          </w:cols>
          <w:pgMar w:left="1160" w:top="925" w:right="1140" w:bottom="175"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Future payments under our leases and the present value of the obligations as of November 25, 2023 are as follows: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1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54"/>
        </w:trPr>
        <w:tc>
          <w:tcPr>
            <w:tcW w:w="5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160" w:type="dxa"/>
            <w:vAlign w:val="bottom"/>
            <w:gridSpan w:val="3"/>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20" w:type="dxa"/>
            <w:vAlign w:val="bottom"/>
          </w:tcPr>
          <w:p>
            <w:pPr>
              <w:spacing w:after="0"/>
              <w:rPr>
                <w:sz w:val="22"/>
                <w:szCs w:val="22"/>
                <w:color w:val="auto"/>
              </w:rPr>
            </w:pPr>
          </w:p>
        </w:tc>
      </w:tr>
      <w:tr>
        <w:trPr>
          <w:trHeight w:val="43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Fiscal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25,269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256</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Fiscal 2025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26,003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94</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Fiscal 2026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24,213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Fiscal 2027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20,850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w:t>
            </w: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Fiscal 2028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Times New Roman" w:cs="Times New Roman" w:eastAsia="Times New Roman" w:hAnsi="Times New Roman"/>
                <w:sz w:val="20"/>
                <w:szCs w:val="20"/>
                <w:color w:val="auto"/>
              </w:rPr>
              <w:t>16,872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05"/>
        </w:trPr>
        <w:tc>
          <w:tcPr>
            <w:tcW w:w="5600" w:type="dxa"/>
            <w:vAlign w:val="bottom"/>
          </w:tcPr>
          <w:p>
            <w:pPr>
              <w:ind w:left="180"/>
              <w:spacing w:after="0" w:line="206" w:lineRule="exact"/>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140,048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357</w:t>
            </w:r>
          </w:p>
        </w:tc>
        <w:tc>
          <w:tcPr>
            <w:tcW w:w="20" w:type="dxa"/>
            <w:vAlign w:val="bottom"/>
          </w:tcPr>
          <w:p>
            <w:pPr>
              <w:spacing w:after="0"/>
              <w:rPr>
                <w:sz w:val="17"/>
                <w:szCs w:val="17"/>
                <w:color w:val="auto"/>
              </w:rPr>
            </w:pPr>
          </w:p>
        </w:tc>
      </w:tr>
      <w:tr>
        <w:trPr>
          <w:trHeight w:val="250"/>
        </w:trPr>
        <w:tc>
          <w:tcPr>
            <w:tcW w:w="5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Less: interest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23,864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12</w:t>
            </w:r>
          </w:p>
        </w:tc>
      </w:tr>
      <w:tr>
        <w:trPr>
          <w:trHeight w:val="227"/>
        </w:trPr>
        <w:tc>
          <w:tcPr>
            <w:tcW w:w="5600" w:type="dxa"/>
            <w:vAlign w:val="bottom"/>
          </w:tcPr>
          <w:p>
            <w:pPr>
              <w:ind w:left="360"/>
              <w:spacing w:after="0" w:line="228" w:lineRule="exact"/>
              <w:rPr>
                <w:sz w:val="20"/>
                <w:szCs w:val="20"/>
                <w:color w:val="auto"/>
              </w:rPr>
            </w:pPr>
            <w:r>
              <w:rPr>
                <w:rFonts w:ascii="Times New Roman" w:cs="Times New Roman" w:eastAsia="Times New Roman" w:hAnsi="Times New Roman"/>
                <w:sz w:val="20"/>
                <w:szCs w:val="20"/>
                <w:color w:val="auto"/>
              </w:rPr>
              <w:t>Total lease obligations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116,184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345</w:t>
            </w:r>
          </w:p>
        </w:tc>
        <w:tc>
          <w:tcPr>
            <w:tcW w:w="2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We sublease a small number of our leased locations to certain of our licensees for operation as BHF network stores. The terms of these leases generally match those of the lease we have with the lessor. In addition, we sublease space in certain closed store locations that are still under lease. Minimum future lease payments due to us under these subleases are as follows: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2024</w:t>
            </w:r>
          </w:p>
        </w:tc>
        <w:tc>
          <w:tcPr>
            <w:tcW w:w="56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899</w:t>
            </w: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2025</w:t>
            </w:r>
          </w:p>
        </w:tc>
        <w:tc>
          <w:tcPr>
            <w:tcW w:w="5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899</w:t>
            </w: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2026</w:t>
            </w:r>
          </w:p>
        </w:tc>
        <w:tc>
          <w:tcPr>
            <w:tcW w:w="5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586</w:t>
            </w:r>
          </w:p>
        </w:tc>
      </w:tr>
      <w:tr>
        <w:trPr>
          <w:trHeight w:val="229"/>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2027</w:t>
            </w:r>
          </w:p>
        </w:tc>
        <w:tc>
          <w:tcPr>
            <w:tcW w:w="5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215</w:t>
            </w: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Fiscal 2028</w:t>
            </w:r>
          </w:p>
        </w:tc>
        <w:tc>
          <w:tcPr>
            <w:tcW w:w="5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50"/>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r>
      <w:tr>
        <w:trPr>
          <w:trHeight w:val="227"/>
        </w:trPr>
        <w:tc>
          <w:tcPr>
            <w:tcW w:w="7080" w:type="dxa"/>
            <w:vAlign w:val="bottom"/>
            <w:gridSpan w:val="2"/>
          </w:tcPr>
          <w:p>
            <w:pPr>
              <w:ind w:left="180"/>
              <w:spacing w:after="0" w:line="228" w:lineRule="exact"/>
              <w:rPr>
                <w:sz w:val="20"/>
                <w:szCs w:val="20"/>
                <w:color w:val="auto"/>
              </w:rPr>
            </w:pPr>
            <w:r>
              <w:rPr>
                <w:rFonts w:ascii="Times New Roman" w:cs="Times New Roman" w:eastAsia="Times New Roman" w:hAnsi="Times New Roman"/>
                <w:sz w:val="20"/>
                <w:szCs w:val="20"/>
                <w:color w:val="auto"/>
              </w:rPr>
              <w:t>Total minimum future rental income</w:t>
            </w:r>
          </w:p>
        </w:tc>
        <w:tc>
          <w:tcPr>
            <w:tcW w:w="560" w:type="dxa"/>
            <w:vAlign w:val="bottom"/>
          </w:tcPr>
          <w:p>
            <w:pPr>
              <w:jc w:val="right"/>
              <w:ind w:right="36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2,599</w:t>
            </w:r>
          </w:p>
        </w:tc>
        <w:tc>
          <w:tcPr>
            <w:tcW w:w="2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Guarantees</w:t>
      </w:r>
    </w:p>
    <w:p>
      <w:pPr>
        <w:spacing w:after="0" w:line="2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As part of the strategy for our store program, we have guaranteed certain lease obligations of licensee operators. Lease guarantees range from one to five years. We were contingently liable under licensee lease obligation guarantees in the amount of $1,845 and $1,880 at November 25, 2023 and November 26, 2022, respectively.</w:t>
      </w:r>
    </w:p>
    <w:p>
      <w:pPr>
        <w:spacing w:after="0" w:line="1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 the event of default by an independent dealer under the guaranteed lease, we believe that the risk of loss is mitigated through a combination of options that include, but are not limited to, arranging for a replacement dealer, liquidating the collateral, and pursuing payment under the personal guarantees of the independent dealer. The proceeds of the above options are estimated to cover the maximum amount of our future payments under the guarantee obligations, net of reserves. The fair value of lease guarantees (an estimate of the cost to the Company to perform on these guarantees) at November 25, 2023 and November 26, 2022, were not material.</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Contingencies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We are involved in various claims and actions which arise in the normal course of business. Although the final outcome of these matters cannot be determined, based on the facts presently known, it is our opinion that the final resolution of these matters will not have a material adverse effect on our financial position or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940"/>
          </w:cols>
          <w:pgMar w:left="1160" w:top="925" w:right="1140" w:bottom="175"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Earnings (Loss) Per Share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computation of basic and diluted earnings (loss) per share: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(loss) per share - continuing operations:</w:t>
            </w: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05"/>
        </w:trPr>
        <w:tc>
          <w:tcPr>
            <w:tcW w:w="55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Numerator: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(3,171)</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25,360</w:t>
            </w:r>
          </w:p>
        </w:tc>
        <w:tc>
          <w:tcPr>
            <w:tcW w:w="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16,921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Denominator:</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Denominator for basic income per share - weighted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average shares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8,784,759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9,394,873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9,835,829</w:t>
            </w:r>
          </w:p>
        </w:tc>
        <w:tc>
          <w:tcPr>
            <w:tcW w:w="0" w:type="dxa"/>
            <w:vAlign w:val="bottom"/>
          </w:tcPr>
          <w:p>
            <w:pPr>
              <w:spacing w:after="0"/>
              <w:rPr>
                <w:sz w:val="1"/>
                <w:szCs w:val="1"/>
                <w:color w:val="auto"/>
              </w:rPr>
            </w:pPr>
          </w:p>
        </w:tc>
      </w:tr>
      <w:tr>
        <w:trPr>
          <w:trHeight w:val="25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7,945</w:t>
            </w:r>
          </w:p>
        </w:tc>
        <w:tc>
          <w:tcPr>
            <w:tcW w:w="0" w:type="dxa"/>
            <w:vAlign w:val="bottom"/>
          </w:tcPr>
          <w:p>
            <w:pPr>
              <w:spacing w:after="0"/>
              <w:rPr>
                <w:sz w:val="1"/>
                <w:szCs w:val="1"/>
                <w:color w:val="auto"/>
              </w:rPr>
            </w:pPr>
          </w:p>
        </w:tc>
      </w:tr>
      <w:tr>
        <w:trPr>
          <w:trHeight w:val="205"/>
        </w:trPr>
        <w:tc>
          <w:tcPr>
            <w:tcW w:w="5540" w:type="dxa"/>
            <w:vAlign w:val="bottom"/>
          </w:tcPr>
          <w:p>
            <w:pPr>
              <w:ind w:left="720"/>
              <w:spacing w:after="0" w:line="206" w:lineRule="exact"/>
              <w:rPr>
                <w:sz w:val="20"/>
                <w:szCs w:val="20"/>
                <w:color w:val="auto"/>
              </w:rPr>
            </w:pPr>
            <w:r>
              <w:rPr>
                <w:rFonts w:ascii="Times New Roman" w:cs="Times New Roman" w:eastAsia="Times New Roman" w:hAnsi="Times New Roman"/>
                <w:sz w:val="20"/>
                <w:szCs w:val="20"/>
                <w:color w:val="auto"/>
              </w:rPr>
              <w:t>Denominator for diluted income per share — weighted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average shares and assumed conversions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8,784,759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9,402,980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9,843,774</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Basic income (loss) per share - continuing operations: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(0.36)</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Diluted income (loss) per share - continuing operations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(0.36)</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Earnings per share - discontinued operations:</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Numerator:</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Net income from discontinued operations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39,985</w:t>
            </w:r>
          </w:p>
        </w:tc>
        <w:tc>
          <w:tcPr>
            <w:tcW w:w="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Denominator:</w:t>
            </w: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5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Denominator for basic income per share - weighted</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average shares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8,784,759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9,394,873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9,835,829</w:t>
            </w:r>
          </w:p>
        </w:tc>
        <w:tc>
          <w:tcPr>
            <w:tcW w:w="0" w:type="dxa"/>
            <w:vAlign w:val="bottom"/>
          </w:tcPr>
          <w:p>
            <w:pPr>
              <w:spacing w:after="0"/>
              <w:rPr>
                <w:sz w:val="1"/>
                <w:szCs w:val="1"/>
                <w:color w:val="auto"/>
              </w:rPr>
            </w:pPr>
          </w:p>
        </w:tc>
      </w:tr>
      <w:tr>
        <w:trPr>
          <w:trHeight w:val="250"/>
        </w:trPr>
        <w:tc>
          <w:tcPr>
            <w:tcW w:w="554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Effect of dilutive securities*</w:t>
            </w: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8,107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5540" w:type="dxa"/>
            <w:vAlign w:val="bottom"/>
          </w:tcPr>
          <w:p>
            <w:pPr>
              <w:ind w:left="720"/>
              <w:spacing w:after="0" w:line="206" w:lineRule="exact"/>
              <w:rPr>
                <w:sz w:val="20"/>
                <w:szCs w:val="20"/>
                <w:color w:val="auto"/>
              </w:rPr>
            </w:pPr>
            <w:r>
              <w:rPr>
                <w:rFonts w:ascii="Times New Roman" w:cs="Times New Roman" w:eastAsia="Times New Roman" w:hAnsi="Times New Roman"/>
                <w:sz w:val="20"/>
                <w:szCs w:val="20"/>
                <w:color w:val="auto"/>
              </w:rPr>
              <w:t>Denominator for diluted income per share — weighted</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54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average shares and assumed conversions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8,784,759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9,402,980</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9,835,829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Basic income per share - discontinued operations</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4.26</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Diluted income per share - discontinued operations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4.26</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*Due to the net loss in 2023, the potentially dilutive securities would have been anti-dilutive and are therefore excluded.</w:t>
      </w:r>
    </w:p>
    <w:p>
      <w:pPr>
        <w:spacing w:after="0" w:line="24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For fiscal 2023, 2022 and 2021, the following potentially dilutive shares were excluded from the computations as their effect was anti-dilutive:</w:t>
      </w:r>
    </w:p>
    <w:p>
      <w:pPr>
        <w:spacing w:after="0" w:line="155" w:lineRule="exact"/>
        <w:rPr>
          <w:sz w:val="20"/>
          <w:szCs w:val="20"/>
          <w:color w:val="auto"/>
        </w:rPr>
      </w:pPr>
    </w:p>
    <w:tbl>
      <w:tblPr>
        <w:tblLayout w:type="fixed"/>
        <w:tblInd w:w="1360" w:type="dxa"/>
        <w:tblCellMar>
          <w:top w:w="0" w:type="dxa"/>
          <w:left w:w="0" w:type="dxa"/>
          <w:bottom w:w="0" w:type="dxa"/>
          <w:right w:w="0" w:type="dxa"/>
        </w:tblCellMar>
      </w:tblPr>
      <w:tr>
        <w:trPr>
          <w:trHeight w:val="254"/>
        </w:trPr>
        <w:tc>
          <w:tcPr>
            <w:tcW w:w="3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Unvested restricted shares</w:t>
            </w: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40" w:type="dxa"/>
            <w:vAlign w:val="bottom"/>
          </w:tcPr>
          <w:p>
            <w:pPr>
              <w:spacing w:after="0"/>
              <w:rPr>
                <w:sz w:val="22"/>
                <w:szCs w:val="22"/>
                <w:color w:val="auto"/>
              </w:rPr>
            </w:pPr>
          </w:p>
        </w:tc>
        <w:tc>
          <w:tcPr>
            <w:tcW w:w="10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3820" w:type="dxa"/>
            <w:vAlign w:val="bottom"/>
            <w:vMerge w:val="continue"/>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92,313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9940"/>
          </w:cols>
          <w:pgMar w:left="1160" w:top="925" w:right="1140" w:bottom="175"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Discontinued Operations</w:t>
      </w:r>
    </w:p>
    <w:p>
      <w:pPr>
        <w:spacing w:after="0" w:line="23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On January 31, 2022, we entered into a definitive agreement to sell substantially all of the assets of Zenith to J.B. Hunt. The sale was completed on February 28, 2022, at which time we received the following net proceeds: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Sales price prior to post-closing working capital adjustment</w:t>
            </w:r>
          </w:p>
        </w:tc>
        <w:tc>
          <w:tcPr>
            <w:tcW w:w="54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86,939</w:t>
            </w:r>
          </w:p>
        </w:tc>
      </w:tr>
      <w:tr>
        <w:trPr>
          <w:trHeight w:val="230"/>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Less:</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29"/>
        </w:trPr>
        <w:tc>
          <w:tcPr>
            <w:tcW w:w="8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Amount held in escrow for contingencies related to representations and warranties (1)</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w:t>
            </w:r>
          </w:p>
        </w:tc>
      </w:tr>
      <w:tr>
        <w:trPr>
          <w:trHeight w:val="230"/>
        </w:trPr>
        <w:tc>
          <w:tcPr>
            <w:tcW w:w="8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Seller expenses paid at closing</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w:t>
            </w:r>
          </w:p>
        </w:tc>
      </w:tr>
      <w:tr>
        <w:trPr>
          <w:trHeight w:val="250"/>
        </w:trPr>
        <w:tc>
          <w:tcPr>
            <w:tcW w:w="83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Working capital adjustment paid to buyer</w:t>
            </w:r>
          </w:p>
        </w:tc>
        <w:tc>
          <w:tcPr>
            <w:tcW w:w="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w:t>
            </w:r>
          </w:p>
        </w:tc>
      </w:tr>
      <w:tr>
        <w:trPr>
          <w:trHeight w:val="456"/>
        </w:trPr>
        <w:tc>
          <w:tcPr>
            <w:tcW w:w="8320" w:type="dxa"/>
            <w:vAlign w:val="bottom"/>
          </w:tcPr>
          <w:p>
            <w:pPr>
              <w:spacing w:after="0"/>
              <w:rPr>
                <w:sz w:val="20"/>
                <w:szCs w:val="20"/>
                <w:color w:val="auto"/>
              </w:rPr>
            </w:pPr>
            <w:r>
              <w:rPr>
                <w:rFonts w:ascii="Times New Roman" w:cs="Times New Roman" w:eastAsia="Times New Roman" w:hAnsi="Times New Roman"/>
                <w:sz w:val="20"/>
                <w:szCs w:val="20"/>
                <w:color w:val="auto"/>
              </w:rPr>
              <w:t>Net proceeds from the sale</w:t>
            </w:r>
          </w:p>
        </w:tc>
        <w:tc>
          <w:tcPr>
            <w:tcW w:w="5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84,534</w:t>
            </w:r>
          </w:p>
        </w:tc>
      </w:tr>
      <w:tr>
        <w:trPr>
          <w:trHeight w:val="20"/>
        </w:trPr>
        <w:tc>
          <w:tcPr>
            <w:tcW w:w="8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760" w:hanging="389"/>
        <w:spacing w:after="0" w:line="258" w:lineRule="auto"/>
        <w:tabs>
          <w:tab w:leader="none" w:pos="76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was held in escrow until the first anniversary of the sale, at which time the full amount was released to the Company on March 2, 2023. This amount was included in other current assets in the accompanying condensed consolidated balance sheet at November 26, 2022.</w:t>
      </w:r>
    </w:p>
    <w:p>
      <w:pPr>
        <w:spacing w:after="0" w:line="178"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The sales price was subject to customary post-closing working capital adjustments which were paid during the second half of fiscal 2022 and resulted in a pre-tax gain from the sale of Zenith of $52,534.</w:t>
      </w:r>
    </w:p>
    <w:p>
      <w:pPr>
        <w:spacing w:after="0" w:line="15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The operations of our logistical services segment, which consisted entirely of the operations of Zenith, are presented in the accompanying consolidated statements of operations as discontinued operations.</w:t>
      </w:r>
    </w:p>
    <w:p>
      <w:pPr>
        <w:spacing w:after="0" w:line="15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Following the sale of Zenith, certain of Zenith’s liabilities primarily representing reserves and accrued liabilities for pre-disposal workers’ compensation, health insurance and auto liability claims were retained by Bassett. The remaining balance of these reserves and accruals totaled $358 and $639 at November 25, 2023 and November 26, 2022, respectively, and are included in other current liabilities and accrued expenses in the accompanying condensed consolidated balance sheet.</w:t>
      </w:r>
    </w:p>
    <w:p>
      <w:pPr>
        <w:spacing w:after="0" w:line="18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major classes of line items constituting income of the discontinued operations, as reported in the consolidated statements of operations for fiscal 2023, 2022 and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Major line items constituting pretax income of discontinued operations:</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2023</w:t>
            </w:r>
          </w:p>
        </w:tc>
        <w:tc>
          <w:tcPr>
            <w:tcW w:w="2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63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Logistical services revenue</w:t>
            </w:r>
          </w:p>
        </w:tc>
        <w:tc>
          <w:tcPr>
            <w:tcW w:w="820" w:type="dxa"/>
            <w:vAlign w:val="bottom"/>
          </w:tcPr>
          <w:p>
            <w:pPr>
              <w:jc w:val="right"/>
              <w:ind w:right="62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16,776</w:t>
            </w:r>
          </w:p>
        </w:tc>
        <w:tc>
          <w:tcPr>
            <w:tcW w:w="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55,648</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Cost of logistical services</w:t>
            </w:r>
          </w:p>
        </w:tc>
        <w:tc>
          <w:tcPr>
            <w:tcW w:w="82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15,001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53,905</w:t>
            </w:r>
          </w:p>
        </w:tc>
        <w:tc>
          <w:tcPr>
            <w:tcW w:w="0" w:type="dxa"/>
            <w:vAlign w:val="bottom"/>
          </w:tcPr>
          <w:p>
            <w:pPr>
              <w:spacing w:after="0"/>
              <w:rPr>
                <w:sz w:val="1"/>
                <w:szCs w:val="1"/>
                <w:color w:val="auto"/>
              </w:rPr>
            </w:pPr>
          </w:p>
        </w:tc>
      </w:tr>
      <w:tr>
        <w:trPr>
          <w:trHeight w:val="25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rPr>
              <w:t>Other loss, net</w:t>
            </w: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435"/>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operations of logistical services</w:t>
            </w:r>
          </w:p>
        </w:tc>
        <w:tc>
          <w:tcPr>
            <w:tcW w:w="8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Gain on disposal</w:t>
            </w:r>
          </w:p>
        </w:tc>
        <w:tc>
          <w:tcPr>
            <w:tcW w:w="8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52,534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5"/>
        </w:trPr>
        <w:tc>
          <w:tcPr>
            <w:tcW w:w="6320" w:type="dxa"/>
            <w:vAlign w:val="bottom"/>
            <w:gridSpan w:val="2"/>
          </w:tcPr>
          <w:p>
            <w:pPr>
              <w:spacing w:after="0" w:line="206" w:lineRule="exact"/>
              <w:rPr>
                <w:sz w:val="20"/>
                <w:szCs w:val="20"/>
                <w:color w:val="auto"/>
              </w:rPr>
            </w:pPr>
            <w:r>
              <w:rPr>
                <w:rFonts w:ascii="Times New Roman" w:cs="Times New Roman" w:eastAsia="Times New Roman" w:hAnsi="Times New Roman"/>
                <w:sz w:val="20"/>
                <w:szCs w:val="20"/>
                <w:color w:val="auto"/>
              </w:rPr>
              <w:t>Pretax income of discontinued operations</w:t>
            </w: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54,246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1,483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82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362</w:t>
            </w:r>
          </w:p>
        </w:tc>
        <w:tc>
          <w:tcPr>
            <w:tcW w:w="0" w:type="dxa"/>
            <w:vAlign w:val="bottom"/>
          </w:tcPr>
          <w:p>
            <w:pPr>
              <w:spacing w:after="0"/>
              <w:rPr>
                <w:sz w:val="1"/>
                <w:szCs w:val="1"/>
                <w:color w:val="auto"/>
              </w:rPr>
            </w:pPr>
          </w:p>
        </w:tc>
      </w:tr>
      <w:tr>
        <w:trPr>
          <w:trHeight w:val="456"/>
        </w:trPr>
        <w:tc>
          <w:tcPr>
            <w:tcW w:w="6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Income from discontinued operations, net of tax</w:t>
            </w:r>
          </w:p>
        </w:tc>
        <w:tc>
          <w:tcPr>
            <w:tcW w:w="820" w:type="dxa"/>
            <w:vAlign w:val="bottom"/>
            <w:tcBorders>
              <w:top w:val="single" w:sz="8" w:color="auto"/>
            </w:tcBorders>
          </w:tcPr>
          <w:p>
            <w:pPr>
              <w:jc w:val="right"/>
              <w:ind w:right="62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39,985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amounts for revenue and costs of logistical services shown above represent the results of Zenith’s business transactions with third parties. Zenith also charged Bassett for logistical services provided to our wholesale segment in the amount of $9,121 during 2022 prior to disposal, and $31,329 for all of 2021. We have entered into a service agreement with J.B. Hunt for the continuation of these services for a period of seven years following the sale of Zenith. Subsequent to the sale, we incurred $26,125 and $27,604 of expense during 2023 and 2022, respectively, for the performance of logistical services.</w:t>
      </w:r>
    </w:p>
    <w:p>
      <w:pPr>
        <w:spacing w:after="0" w:line="187"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Included in other loss, net, is interest arising from finance leases assumed by J.B. Hunt as part of the transaction. Such interest amounted to $78 and $289 for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940"/>
          </w:cols>
          <w:pgMar w:left="1160" w:top="925" w:right="1140" w:bottom="175"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The following table summarizes the cash flows generated by discontinued operations during 2023, 2022 and 2021:</w:t>
      </w:r>
    </w:p>
    <w:p>
      <w:pPr>
        <w:spacing w:after="0" w:line="227" w:lineRule="exact"/>
        <w:rPr>
          <w:sz w:val="20"/>
          <w:szCs w:val="20"/>
          <w:color w:val="auto"/>
        </w:rPr>
      </w:pPr>
    </w:p>
    <w:tbl>
      <w:tblPr>
        <w:tblLayout w:type="fixed"/>
        <w:tblInd w:w="8" w:type="dxa"/>
        <w:tblCellMar>
          <w:top w:w="0" w:type="dxa"/>
          <w:left w:w="0" w:type="dxa"/>
          <w:bottom w:w="0" w:type="dxa"/>
          <w:right w:w="0" w:type="dxa"/>
        </w:tblCellMar>
      </w:tblPr>
      <w:tr>
        <w:trPr>
          <w:trHeight w:val="254"/>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Cash provided by operating activities</w:t>
            </w: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2023 (1)</w:t>
            </w:r>
          </w:p>
        </w:tc>
        <w:tc>
          <w:tcPr>
            <w:tcW w:w="2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2022 (1)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560" w:type="dxa"/>
            <w:vAlign w:val="bottom"/>
            <w:gridSpan w:val="2"/>
            <w:vMerge w:val="continue"/>
          </w:tcPr>
          <w:p>
            <w:pPr>
              <w:spacing w:after="0"/>
              <w:rPr>
                <w:sz w:val="17"/>
                <w:szCs w:val="17"/>
                <w:color w:val="auto"/>
              </w:rPr>
            </w:pPr>
          </w:p>
        </w:tc>
        <w:tc>
          <w:tcPr>
            <w:tcW w:w="1100" w:type="dxa"/>
            <w:vAlign w:val="bottom"/>
          </w:tcPr>
          <w:p>
            <w:pPr>
              <w:jc w:val="right"/>
              <w:ind w:right="90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7"/>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1,681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ind w:right="80"/>
              <w:spacing w:after="0" w:line="205"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4,082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used in investing activities</w:t>
            </w:r>
          </w:p>
        </w:tc>
        <w:tc>
          <w:tcPr>
            <w:tcW w:w="11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(81 )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(4,508)</w:t>
            </w:r>
          </w:p>
        </w:tc>
        <w:tc>
          <w:tcPr>
            <w:tcW w:w="0" w:type="dxa"/>
            <w:vAlign w:val="bottom"/>
          </w:tcPr>
          <w:p>
            <w:pPr>
              <w:spacing w:after="0"/>
              <w:rPr>
                <w:sz w:val="1"/>
                <w:szCs w:val="1"/>
                <w:color w:val="auto"/>
              </w:rPr>
            </w:pPr>
          </w:p>
        </w:tc>
      </w:tr>
      <w:tr>
        <w:trPr>
          <w:trHeight w:val="250"/>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used in financing activities</w:t>
            </w:r>
          </w:p>
        </w:tc>
        <w:tc>
          <w:tcPr>
            <w:tcW w:w="1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(371 )</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55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cash provided by (used in) discontinued operations</w:t>
            </w:r>
          </w:p>
        </w:tc>
        <w:tc>
          <w:tcPr>
            <w:tcW w:w="1100" w:type="dxa"/>
            <w:vAlign w:val="bottom"/>
          </w:tcPr>
          <w:p>
            <w:pPr>
              <w:jc w:val="right"/>
              <w:ind w:right="900"/>
              <w:spacing w:after="0"/>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jc w:val="right"/>
              <w:ind w:right="2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1,229</w:t>
            </w:r>
          </w:p>
        </w:tc>
        <w:tc>
          <w:tcPr>
            <w:tcW w:w="20" w:type="dxa"/>
            <w:vAlign w:val="bottom"/>
          </w:tcPr>
          <w:p>
            <w:pPr>
              <w:spacing w:after="0"/>
              <w:rPr>
                <w:sz w:val="24"/>
                <w:szCs w:val="24"/>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(1,685)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68" w:hanging="389"/>
        <w:spacing w:after="0"/>
        <w:tabs>
          <w:tab w:leader="none" w:pos="76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net proceeds from the sale of Zenith.</w:t>
      </w:r>
    </w:p>
    <w:p>
      <w:pPr>
        <w:spacing w:after="0" w:line="200" w:lineRule="exact"/>
        <w:rPr>
          <w:rFonts w:ascii="Times New Roman" w:cs="Times New Roman" w:eastAsia="Times New Roman" w:hAnsi="Times New Roman"/>
          <w:sz w:val="20"/>
          <w:szCs w:val="20"/>
          <w:color w:val="auto"/>
        </w:rPr>
      </w:pPr>
    </w:p>
    <w:p>
      <w:pPr>
        <w:spacing w:after="0" w:line="256"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As of the beginning of fiscal 2023 we have strategically aligned our business into three reportable segments as defined in</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 xml:space="preserve">ASC 280, </w:t>
      </w:r>
      <w:r>
        <w:rPr>
          <w:rFonts w:ascii="Times New Roman" w:cs="Times New Roman" w:eastAsia="Times New Roman" w:hAnsi="Times New Roman"/>
          <w:sz w:val="20"/>
          <w:szCs w:val="20"/>
          <w:i w:val="1"/>
          <w:iCs w:val="1"/>
          <w:color w:val="auto"/>
        </w:rPr>
        <w:t>Segment Reporting</w:t>
      </w:r>
      <w:r>
        <w:rPr>
          <w:rFonts w:ascii="Times New Roman" w:cs="Times New Roman" w:eastAsia="Times New Roman" w:hAnsi="Times New Roman"/>
          <w:sz w:val="20"/>
          <w:szCs w:val="20"/>
          <w:color w:val="auto"/>
        </w:rPr>
        <w:t>, and as described below:</w:t>
      </w:r>
    </w:p>
    <w:p>
      <w:pPr>
        <w:spacing w:after="0" w:line="198" w:lineRule="exact"/>
        <w:rPr>
          <w:sz w:val="20"/>
          <w:szCs w:val="20"/>
          <w:color w:val="auto"/>
        </w:rPr>
      </w:pPr>
    </w:p>
    <w:p>
      <w:pPr>
        <w:jc w:val="both"/>
        <w:ind w:left="728" w:hanging="368"/>
        <w:spacing w:after="0" w:line="254" w:lineRule="auto"/>
        <w:tabs>
          <w:tab w:leader="none" w:pos="7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Wholesale. </w:t>
      </w:r>
      <w:r>
        <w:rPr>
          <w:rFonts w:ascii="Times New Roman" w:cs="Times New Roman" w:eastAsia="Times New Roman" w:hAnsi="Times New Roman"/>
          <w:sz w:val="20"/>
          <w:szCs w:val="20"/>
          <w:color w:val="auto"/>
        </w:rPr>
        <w:t>The wholesale home furnishings segment is involved principally in the design, manufacture, sourcing,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sale and distribution of furniture products to a network of Bassett stores (Company-owned and licensee-owned retail stores) and independent furniture retailers. Our wholesale segment includes our wood and upholstery operations, which includes Lane Venture.</w:t>
      </w:r>
    </w:p>
    <w:p>
      <w:pPr>
        <w:spacing w:after="0" w:line="176" w:lineRule="exact"/>
        <w:rPr>
          <w:rFonts w:ascii="Times New Roman" w:cs="Times New Roman" w:eastAsia="Times New Roman" w:hAnsi="Times New Roman"/>
          <w:sz w:val="20"/>
          <w:szCs w:val="20"/>
          <w:color w:val="auto"/>
        </w:rPr>
      </w:pPr>
    </w:p>
    <w:p>
      <w:pPr>
        <w:jc w:val="both"/>
        <w:ind w:left="728" w:hanging="368"/>
        <w:spacing w:after="0" w:line="260" w:lineRule="auto"/>
        <w:tabs>
          <w:tab w:leader="none" w:pos="7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Retail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Company-owned stores. </w:t>
      </w:r>
      <w:r>
        <w:rPr>
          <w:rFonts w:ascii="Times New Roman" w:cs="Times New Roman" w:eastAsia="Times New Roman" w:hAnsi="Times New Roman"/>
          <w:sz w:val="20"/>
          <w:szCs w:val="20"/>
          <w:color w:val="auto"/>
        </w:rPr>
        <w:t>Our retail segment consists of Company-owned stores and includes the revenues,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assets and liabilities and capital expenditures directly related to these stores and the Company-owned distribution network utilized to deliver products to our retail customers.</w:t>
      </w:r>
    </w:p>
    <w:p>
      <w:pPr>
        <w:spacing w:after="0" w:line="172" w:lineRule="exact"/>
        <w:rPr>
          <w:rFonts w:ascii="Times New Roman" w:cs="Times New Roman" w:eastAsia="Times New Roman" w:hAnsi="Times New Roman"/>
          <w:sz w:val="20"/>
          <w:szCs w:val="20"/>
          <w:color w:val="auto"/>
        </w:rPr>
      </w:pPr>
    </w:p>
    <w:p>
      <w:pPr>
        <w:jc w:val="both"/>
        <w:ind w:left="728" w:hanging="368"/>
        <w:spacing w:after="0" w:line="247" w:lineRule="auto"/>
        <w:tabs>
          <w:tab w:leader="none" w:pos="72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Corporate and other </w:t>
      </w:r>
      <w:r>
        <w:rPr>
          <w:rFonts w:ascii="Times New Roman" w:cs="Times New Roman" w:eastAsia="Times New Roman" w:hAnsi="Times New Roman"/>
          <w:sz w:val="20"/>
          <w:szCs w:val="20"/>
          <w:color w:val="auto"/>
        </w:rPr>
        <w:t>– Corporate and other includes the shared costs of corporate functions such as treasury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finance, information technology, accounting, human resources, legal and others, including certain product development and marketing functions benefitting both wholesale and retail operations. In addition to property and equipment and various other assets associated with the shared corporate functions, the identifiable assets of Corporate and other include substantially all of our cash and our investments in CDs. We consider our corporate functions to be other business activities and have aggregated them with our other insignificant operating segment, the recently acquired Noa Home (see Note 3).</w:t>
      </w:r>
    </w:p>
    <w:p>
      <w:pPr>
        <w:spacing w:after="0" w:line="187"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20"/>
          <w:szCs w:val="20"/>
          <w:color w:val="auto"/>
        </w:rPr>
        <w:t>Inter-company net sales elimination represents the elimination of wholesale sales to our Company-owned stores. Inter-company income elimination includes the embedded wholesale profit in the Company-owned store inventory that has not been realized. These profits will be recorded when merchandise is delivered to the retail consumer. The inter-company income elimination also includes rent paid by our retail stores occupying Company-owned real estate.</w:t>
      </w:r>
    </w:p>
    <w:p>
      <w:pPr>
        <w:spacing w:after="0" w:line="184" w:lineRule="exact"/>
        <w:rPr>
          <w:sz w:val="20"/>
          <w:szCs w:val="20"/>
          <w:color w:val="auto"/>
        </w:rPr>
      </w:pPr>
    </w:p>
    <w:p>
      <w:pPr>
        <w:jc w:val="both"/>
        <w:ind w:left="8"/>
        <w:spacing w:after="0" w:line="246" w:lineRule="auto"/>
        <w:rPr>
          <w:sz w:val="20"/>
          <w:szCs w:val="20"/>
          <w:color w:val="auto"/>
        </w:rPr>
      </w:pPr>
      <w:r>
        <w:rPr>
          <w:rFonts w:ascii="Times New Roman" w:cs="Times New Roman" w:eastAsia="Times New Roman" w:hAnsi="Times New Roman"/>
          <w:sz w:val="20"/>
          <w:szCs w:val="20"/>
          <w:color w:val="auto"/>
        </w:rPr>
        <w:t>Prior to the beginning of fiscal 2023, the functions included in Corporate and other were included in our wholesale reportable segment, and Noa Home was included in our retail reportable segment for the fourth quarter of fiscal 2022 following its acquisition on September 2, 2022. We believe that the new alignment of our reporting segments provides our chief operating decision maker with clearer information with which to assess the operating results of our wholesale segment. Noa Home does not meet the requirements to be a separate reportable segment as it is below the thresholds of the revenue, income and asset tests. The segment information presented below for fiscal 2022 and 2021 has been restated to reflect the new alignment of our reportable segments.</w:t>
      </w:r>
    </w:p>
    <w:p>
      <w:pPr>
        <w:spacing w:after="0" w:line="189" w:lineRule="exact"/>
        <w:rPr>
          <w:sz w:val="20"/>
          <w:szCs w:val="20"/>
          <w:color w:val="auto"/>
        </w:rPr>
      </w:pPr>
    </w:p>
    <w:p>
      <w:pPr>
        <w:jc w:val="both"/>
        <w:ind w:left="8" w:right="20"/>
        <w:spacing w:after="0" w:line="278" w:lineRule="auto"/>
        <w:rPr>
          <w:sz w:val="20"/>
          <w:szCs w:val="20"/>
          <w:color w:val="auto"/>
        </w:rPr>
      </w:pPr>
      <w:r>
        <w:rPr>
          <w:rFonts w:ascii="Times New Roman" w:cs="Times New Roman" w:eastAsia="Times New Roman" w:hAnsi="Times New Roman"/>
          <w:sz w:val="20"/>
          <w:szCs w:val="20"/>
          <w:color w:val="auto"/>
        </w:rPr>
        <w:t>Our former logistical services segment which represented the operations of Zenith is now presented as a discontinued operation in the accompanying condensed consolidated balances sheets and statements of operations (see Note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48"/>
          </w:cols>
          <w:pgMar w:left="1152" w:top="925" w:right="1140" w:bottom="175"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segment information for each of the last three fiscal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Sales Revenue</w:t>
            </w: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Wholesale sales of furniture and accessories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248,911</w:t>
            </w:r>
          </w:p>
        </w:tc>
        <w:tc>
          <w:tcPr>
            <w:tcW w:w="18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324,569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Less: Sales to retail segment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(103,519)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(125,889)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(112,270)</w:t>
            </w:r>
          </w:p>
        </w:tc>
        <w:tc>
          <w:tcPr>
            <w:tcW w:w="0" w:type="dxa"/>
            <w:vAlign w:val="bottom"/>
          </w:tcPr>
          <w:p>
            <w:pPr>
              <w:spacing w:after="0"/>
              <w:rPr>
                <w:sz w:val="1"/>
                <w:szCs w:val="1"/>
                <w:color w:val="auto"/>
              </w:rPr>
            </w:pPr>
          </w:p>
        </w:tc>
      </w:tr>
      <w:tr>
        <w:trPr>
          <w:trHeight w:val="205"/>
        </w:trPr>
        <w:tc>
          <w:tcPr>
            <w:tcW w:w="4940" w:type="dxa"/>
            <w:vAlign w:val="bottom"/>
          </w:tcPr>
          <w:p>
            <w:pPr>
              <w:ind w:left="180"/>
              <w:spacing w:after="0" w:line="206" w:lineRule="exact"/>
              <w:rPr>
                <w:sz w:val="20"/>
                <w:szCs w:val="20"/>
                <w:color w:val="auto"/>
              </w:rPr>
            </w:pPr>
            <w:r>
              <w:rPr>
                <w:rFonts w:ascii="Times New Roman" w:cs="Times New Roman" w:eastAsia="Times New Roman" w:hAnsi="Times New Roman"/>
                <w:sz w:val="20"/>
                <w:szCs w:val="20"/>
                <w:color w:val="auto"/>
              </w:rPr>
              <w:t>Wholesale sales to external customers</w:t>
            </w: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145,392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198,680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183,059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Retail sales of furniture and accessories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285,119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247,827</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Corporate &amp; Other</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1,802</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6"/>
        </w:trPr>
        <w:tc>
          <w:tcPr>
            <w:tcW w:w="494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Consolidated net sales of furniture and accessories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390,136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485,601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6"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6" w:lineRule="exact"/>
              <w:rPr>
                <w:sz w:val="20"/>
                <w:szCs w:val="20"/>
                <w:color w:val="auto"/>
              </w:rPr>
            </w:pPr>
            <w:r>
              <w:rPr>
                <w:rFonts w:ascii="Times New Roman" w:cs="Times New Roman" w:eastAsia="Times New Roman" w:hAnsi="Times New Roman"/>
                <w:sz w:val="20"/>
                <w:szCs w:val="20"/>
                <w:color w:val="auto"/>
              </w:rPr>
              <w:t>430,886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Income (loss) from Continuing Operations</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Wholesale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30,699</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41,979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43,946</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(536)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19,352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3,924</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 expenses - Corporate and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(29,926)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(30,997)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(24,829)</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Inter-company elimination</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1,216</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Gain on revaluation of contingent consideration</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 impairment charge</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(5,409)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Gain on sale of real estate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4,595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5"/>
        </w:trPr>
        <w:tc>
          <w:tcPr>
            <w:tcW w:w="49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Consolidated income (loss) from continuing operations</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(3,135)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34,865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24,257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Depreciation and Amortization</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Wholesale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2,455</w:t>
            </w:r>
          </w:p>
        </w:tc>
        <w:tc>
          <w:tcPr>
            <w:tcW w:w="18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2,410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2,112</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5,750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6,580</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1,883</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1,274</w:t>
            </w:r>
          </w:p>
        </w:tc>
        <w:tc>
          <w:tcPr>
            <w:tcW w:w="0" w:type="dxa"/>
            <w:vAlign w:val="bottom"/>
          </w:tcPr>
          <w:p>
            <w:pPr>
              <w:spacing w:after="0"/>
              <w:rPr>
                <w:sz w:val="1"/>
                <w:szCs w:val="1"/>
                <w:color w:val="auto"/>
              </w:rPr>
            </w:pPr>
          </w:p>
        </w:tc>
      </w:tr>
      <w:tr>
        <w:trPr>
          <w:trHeight w:val="25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Discontinued operations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1,266</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4,631</w:t>
            </w:r>
          </w:p>
        </w:tc>
        <w:tc>
          <w:tcPr>
            <w:tcW w:w="0" w:type="dxa"/>
            <w:vAlign w:val="bottom"/>
          </w:tcPr>
          <w:p>
            <w:pPr>
              <w:spacing w:after="0"/>
              <w:rPr>
                <w:sz w:val="1"/>
                <w:szCs w:val="1"/>
                <w:color w:val="auto"/>
              </w:rPr>
            </w:pPr>
          </w:p>
        </w:tc>
      </w:tr>
      <w:tr>
        <w:trPr>
          <w:trHeight w:val="225"/>
        </w:trPr>
        <w:tc>
          <w:tcPr>
            <w:tcW w:w="49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Consolidated</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10,141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11,309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14,597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Wholesale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2,295</w:t>
            </w:r>
          </w:p>
        </w:tc>
        <w:tc>
          <w:tcPr>
            <w:tcW w:w="180" w:type="dxa"/>
            <w:vAlign w:val="bottom"/>
          </w:tcPr>
          <w:p>
            <w:pPr>
              <w:spacing w:after="0"/>
              <w:rPr>
                <w:sz w:val="19"/>
                <w:szCs w:val="19"/>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5,509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4,177</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10,549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299</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5,238</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1,766</w:t>
            </w:r>
          </w:p>
        </w:tc>
        <w:tc>
          <w:tcPr>
            <w:tcW w:w="0" w:type="dxa"/>
            <w:vAlign w:val="bottom"/>
          </w:tcPr>
          <w:p>
            <w:pPr>
              <w:spacing w:after="0"/>
              <w:rPr>
                <w:sz w:val="1"/>
                <w:szCs w:val="1"/>
                <w:color w:val="auto"/>
              </w:rPr>
            </w:pPr>
          </w:p>
        </w:tc>
      </w:tr>
      <w:tr>
        <w:trPr>
          <w:trHeight w:val="25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Discontinued operations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4,508</w:t>
            </w:r>
          </w:p>
        </w:tc>
        <w:tc>
          <w:tcPr>
            <w:tcW w:w="0" w:type="dxa"/>
            <w:vAlign w:val="bottom"/>
          </w:tcPr>
          <w:p>
            <w:pPr>
              <w:spacing w:after="0"/>
              <w:rPr>
                <w:sz w:val="1"/>
                <w:szCs w:val="1"/>
                <w:color w:val="auto"/>
              </w:rPr>
            </w:pPr>
          </w:p>
        </w:tc>
      </w:tr>
      <w:tr>
        <w:trPr>
          <w:trHeight w:val="225"/>
        </w:trPr>
        <w:tc>
          <w:tcPr>
            <w:tcW w:w="494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Consolidated</w:t>
            </w: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17,489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21,296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5"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10,750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Identifiable Assets</w:t>
            </w: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Wholesale</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99,004</w:t>
            </w:r>
          </w:p>
        </w:tc>
        <w:tc>
          <w:tcPr>
            <w:tcW w:w="180" w:type="dxa"/>
            <w:vAlign w:val="bottom"/>
          </w:tcPr>
          <w:p>
            <w:pPr>
              <w:spacing w:after="0"/>
              <w:rPr>
                <w:sz w:val="20"/>
                <w:szCs w:val="20"/>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125,433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9"/>
              </w:rPr>
              <w:t>$</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123,469</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Retail</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166,604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162,222</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155,398</w:t>
            </w:r>
          </w:p>
        </w:tc>
        <w:tc>
          <w:tcPr>
            <w:tcW w:w="0" w:type="dxa"/>
            <w:vAlign w:val="bottom"/>
          </w:tcPr>
          <w:p>
            <w:pPr>
              <w:spacing w:after="0"/>
              <w:rPr>
                <w:sz w:val="1"/>
                <w:szCs w:val="1"/>
                <w:color w:val="auto"/>
              </w:rPr>
            </w:pPr>
          </w:p>
        </w:tc>
      </w:tr>
      <w:tr>
        <w:trPr>
          <w:trHeight w:val="229"/>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Corporate and Other</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118,618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78,972</w:t>
            </w:r>
          </w:p>
        </w:tc>
        <w:tc>
          <w:tcPr>
            <w:tcW w:w="0" w:type="dxa"/>
            <w:vAlign w:val="bottom"/>
          </w:tcPr>
          <w:p>
            <w:pPr>
              <w:spacing w:after="0"/>
              <w:rPr>
                <w:sz w:val="1"/>
                <w:szCs w:val="1"/>
                <w:color w:val="auto"/>
              </w:rPr>
            </w:pPr>
          </w:p>
        </w:tc>
      </w:tr>
      <w:tr>
        <w:trPr>
          <w:trHeight w:val="250"/>
        </w:trPr>
        <w:tc>
          <w:tcPr>
            <w:tcW w:w="49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Discontinued operations</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63,821</w:t>
            </w:r>
          </w:p>
        </w:tc>
        <w:tc>
          <w:tcPr>
            <w:tcW w:w="0" w:type="dxa"/>
            <w:vAlign w:val="bottom"/>
          </w:tcPr>
          <w:p>
            <w:pPr>
              <w:spacing w:after="0"/>
              <w:rPr>
                <w:sz w:val="1"/>
                <w:szCs w:val="1"/>
                <w:color w:val="auto"/>
              </w:rPr>
            </w:pPr>
          </w:p>
        </w:tc>
      </w:tr>
      <w:tr>
        <w:trPr>
          <w:trHeight w:val="227"/>
        </w:trPr>
        <w:tc>
          <w:tcPr>
            <w:tcW w:w="494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Consolidated</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370,424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406,273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20"/>
              <w:spacing w:after="0" w:line="228" w:lineRule="exact"/>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top w:val="single" w:sz="8" w:color="auto"/>
              <w:bottom w:val="single" w:sz="8" w:color="auto"/>
            </w:tcBorders>
          </w:tcPr>
          <w:p>
            <w:pPr>
              <w:jc w:val="right"/>
              <w:spacing w:after="0" w:line="228" w:lineRule="exact"/>
              <w:rPr>
                <w:sz w:val="20"/>
                <w:szCs w:val="20"/>
                <w:color w:val="auto"/>
              </w:rPr>
            </w:pPr>
            <w:r>
              <w:rPr>
                <w:rFonts w:ascii="Times New Roman" w:cs="Times New Roman" w:eastAsia="Times New Roman" w:hAnsi="Times New Roman"/>
                <w:sz w:val="20"/>
                <w:szCs w:val="20"/>
                <w:color w:val="auto"/>
              </w:rPr>
              <w:t>421,660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See Note 20 for disaggregated revenue information regarding sales of furniture and accessories by product type for the wholesale and retail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940"/>
          </w:cols>
          <w:pgMar w:left="1160" w:top="925" w:right="1140" w:bottom="175"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 Continued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 Revenue Recognition</w:t>
      </w:r>
    </w:p>
    <w:p>
      <w:pPr>
        <w:spacing w:after="0" w:line="23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color w:val="auto"/>
        </w:rPr>
        <w:t>Disaggregated revenue information for sales of furniture and accessories by product category for fiscal years 2023, 2022 and 2021, excluding intercompany transactions between our segments,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6"/>
                <w:szCs w:val="16"/>
                <w:color w:val="auto"/>
              </w:rPr>
              <w:t>Corporate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6"/>
                <w:szCs w:val="16"/>
                <w:color w:val="auto"/>
              </w:rPr>
              <w:t>Corporate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&amp; Other</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&amp; Other</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Corporate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Wholesale</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7"/>
                <w:szCs w:val="17"/>
                <w:color w:val="auto"/>
              </w:rPr>
            </w:pPr>
          </w:p>
        </w:tc>
        <w:tc>
          <w:tcPr>
            <w:tcW w:w="5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Wholesale</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7"/>
                <w:szCs w:val="17"/>
                <w:color w:val="auto"/>
              </w:rPr>
            </w:pPr>
          </w:p>
        </w:tc>
        <w:tc>
          <w:tcPr>
            <w:tcW w:w="52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Total</w:t>
            </w:r>
          </w:p>
        </w:tc>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Wholesale</w:t>
            </w:r>
          </w:p>
        </w:tc>
        <w:tc>
          <w:tcPr>
            <w:tcW w:w="6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Retail</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&amp; Other</w:t>
            </w:r>
          </w:p>
        </w:tc>
        <w:tc>
          <w:tcPr>
            <w:tcW w:w="16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3"/>
        </w:trPr>
        <w:tc>
          <w:tcPr>
            <w:tcW w:w="146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Upholstery</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$134,000</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$223,005</w:t>
            </w:r>
          </w:p>
        </w:tc>
        <w:tc>
          <w:tcPr>
            <w:tcW w:w="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124,565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$163,755</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$288,320</w:t>
            </w:r>
          </w:p>
        </w:tc>
        <w:tc>
          <w:tcPr>
            <w:tcW w:w="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105,445</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$139,527</w:t>
            </w:r>
          </w:p>
        </w:tc>
        <w:tc>
          <w:tcPr>
            <w:tcW w:w="64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$244,972</w:t>
            </w: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Leather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640" w:type="dxa"/>
            <w:vAlign w:val="bottom"/>
          </w:tcPr>
          <w:p>
            <w:pPr>
              <w:spacing w:after="0"/>
              <w:rPr>
                <w:sz w:val="15"/>
                <w:szCs w:val="15"/>
                <w:color w:val="auto"/>
              </w:rPr>
            </w:pPr>
          </w:p>
        </w:tc>
        <w:tc>
          <w:tcPr>
            <w:tcW w:w="16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36,383</w:t>
            </w: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Custom</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Wood</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17,357</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36,732</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54,089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43,208</w:t>
            </w: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65,742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30,931</w:t>
            </w:r>
          </w:p>
        </w:tc>
        <w:tc>
          <w:tcPr>
            <w:tcW w:w="640" w:type="dxa"/>
            <w:vAlign w:val="bottom"/>
          </w:tcPr>
          <w:p>
            <w:pPr>
              <w:spacing w:after="0"/>
              <w:rPr>
                <w:sz w:val="16"/>
                <w:szCs w:val="16"/>
                <w:color w:val="auto"/>
              </w:rPr>
            </w:pPr>
          </w:p>
        </w:tc>
        <w:tc>
          <w:tcPr>
            <w:tcW w:w="16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55,010</w:t>
            </w: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Bassett Casegoods</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32,252</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44,581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40,146</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55,774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17,378</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42,658</w:t>
            </w:r>
          </w:p>
        </w:tc>
        <w:tc>
          <w:tcPr>
            <w:tcW w:w="640" w:type="dxa"/>
            <w:vAlign w:val="bottom"/>
          </w:tcPr>
          <w:p>
            <w:pPr>
              <w:spacing w:after="0"/>
              <w:rPr>
                <w:sz w:val="15"/>
                <w:szCs w:val="15"/>
                <w:color w:val="auto"/>
              </w:rPr>
            </w:pPr>
          </w:p>
        </w:tc>
        <w:tc>
          <w:tcPr>
            <w:tcW w:w="1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60,036</w:t>
            </w:r>
          </w:p>
        </w:tc>
        <w:tc>
          <w:tcPr>
            <w:tcW w:w="0" w:type="dxa"/>
            <w:vAlign w:val="bottom"/>
          </w:tcPr>
          <w:p>
            <w:pPr>
              <w:spacing w:after="0"/>
              <w:rPr>
                <w:sz w:val="1"/>
                <w:szCs w:val="1"/>
                <w:color w:val="auto"/>
              </w:rPr>
            </w:pPr>
          </w:p>
        </w:tc>
      </w:tr>
      <w:tr>
        <w:trPr>
          <w:trHeight w:val="184"/>
        </w:trPr>
        <w:tc>
          <w:tcPr>
            <w:tcW w:w="1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Accessories,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mattresses and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other (1)</w:t>
            </w: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31,005</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39,809</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36,303</w:t>
            </w:r>
          </w:p>
        </w:tc>
        <w:tc>
          <w:tcPr>
            <w:tcW w:w="2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38,105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640" w:type="dxa"/>
            <w:vAlign w:val="bottom"/>
          </w:tcPr>
          <w:p>
            <w:pPr>
              <w:spacing w:after="0"/>
              <w:rPr>
                <w:sz w:val="17"/>
                <w:szCs w:val="17"/>
                <w:color w:val="auto"/>
              </w:rPr>
            </w:pPr>
          </w:p>
        </w:tc>
        <w:tc>
          <w:tcPr>
            <w:tcW w:w="160" w:type="dxa"/>
            <w:vAlign w:val="bottom"/>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34,485</w:t>
            </w:r>
          </w:p>
        </w:tc>
        <w:tc>
          <w:tcPr>
            <w:tcW w:w="0" w:type="dxa"/>
            <w:vAlign w:val="bottom"/>
          </w:tcPr>
          <w:p>
            <w:pPr>
              <w:spacing w:after="0"/>
              <w:rPr>
                <w:sz w:val="1"/>
                <w:szCs w:val="1"/>
                <w:color w:val="auto"/>
              </w:rPr>
            </w:pPr>
          </w:p>
        </w:tc>
      </w:tr>
      <w:tr>
        <w:trPr>
          <w:trHeight w:val="164"/>
        </w:trPr>
        <w:tc>
          <w:tcPr>
            <w:tcW w:w="1460" w:type="dxa"/>
            <w:vAlign w:val="bottom"/>
            <w:gridSpan w:val="2"/>
          </w:tcPr>
          <w:p>
            <w:pPr>
              <w:spacing w:after="0" w:line="164" w:lineRule="exact"/>
              <w:rPr>
                <w:sz w:val="20"/>
                <w:szCs w:val="20"/>
                <w:color w:val="auto"/>
              </w:rPr>
            </w:pPr>
            <w:r>
              <w:rPr>
                <w:rFonts w:ascii="Times New Roman" w:cs="Times New Roman" w:eastAsia="Times New Roman" w:hAnsi="Times New Roman"/>
                <w:sz w:val="16"/>
                <w:szCs w:val="16"/>
                <w:color w:val="auto"/>
              </w:rPr>
              <w:t>Consolidated</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Furniture and</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Accessories</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145,392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235,940</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390,136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198,680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$285,119</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$485,601</w:t>
            </w:r>
          </w:p>
        </w:tc>
        <w:tc>
          <w:tcPr>
            <w:tcW w:w="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183,059</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$247,827</w:t>
            </w:r>
          </w:p>
        </w:tc>
        <w:tc>
          <w:tcPr>
            <w:tcW w:w="64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$430,886</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60" w:hanging="389"/>
        <w:spacing w:after="0" w:line="254" w:lineRule="auto"/>
        <w:tabs>
          <w:tab w:leader="none" w:pos="76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the sale of goods other than Bassett-branded products, such as accessories and bedding, and also includes the sale of furniture protection plans.</w:t>
      </w:r>
    </w:p>
    <w:p>
      <w:pPr>
        <w:ind w:left="760" w:right="20" w:hanging="389"/>
        <w:spacing w:after="0" w:line="249" w:lineRule="auto"/>
        <w:tabs>
          <w:tab w:leader="none" w:pos="7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the fourth quarter of fiscal 2022, our Corporate and other segment includes the sales of Noa Home, which was acquired on September 2, 2022 (see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940"/>
          </w:cols>
          <w:pgMar w:left="1160" w:top="925" w:right="1140" w:bottom="175" w:gutter="0" w:footer="0" w:header="0"/>
        </w:sectPr>
      </w:pPr>
    </w:p>
    <w:bookmarkStart w:id="56" w:name="page57"/>
    <w:bookmarkEnd w:id="56"/>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Bassett Furniture Industries, Incorporated</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Schedule II</w:t>
      </w:r>
    </w:p>
    <w:p>
      <w:pPr>
        <w:spacing w:after="0" w:line="230" w:lineRule="exact"/>
        <w:rPr>
          <w:sz w:val="20"/>
          <w:szCs w:val="20"/>
          <w:color w:val="auto"/>
        </w:rPr>
      </w:pPr>
    </w:p>
    <w:p>
      <w:pPr>
        <w:jc w:val="center"/>
        <w:ind w:left="1240" w:right="1400"/>
        <w:spacing w:after="0" w:line="266" w:lineRule="auto"/>
        <w:rPr>
          <w:sz w:val="20"/>
          <w:szCs w:val="20"/>
          <w:color w:val="auto"/>
        </w:rPr>
      </w:pPr>
      <w:r>
        <w:rPr>
          <w:rFonts w:ascii="Times New Roman" w:cs="Times New Roman" w:eastAsia="Times New Roman" w:hAnsi="Times New Roman"/>
          <w:sz w:val="20"/>
          <w:szCs w:val="20"/>
          <w:color w:val="auto"/>
        </w:rPr>
        <w:t xml:space="preserve">Analysis of Valuation and Qualifying Accounts For the Years Ended November 25, 2023, November 26, 2022 and November 27, 2021 </w:t>
      </w:r>
      <w:r>
        <w:rPr>
          <w:rFonts w:ascii="Times New Roman" w:cs="Times New Roman" w:eastAsia="Times New Roman" w:hAnsi="Times New Roman"/>
          <w:sz w:val="20"/>
          <w:szCs w:val="20"/>
          <w:i w:val="1"/>
          <w:iCs w:val="1"/>
          <w:color w:val="auto"/>
        </w:rPr>
        <w:t>(amounts in thousands)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9"/>
              </w:rPr>
              <w:t>Balance</w:t>
            </w:r>
          </w:p>
        </w:tc>
        <w:tc>
          <w:tcPr>
            <w:tcW w:w="200" w:type="dxa"/>
            <w:vAlign w:val="bottom"/>
          </w:tcPr>
          <w:p>
            <w:pPr>
              <w:spacing w:after="0"/>
              <w:rPr>
                <w:sz w:val="20"/>
                <w:szCs w:val="20"/>
                <w:color w:val="auto"/>
              </w:rPr>
            </w:pPr>
          </w:p>
        </w:tc>
        <w:tc>
          <w:tcPr>
            <w:tcW w:w="102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Additions</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Charged to</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Balance</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Beginning</w:t>
            </w:r>
          </w:p>
        </w:tc>
        <w:tc>
          <w:tcPr>
            <w:tcW w:w="200" w:type="dxa"/>
            <w:vAlign w:val="bottom"/>
          </w:tcPr>
          <w:p>
            <w:pPr>
              <w:spacing w:after="0"/>
              <w:rPr>
                <w:sz w:val="20"/>
                <w:szCs w:val="20"/>
                <w:color w:val="auto"/>
              </w:rPr>
            </w:pPr>
          </w:p>
        </w:tc>
        <w:tc>
          <w:tcPr>
            <w:tcW w:w="1020" w:type="dxa"/>
            <w:vAlign w:val="bottom"/>
          </w:tcPr>
          <w:p>
            <w:pPr>
              <w:jc w:val="center"/>
              <w:ind w:right="140"/>
              <w:spacing w:after="0"/>
              <w:rPr>
                <w:sz w:val="20"/>
                <w:szCs w:val="20"/>
                <w:color w:val="auto"/>
              </w:rPr>
            </w:pPr>
            <w:r>
              <w:rPr>
                <w:rFonts w:ascii="Times New Roman" w:cs="Times New Roman" w:eastAsia="Times New Roman" w:hAnsi="Times New Roman"/>
                <w:sz w:val="20"/>
                <w:szCs w:val="20"/>
                <w:color w:val="auto"/>
                <w:w w:val="99"/>
              </w:rPr>
              <w:t>Cost and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Deductions</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20"/>
              <w:spacing w:after="0"/>
              <w:rPr>
                <w:sz w:val="20"/>
                <w:szCs w:val="20"/>
                <w:color w:val="auto"/>
              </w:rPr>
            </w:pPr>
            <w:r>
              <w:rPr>
                <w:rFonts w:ascii="Times New Roman" w:cs="Times New Roman" w:eastAsia="Times New Roman" w:hAnsi="Times New Roman"/>
                <w:sz w:val="20"/>
                <w:szCs w:val="20"/>
                <w:color w:val="auto"/>
                <w:w w:val="99"/>
              </w:rPr>
              <w:t>End</w:t>
            </w:r>
          </w:p>
        </w:tc>
        <w:tc>
          <w:tcPr>
            <w:tcW w:w="0" w:type="dxa"/>
            <w:vAlign w:val="bottom"/>
          </w:tcPr>
          <w:p>
            <w:pPr>
              <w:spacing w:after="0"/>
              <w:rPr>
                <w:sz w:val="1"/>
                <w:szCs w:val="1"/>
                <w:color w:val="auto"/>
              </w:rPr>
            </w:pPr>
          </w:p>
        </w:tc>
      </w:tr>
      <w:tr>
        <w:trPr>
          <w:trHeight w:val="25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For the Year Ended November 27, 2021:</w:t>
            </w: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color w:val="auto"/>
              </w:rPr>
              <w:t>of Period</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color w:val="auto"/>
              </w:rPr>
              <w:t>Expenses</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color w:val="auto"/>
              </w:rPr>
              <w:t>(1)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Other</w:t>
            </w:r>
          </w:p>
        </w:tc>
        <w:tc>
          <w:tcPr>
            <w:tcW w:w="1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20"/>
                <w:szCs w:val="20"/>
                <w:color w:val="auto"/>
              </w:rPr>
              <w:t>of Period</w:t>
            </w:r>
          </w:p>
        </w:tc>
        <w:tc>
          <w:tcPr>
            <w:tcW w:w="0" w:type="dxa"/>
            <w:vAlign w:val="bottom"/>
          </w:tcPr>
          <w:p>
            <w:pPr>
              <w:spacing w:after="0"/>
              <w:rPr>
                <w:sz w:val="1"/>
                <w:szCs w:val="1"/>
                <w:color w:val="auto"/>
              </w:rPr>
            </w:pPr>
          </w:p>
        </w:tc>
      </w:tr>
      <w:tr>
        <w:trPr>
          <w:trHeight w:val="205"/>
        </w:trPr>
        <w:tc>
          <w:tcPr>
            <w:tcW w:w="40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Reserve deducted from assets to which it applies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w:t>
            </w:r>
          </w:p>
        </w:tc>
        <w:tc>
          <w:tcPr>
            <w:tcW w:w="9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Notes receivable valuation reserves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For the Year Ended November 26, 2022:</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Reserve deducted from assets to which it applies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761</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9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Notes receivable valuation reserves</w:t>
            </w: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9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Income tax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1,339</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For the Year Ended November 25, 2023:</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Reserve deducted from assets to which it applies</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219</w:t>
            </w:r>
          </w:p>
        </w:tc>
        <w:tc>
          <w:tcPr>
            <w:tcW w:w="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(945)</w:t>
            </w:r>
          </w:p>
        </w:tc>
        <w:tc>
          <w:tcPr>
            <w:tcW w:w="9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0"/>
                <w:szCs w:val="20"/>
                <w:color w:val="auto"/>
              </w:rPr>
            </w:pPr>
            <w:r>
              <w:rPr>
                <w:rFonts w:ascii="Times New Roman" w:cs="Times New Roman" w:eastAsia="Times New Roman" w:hAnsi="Times New Roman"/>
                <w:sz w:val="20"/>
                <w:szCs w:val="20"/>
                <w:color w:val="auto"/>
              </w:rPr>
              <w:t>Income tax valuation allowance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452</w:t>
            </w:r>
          </w:p>
        </w:tc>
        <w:tc>
          <w:tcPr>
            <w:tcW w:w="3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64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Deductions are for the purpose for which the reserve was created.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840"/>
          </w:cols>
          <w:pgMar w:left="1160" w:top="984" w:right="1240" w:bottom="175"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Management’s Report of Internal Control over Financial Reporting</w:t>
      </w:r>
    </w:p>
    <w:p>
      <w:pPr>
        <w:spacing w:after="0" w:line="23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of the end of the period covered by this Annual Report on Form 10-K, our principal executive officer and principal financial officer have evaluated the effectiveness of our “disclosure controls and procedures” (“Disclosure Controls”). Disclosure Controls, as defined in Rule 13a-15(e) of the Securities Exchange Act of 1934, as amended (the “Exchange Act”), are procedures that are designed to provide reasonable assurance that information required to be disclosed in our reports filed under the Exchange Act, such as this Annual Report, is recorded, processed, summarized and reported within the time periods specified in the Securities and Exchange Commission’s rules and forms. Disclosure Controls are also designed with the objective of ensuring that such information is accumulated and communicated to our management, including the CEO and CFO, as appropriate to allow timely decisions regarding required disclosure. Our management, including the CEO and CFO, does not expect that our Disclosure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9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auto"/>
        </w:rPr>
        <w:t>Based upon their controls evaluation, our CEO and CFO have concluded that our Disclosure Controls are effective at a reasonable assurance level.</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We are responsible for establishing and maintaining adequate internal control over financial reporting in accordance with Exchange Act Rule 13a-15. With the participation of our CEO and CFO, our management conducted an evaluation of the effectiveness of our internal control over financial reporting as of November 25, 2023 based on the criteria established in </w:t>
      </w:r>
      <w:r>
        <w:rPr>
          <w:rFonts w:ascii="Times New Roman" w:cs="Times New Roman" w:eastAsia="Times New Roman" w:hAnsi="Times New Roman"/>
          <w:sz w:val="20"/>
          <w:szCs w:val="20"/>
          <w:i w:val="1"/>
          <w:iCs w:val="1"/>
          <w:color w:val="auto"/>
        </w:rPr>
        <w:t xml:space="preserve">Internal Control - Integrated Framework </w:t>
      </w:r>
      <w:r>
        <w:rPr>
          <w:rFonts w:ascii="Times New Roman" w:cs="Times New Roman" w:eastAsia="Times New Roman" w:hAnsi="Times New Roman"/>
          <w:sz w:val="20"/>
          <w:szCs w:val="20"/>
          <w:color w:val="auto"/>
        </w:rPr>
        <w:t>issued by the Committee of Sponsoring Organizations of the Treadway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Commission. Based on this evaluation, management concluded that our internal control over financial reporting was effective as of November 25, 2023, based on those criteria.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w:t>
      </w:r>
    </w:p>
    <w:p>
      <w:pPr>
        <w:spacing w:after="0" w:line="19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0"/>
          <w:szCs w:val="20"/>
          <w:color w:val="auto"/>
        </w:rPr>
        <w:t>Ernst &amp; Young LLP, the Company’s independent registered public accounting firm, has issued an attestation report on the effectiveness of the Company’s internal control over financial reporting.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color w:val="auto"/>
        </w:rPr>
        <w:t>There have been no changes in our internal controls over financial reporting during our fourth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940"/>
          </w:cols>
          <w:pgMar w:left="1160" w:top="984" w:right="1140" w:bottom="175" w:gutter="0" w:footer="0" w:header="0"/>
        </w:sectPr>
      </w:pPr>
    </w:p>
    <w:bookmarkStart w:id="58" w:name="page59"/>
    <w:bookmarkEnd w:id="58"/>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Bassett Furniture Industries, Incorporated and Subsidiaries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Bassett Furniture Industries, Incorporated and Subsidiaries (the Company) as of November 25, 2023 and November 26, 2022, the related consolidated statements of operations, comprehensive income (loss), stockholders' equity and cash flows for each of the three years in the period ended November 25, 2023,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November 25, 2023 and November 26, 2022, and the results of its operations and its cash flows for each of the three years in the period ended November 25, 2023, in conformity with U.S. generally accepted accounting principles.</w:t>
      </w:r>
    </w:p>
    <w:p>
      <w:pPr>
        <w:spacing w:after="0" w:line="191"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Company’s internal control over financial reporting as of November 25, 2023, based on criteria established in Internal Control-Integrated Framework issued by the Committee of Sponsoring Organizations of the Treadway Commission (2013 framework), and our report dated January 25, 2024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3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940"/>
          </w:cols>
          <w:pgMar w:left="1160" w:top="984" w:right="1140" w:bottom="175"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Measurement of Reserves for Excess and Obsolete Inventories</w:t>
      </w:r>
    </w:p>
    <w:p>
      <w:pPr>
        <w:spacing w:after="0" w:line="23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b w:val="1"/>
          <w:bCs w:val="1"/>
          <w:i w:val="1"/>
          <w:iCs w:val="1"/>
          <w:color w:val="auto"/>
        </w:rPr>
        <w:t>Measurement of Reserves for Excess and Obsolete Inventories</w:t>
      </w:r>
    </w:p>
    <w:p>
      <w:pPr>
        <w:sectPr>
          <w:pgSz w:w="12240" w:h="15840" w:orient="portrait"/>
          <w:cols w:equalWidth="0" w:num="1">
            <w:col w:w="9940"/>
          </w:cols>
          <w:pgMar w:left="1160" w:top="988" w:right="1140" w:bottom="175" w:gutter="0" w:footer="0" w:header="0"/>
        </w:sectPr>
      </w:pPr>
    </w:p>
    <w:p>
      <w:pPr>
        <w:spacing w:after="0" w:line="232"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0"/>
          <w:szCs w:val="20"/>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At November 25, 2023, the Company’s inventories were $63.0 million. As discussed in Note 2 and Note 6 to the consolidated financial statements, cost for domestic manufactured furniture inventories is determined using the last-in, first-out (“LIFO”) method and are stated at the lower of cost or market. The cost of imported inventories and domestic outdoor furniture products is determined using the first-in, first-out (“FIFO”) method and stated at the lower of cost or net realizable value. Reserves for excess and obsolete inventories are determined based upon historical write-offs, forecasted future demand, market conditions and, for domestic manufactured furniture, the respective valuations at LIFO.</w:t>
      </w:r>
    </w:p>
    <w:p>
      <w:pPr>
        <w:spacing w:after="0" w:line="190" w:lineRule="exact"/>
        <w:rPr>
          <w:sz w:val="20"/>
          <w:szCs w:val="20"/>
          <w:color w:val="auto"/>
        </w:rPr>
      </w:pPr>
    </w:p>
    <w:p>
      <w:pPr>
        <w:sectPr>
          <w:pgSz w:w="12240" w:h="15840" w:orient="portrait"/>
          <w:cols w:equalWidth="0" w:num="2">
            <w:col w:w="1140" w:space="340"/>
            <w:col w:w="8460"/>
          </w:cols>
          <w:pgMar w:left="1160" w:top="988" w:right="1140" w:bottom="175" w:gutter="0" w:footer="0" w:header="0"/>
          <w:type w:val="continuous"/>
        </w:sectPr>
      </w:pPr>
    </w:p>
    <w:p>
      <w:pPr>
        <w:jc w:val="both"/>
        <w:ind w:left="1480"/>
        <w:spacing w:after="0" w:line="259" w:lineRule="auto"/>
        <w:rPr>
          <w:sz w:val="20"/>
          <w:szCs w:val="20"/>
          <w:color w:val="auto"/>
        </w:rPr>
      </w:pPr>
      <w:r>
        <w:rPr>
          <w:rFonts w:ascii="Times New Roman" w:cs="Times New Roman" w:eastAsia="Times New Roman" w:hAnsi="Times New Roman"/>
          <w:sz w:val="20"/>
          <w:szCs w:val="20"/>
          <w:color w:val="auto"/>
        </w:rPr>
        <w:t>Auditing management’s lower of cost or net realizable value or market determination for excess or obsolete inventories was complex due to the highly judgmental nature and estimation uncertainty in determining future demand and market conditions.</w:t>
      </w:r>
    </w:p>
    <w:p>
      <w:pPr>
        <w:sectPr>
          <w:pgSz w:w="12240" w:h="15840" w:orient="portrait"/>
          <w:cols w:equalWidth="0" w:num="1">
            <w:col w:w="9940"/>
          </w:cols>
          <w:pgMar w:left="1160" w:top="988" w:right="1140" w:bottom="175" w:gutter="0" w:footer="0" w:header="0"/>
          <w:type w:val="continuous"/>
        </w:sectPr>
      </w:pPr>
    </w:p>
    <w:p>
      <w:pPr>
        <w:spacing w:after="0" w:line="1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obtained an understanding, evaluated the design, and tested the operating effectiveness of controls over the Company’s determination of the reserves for excess and obsolete inventories. For example, we tested controls over management’s review of the calculation of reserves for excess and obsolete inventories which included their review of the significant assumptions described above.</w:t>
      </w:r>
    </w:p>
    <w:p>
      <w:pPr>
        <w:spacing w:after="0" w:line="184" w:lineRule="exact"/>
        <w:rPr>
          <w:sz w:val="20"/>
          <w:szCs w:val="20"/>
          <w:color w:val="auto"/>
        </w:rPr>
      </w:pPr>
    </w:p>
    <w:p>
      <w:pPr>
        <w:sectPr>
          <w:pgSz w:w="12240" w:h="15840" w:orient="portrait"/>
          <w:cols w:equalWidth="0" w:num="2">
            <w:col w:w="1040" w:space="440"/>
            <w:col w:w="8460"/>
          </w:cols>
          <w:pgMar w:left="1160" w:top="988" w:right="1140" w:bottom="175" w:gutter="0" w:footer="0" w:header="0"/>
          <w:type w:val="continuous"/>
        </w:sectPr>
      </w:pPr>
    </w:p>
    <w:p>
      <w:pPr>
        <w:jc w:val="both"/>
        <w:ind w:left="1480"/>
        <w:spacing w:after="0" w:line="260" w:lineRule="auto"/>
        <w:rPr>
          <w:sz w:val="20"/>
          <w:szCs w:val="20"/>
          <w:color w:val="auto"/>
        </w:rPr>
      </w:pPr>
      <w:r>
        <w:rPr>
          <w:rFonts w:ascii="Times New Roman" w:cs="Times New Roman" w:eastAsia="Times New Roman" w:hAnsi="Times New Roman"/>
          <w:sz w:val="19"/>
          <w:szCs w:val="19"/>
          <w:color w:val="auto"/>
        </w:rPr>
        <w:t>Our audit procedures to test the reserves for excess and obsolete inventories included, among others, testing the completeness and accuracy of the underlying data used in management’s analyses. We evaluated the reasonableness of management’s assumptions by performing a retrospective review of the prior year assumptions to actual activity, including write-off history. We held discussions with senior financial and operational management to determine whether any strategic or operational changes in the business would impact expected demand for or related carrying value of inventory. We also performed sensitivity analyses of significant assumptions to evaluate the impact that changes would have on the inventory reserves. We searched for and evaluated information that corroborated or contradicted the Company’s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259334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2593340" cy="471805"/>
                    </a:xfrm>
                    <a:prstGeom prst="rect">
                      <a:avLst/>
                    </a:prstGeom>
                    <a:noFill/>
                  </pic:spPr>
                </pic:pic>
              </a:graphicData>
            </a:graphic>
          </wp:anchor>
        </w:drawing>
      </w:r>
    </w:p>
    <w:p>
      <w:pPr>
        <w:sectPr>
          <w:pgSz w:w="12240" w:h="15840" w:orient="portrait"/>
          <w:cols w:equalWidth="0" w:num="1">
            <w:col w:w="9940"/>
          </w:cols>
          <w:pgMar w:left="1160" w:top="988" w:right="1140" w:bottom="17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Richmond, Virginia</w:t>
      </w:r>
    </w:p>
    <w:p>
      <w:pPr>
        <w:spacing w:after="0"/>
        <w:rPr>
          <w:sz w:val="20"/>
          <w:szCs w:val="20"/>
          <w:color w:val="auto"/>
        </w:rPr>
      </w:pPr>
      <w:r>
        <w:rPr>
          <w:rFonts w:ascii="Times New Roman" w:cs="Times New Roman" w:eastAsia="Times New Roman" w:hAnsi="Times New Roman"/>
          <w:sz w:val="20"/>
          <w:szCs w:val="20"/>
          <w:color w:val="auto"/>
        </w:rPr>
        <w:t>January 25,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940"/>
          </w:cols>
          <w:pgMar w:left="1160" w:top="988" w:right="1140" w:bottom="175" w:gutter="0" w:footer="0" w:header="0"/>
          <w:type w:val="continuous"/>
        </w:sectPr>
      </w:pPr>
    </w:p>
    <w:bookmarkStart w:id="60" w:name="page61"/>
    <w:bookmarkEnd w:id="60"/>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Bassett Furniture Industries, Incorporated and Subsidiaries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have audited Bassett Furniture Industries, Incorporated and Subsidiaries’ internal control over financial reporting as of November 25, 2023, based on criteria established in Internal Control—Integrated Framework issued by the Committee of Sponsoring Organizations of the Treadway Commission (2013 framework) (the COSO criteria). In our opinion, Bassett Furniture Industries, Incorporated and Subsidiaries (the Company) maintained, in all material respects, effective internal control over financial reporting as of November 25, 2023, based on the COSO criteria.</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November 25, 2023 and November 26, 2022, the related consolidated statements of operations, comprehensive income (loss), stockholders' equity, and cash flows for each of the three years in the period ended November 25, 2023, and the related notes and schedule and our report dated January 25, 2024 expressed an unqualified opinion thereon.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259334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25933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Richmond, Virginia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25, 2024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940"/>
          </w:cols>
          <w:pgMar w:left="1160" w:top="984" w:right="1140" w:bottom="175" w:gutter="0" w:footer="0" w:header="0"/>
        </w:sectPr>
      </w:pPr>
    </w:p>
    <w:bookmarkStart w:id="61" w:name="page62"/>
    <w:bookmarkEnd w:id="61"/>
    <w:p>
      <w:pPr>
        <w:spacing w:after="0" w:line="194" w:lineRule="auto"/>
        <w:framePr w:w="1620" w:h="112" w:wrap="auto" w:vAnchor="page" w:hAnchor="page" w:x="8740" w:y="8358"/>
        <w:rPr>
          <w:rFonts w:ascii="Arial" w:cs="Arial" w:eastAsia="Arial" w:hAnsi="Arial"/>
          <w:sz w:val="12"/>
          <w:szCs w:val="12"/>
          <w:color w:val="auto"/>
        </w:rPr>
      </w:pPr>
      <w:r>
        <w:rPr>
          <w:rFonts w:ascii="Arial" w:cs="Arial" w:eastAsia="Arial" w:hAnsi="Arial"/>
          <w:sz w:val="12"/>
          <w:szCs w:val="12"/>
          <w:color w:val="auto"/>
        </w:rPr>
        <w:t>(password: bassett2024 )</w:t>
      </w:r>
    </w:p>
    <w:p>
      <w:pPr>
        <w:spacing w:after="0"/>
        <w:rPr>
          <w:sz w:val="20"/>
          <w:szCs w:val="20"/>
          <w:color w:val="auto"/>
        </w:rPr>
      </w:pPr>
      <w:r>
        <w:rPr>
          <w:rFonts w:ascii="Arial" w:cs="Arial" w:eastAsia="Arial" w:hAnsi="Arial"/>
          <w:sz w:val="30"/>
          <w:szCs w:val="30"/>
          <w:color w:val="auto"/>
        </w:rPr>
        <w:t>INVESTOR INFORMATION</w:t>
      </w:r>
    </w:p>
    <w:p>
      <w:pPr>
        <w:spacing w:after="0" w:line="30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Internet Site</w:t>
      </w:r>
    </w:p>
    <w:p>
      <w:pPr>
        <w:spacing w:after="0" w:line="97" w:lineRule="exact"/>
        <w:rPr>
          <w:rFonts w:ascii="Arial" w:cs="Arial" w:eastAsia="Arial" w:hAnsi="Arial"/>
          <w:sz w:val="12"/>
          <w:szCs w:val="12"/>
          <w:color w:val="auto"/>
        </w:rPr>
      </w:pPr>
    </w:p>
    <w:p>
      <w:pPr>
        <w:ind w:right="20"/>
        <w:spacing w:after="0" w:line="395" w:lineRule="auto"/>
        <w:rPr>
          <w:sz w:val="20"/>
          <w:szCs w:val="20"/>
          <w:color w:val="auto"/>
        </w:rPr>
      </w:pPr>
      <w:r>
        <w:rPr>
          <w:rFonts w:ascii="Arial" w:cs="Arial" w:eastAsia="Arial" w:hAnsi="Arial"/>
          <w:sz w:val="14"/>
          <w:szCs w:val="14"/>
          <w:color w:val="auto"/>
        </w:rPr>
        <w:t>Our site on the Internet has been updated recently and is filled with information about Bassett Furniture, including this annual report, detailed financial information and updates, information about our home furnishings products, and a dealer locator of Bassett stores and other stores that feature Bassett products. Visit us at bassettfurniture.com.</w:t>
      </w:r>
    </w:p>
    <w:p>
      <w:pPr>
        <w:spacing w:after="0" w:line="19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97" w:lineRule="exact"/>
        <w:rPr>
          <w:rFonts w:ascii="Arial" w:cs="Arial" w:eastAsia="Arial" w:hAnsi="Arial"/>
          <w:sz w:val="12"/>
          <w:szCs w:val="12"/>
          <w:color w:val="auto"/>
        </w:rPr>
      </w:pPr>
    </w:p>
    <w:p>
      <w:pPr>
        <w:spacing w:after="0" w:line="389" w:lineRule="auto"/>
        <w:rPr>
          <w:sz w:val="20"/>
          <w:szCs w:val="20"/>
          <w:color w:val="auto"/>
        </w:rPr>
      </w:pPr>
      <w:r>
        <w:rPr>
          <w:rFonts w:ascii="Arial" w:cs="Arial" w:eastAsia="Arial" w:hAnsi="Arial"/>
          <w:sz w:val="14"/>
          <w:szCs w:val="14"/>
          <w:color w:val="auto"/>
        </w:rPr>
        <w:t>This Annual Report contains forward-looking statements as defined in the Private Securities Litigation and Reform Act of 1995 and within the meaning of Sections 27A of the Securities Exchange Act of 1933, as amended, and Section 21E of the Securities Exchange Act of 1934, as amended. When used in this Annual Report the words “hope,” “believe,” “expect,” “plan” or “planned,” “intend,” “anticipate,” “potential” and similar expressions are intended to identify forward-looking statements. Readers are cautioned against placing undue reliance on these statements. Such statements, including but not limited to those regarding increases in sales, improving gross margins, growth in earnings per share, and the operating performance of licensed Bassett stores are based upon management’s beliefs, as well as assumptions made by and information currently available to management, and involve various risks and uncertainties, certain of which are beyond the Company’s control. The Company’s actual results could differ materially from those expressed in any forward-looking statement made by or on behalf of the Company.</w:t>
      </w:r>
    </w:p>
    <w:p>
      <w:pPr>
        <w:spacing w:after="0" w:line="245" w:lineRule="exact"/>
        <w:rPr>
          <w:rFonts w:ascii="Arial" w:cs="Arial" w:eastAsia="Arial" w:hAnsi="Arial"/>
          <w:sz w:val="12"/>
          <w:szCs w:val="12"/>
          <w:color w:val="auto"/>
        </w:rPr>
      </w:pPr>
    </w:p>
    <w:p>
      <w:pPr>
        <w:ind w:right="240"/>
        <w:spacing w:after="0" w:line="395" w:lineRule="auto"/>
        <w:rPr>
          <w:sz w:val="20"/>
          <w:szCs w:val="20"/>
          <w:color w:val="auto"/>
        </w:rPr>
      </w:pPr>
      <w:r>
        <w:rPr>
          <w:rFonts w:ascii="Arial" w:cs="Arial" w:eastAsia="Arial" w:hAnsi="Arial"/>
          <w:sz w:val="14"/>
          <w:szCs w:val="14"/>
          <w:color w:val="auto"/>
        </w:rPr>
        <w:t>If the Company does not attain its goals, its business and results of operations might be adversely affected. For a discussion of factors that may impair the Company’s ability to achieve its goals, please see the cautionary statements in the Management’s Discussion and Analysis section of this Annual Report.</w:t>
      </w:r>
    </w:p>
    <w:p>
      <w:pPr>
        <w:spacing w:after="0" w:line="20" w:lineRule="exact"/>
        <w:rPr>
          <w:rFonts w:ascii="Arial" w:cs="Arial" w:eastAsia="Arial" w:hAnsi="Arial"/>
          <w:sz w:val="12"/>
          <w:szCs w:val="12"/>
          <w:color w:val="auto"/>
        </w:rPr>
      </w:pPr>
      <w:r>
        <w:rPr>
          <w:rFonts w:ascii="Arial" w:cs="Arial" w:eastAsia="Arial" w:hAnsi="Arial"/>
          <w:sz w:val="12"/>
          <w:szCs w:val="12"/>
          <w:color w:val="auto"/>
        </w:rPr>
        <w:br w:type="column"/>
      </w:r>
    </w:p>
    <w:p>
      <w:pPr>
        <w:spacing w:after="0" w:line="16"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Corporate Information and Investor Inquiries</w:t>
      </w:r>
    </w:p>
    <w:p>
      <w:pPr>
        <w:spacing w:after="0" w:line="97" w:lineRule="exact"/>
        <w:rPr>
          <w:rFonts w:ascii="Arial" w:cs="Arial" w:eastAsia="Arial" w:hAnsi="Arial"/>
          <w:sz w:val="12"/>
          <w:szCs w:val="12"/>
          <w:color w:val="auto"/>
        </w:rPr>
      </w:pPr>
    </w:p>
    <w:p>
      <w:pPr>
        <w:ind w:right="1600"/>
        <w:spacing w:after="0" w:line="387" w:lineRule="auto"/>
        <w:rPr>
          <w:sz w:val="20"/>
          <w:szCs w:val="20"/>
          <w:color w:val="auto"/>
        </w:rPr>
      </w:pPr>
      <w:r>
        <w:rPr>
          <w:rFonts w:ascii="Arial" w:cs="Arial" w:eastAsia="Arial" w:hAnsi="Arial"/>
          <w:sz w:val="14"/>
          <w:szCs w:val="14"/>
          <w:color w:val="auto"/>
        </w:rPr>
        <w:t>Our annual report and proxy statement together contain much of the information presented in the</w:t>
      </w:r>
    </w:p>
    <w:p>
      <w:pPr>
        <w:spacing w:after="0" w:line="1" w:lineRule="exact"/>
        <w:rPr>
          <w:rFonts w:ascii="Arial" w:cs="Arial" w:eastAsia="Arial" w:hAnsi="Arial"/>
          <w:sz w:val="12"/>
          <w:szCs w:val="12"/>
          <w:color w:val="auto"/>
        </w:rPr>
      </w:pPr>
    </w:p>
    <w:p>
      <w:pPr>
        <w:ind w:right="80"/>
        <w:spacing w:after="0" w:line="397" w:lineRule="auto"/>
        <w:rPr>
          <w:sz w:val="20"/>
          <w:szCs w:val="20"/>
          <w:color w:val="auto"/>
        </w:rPr>
      </w:pPr>
      <w:r>
        <w:rPr>
          <w:rFonts w:ascii="Arial" w:cs="Arial" w:eastAsia="Arial" w:hAnsi="Arial"/>
          <w:sz w:val="14"/>
          <w:szCs w:val="14"/>
          <w:color w:val="auto"/>
        </w:rPr>
        <w:t>Form 10-K report filed with the Securities and Exchange Commission. Individuals who wish to receive the Form 10-K or other corporate literature should visit our website at bassettfurniture.com or contact Investor Relations, at 276.629.6000.</w:t>
      </w:r>
    </w:p>
    <w:p>
      <w:pPr>
        <w:spacing w:after="0" w:line="31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Transfer Agent - Stockholder Inquiries</w:t>
      </w:r>
    </w:p>
    <w:p>
      <w:pPr>
        <w:spacing w:after="0" w:line="97"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Stockholders with inquiries relating to stockholder</w:t>
      </w:r>
    </w:p>
    <w:p>
      <w:pPr>
        <w:spacing w:after="0" w:line="99" w:lineRule="exact"/>
        <w:rPr>
          <w:rFonts w:ascii="Arial" w:cs="Arial" w:eastAsia="Arial" w:hAnsi="Arial"/>
          <w:sz w:val="12"/>
          <w:szCs w:val="12"/>
          <w:color w:val="auto"/>
        </w:rPr>
      </w:pPr>
    </w:p>
    <w:p>
      <w:pPr>
        <w:ind w:right="480"/>
        <w:spacing w:after="0" w:line="418" w:lineRule="auto"/>
        <w:rPr>
          <w:sz w:val="20"/>
          <w:szCs w:val="20"/>
          <w:color w:val="auto"/>
        </w:rPr>
      </w:pPr>
      <w:r>
        <w:rPr>
          <w:rFonts w:ascii="Arial" w:cs="Arial" w:eastAsia="Arial" w:hAnsi="Arial"/>
          <w:sz w:val="14"/>
          <w:szCs w:val="14"/>
          <w:color w:val="auto"/>
        </w:rPr>
        <w:t>records, stock transfers, change of ownership, change of address or dividend payments should write to:</w:t>
      </w:r>
    </w:p>
    <w:p>
      <w:pPr>
        <w:spacing w:after="0" w:line="21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Equiniti Trust Company, LLC (“EQ”) EQ Shareholder Services Call Center</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48 Wall Street, Floor 23</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New York, NY 10005</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Toll Free: 800.937.5449</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Local &amp; International: 718-921-8124</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Hours: 8 a.m. – 8 p.m. ET Monday-Friday</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Email: helpast@equiniti.com</w:t>
      </w:r>
    </w:p>
    <w:p>
      <w:pPr>
        <w:spacing w:after="0" w:line="99"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Website: equiniti.com</w:t>
      </w:r>
    </w:p>
    <w:p>
      <w:pPr>
        <w:spacing w:after="0" w:line="315"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Annual Meeting</w:t>
      </w:r>
    </w:p>
    <w:p>
      <w:pPr>
        <w:spacing w:after="0" w:line="97" w:lineRule="exact"/>
        <w:rPr>
          <w:rFonts w:ascii="Arial" w:cs="Arial" w:eastAsia="Arial" w:hAnsi="Arial"/>
          <w:sz w:val="12"/>
          <w:szCs w:val="12"/>
          <w:color w:val="auto"/>
        </w:rPr>
      </w:pPr>
    </w:p>
    <w:p>
      <w:pPr>
        <w:jc w:val="both"/>
        <w:ind w:right="300"/>
        <w:spacing w:after="0" w:line="387" w:lineRule="auto"/>
        <w:rPr>
          <w:sz w:val="20"/>
          <w:szCs w:val="20"/>
          <w:color w:val="auto"/>
        </w:rPr>
      </w:pPr>
      <w:r>
        <w:rPr>
          <w:rFonts w:ascii="Arial" w:cs="Arial" w:eastAsia="Arial" w:hAnsi="Arial"/>
          <w:sz w:val="14"/>
          <w:szCs w:val="14"/>
          <w:color w:val="auto"/>
        </w:rPr>
        <w:t>The Bassett Annual Meeting of Shareholders will be held Wednesday, March 6, 2024 at 10 a.m. EST virtually and is available via live audio only webcast at:</w:t>
      </w:r>
    </w:p>
    <w:p>
      <w:pPr>
        <w:spacing w:after="0" w:line="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https://web.lumiagm.com/201995786</w:t>
      </w:r>
    </w:p>
    <w:p>
      <w:pPr>
        <w:spacing w:after="0" w:line="315"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8"/>
          <w:szCs w:val="18"/>
          <w:color w:val="auto"/>
        </w:rPr>
        <w:t>Market and Dividend Information</w:t>
      </w:r>
    </w:p>
    <w:p>
      <w:pPr>
        <w:spacing w:after="0" w:line="97" w:lineRule="exact"/>
        <w:rPr>
          <w:rFonts w:ascii="Arial" w:cs="Arial" w:eastAsia="Arial" w:hAnsi="Arial"/>
          <w:sz w:val="12"/>
          <w:szCs w:val="12"/>
          <w:color w:val="auto"/>
        </w:rPr>
      </w:pPr>
    </w:p>
    <w:p>
      <w:pPr>
        <w:ind w:right="60"/>
        <w:spacing w:after="0" w:line="395" w:lineRule="auto"/>
        <w:rPr>
          <w:sz w:val="20"/>
          <w:szCs w:val="20"/>
          <w:color w:val="auto"/>
        </w:rPr>
      </w:pPr>
      <w:r>
        <w:rPr>
          <w:rFonts w:ascii="Arial" w:cs="Arial" w:eastAsia="Arial" w:hAnsi="Arial"/>
          <w:sz w:val="14"/>
          <w:szCs w:val="14"/>
          <w:color w:val="auto"/>
        </w:rPr>
        <w:t>Bassett’s common stock trades on the NASDAQ national market system under the symbol “BSET.” We had 6,600 beneficial stockholders as of January 19, 2024. The range of per share amounts for the high and low market prices and dividends declared for the last two fiscal years are listed below:</w:t>
      </w:r>
    </w:p>
    <w:p>
      <w:pPr>
        <w:spacing w:after="0" w:line="200" w:lineRule="exact"/>
        <w:rPr>
          <w:rFonts w:ascii="Arial" w:cs="Arial" w:eastAsia="Arial" w:hAnsi="Arial"/>
          <w:sz w:val="12"/>
          <w:szCs w:val="12"/>
          <w:color w:val="auto"/>
        </w:rPr>
      </w:pPr>
    </w:p>
    <w:p>
      <w:pPr>
        <w:sectPr>
          <w:pgSz w:w="12240" w:h="15840" w:orient="portrait"/>
          <w:cols w:equalWidth="0" w:num="2">
            <w:col w:w="4660" w:space="260"/>
            <w:col w:w="4680"/>
          </w:cols>
          <w:pgMar w:left="1320" w:top="1364" w:right="1320" w:bottom="604" w:gutter="0" w:footer="0" w:header="0"/>
        </w:sectPr>
      </w:pPr>
    </w:p>
    <w:p>
      <w:pPr>
        <w:spacing w:after="0" w:line="200" w:lineRule="exact"/>
        <w:rPr>
          <w:rFonts w:ascii="Arial" w:cs="Arial" w:eastAsia="Arial" w:hAnsi="Arial"/>
          <w:sz w:val="12"/>
          <w:szCs w:val="12"/>
          <w:color w:val="auto"/>
        </w:rPr>
      </w:pPr>
    </w:p>
    <w:p>
      <w:pPr>
        <w:spacing w:after="0" w:line="356" w:lineRule="exact"/>
        <w:rPr>
          <w:rFonts w:ascii="Arial" w:cs="Arial" w:eastAsia="Arial" w:hAnsi="Arial"/>
          <w:sz w:val="12"/>
          <w:szCs w:val="12"/>
          <w:color w:val="auto"/>
        </w:rPr>
      </w:pPr>
    </w:p>
    <w:tbl>
      <w:tblPr>
        <w:tblLayout w:type="fixed"/>
        <w:tblInd w:w="4200" w:type="dxa"/>
        <w:tblCellMar>
          <w:top w:w="0" w:type="dxa"/>
          <w:left w:w="0" w:type="dxa"/>
          <w:bottom w:w="0" w:type="dxa"/>
          <w:right w:w="0" w:type="dxa"/>
        </w:tblCellMar>
      </w:tblPr>
      <w:tr>
        <w:trPr>
          <w:trHeight w:val="82"/>
        </w:trPr>
        <w:tc>
          <w:tcPr>
            <w:tcW w:w="940" w:type="dxa"/>
            <w:vAlign w:val="bottom"/>
          </w:tcPr>
          <w:p>
            <w:pPr>
              <w:spacing w:after="0"/>
              <w:rPr>
                <w:sz w:val="7"/>
                <w:szCs w:val="7"/>
                <w:color w:val="auto"/>
              </w:rPr>
            </w:pPr>
          </w:p>
        </w:tc>
        <w:tc>
          <w:tcPr>
            <w:tcW w:w="2800" w:type="dxa"/>
            <w:vAlign w:val="bottom"/>
            <w:gridSpan w:val="4"/>
            <w:vMerge w:val="restart"/>
          </w:tcPr>
          <w:p>
            <w:pPr>
              <w:jc w:val="right"/>
              <w:ind w:right="311"/>
              <w:spacing w:after="0"/>
              <w:rPr>
                <w:sz w:val="20"/>
                <w:szCs w:val="20"/>
                <w:color w:val="auto"/>
              </w:rPr>
            </w:pPr>
            <w:r>
              <w:rPr>
                <w:rFonts w:ascii="Arial" w:cs="Arial" w:eastAsia="Arial" w:hAnsi="Arial"/>
                <w:sz w:val="20"/>
                <w:szCs w:val="20"/>
                <w:color w:val="auto"/>
              </w:rPr>
              <w:t>MARKET PRICES OF</w:t>
            </w:r>
          </w:p>
        </w:tc>
        <w:tc>
          <w:tcPr>
            <w:tcW w:w="20" w:type="dxa"/>
            <w:vAlign w:val="bottom"/>
          </w:tcPr>
          <w:p>
            <w:pPr>
              <w:spacing w:after="0"/>
              <w:rPr>
                <w:sz w:val="7"/>
                <w:szCs w:val="7"/>
                <w:color w:val="auto"/>
              </w:rPr>
            </w:pPr>
          </w:p>
        </w:tc>
        <w:tc>
          <w:tcPr>
            <w:tcW w:w="1640" w:type="dxa"/>
            <w:vAlign w:val="bottom"/>
            <w:gridSpan w:val="2"/>
            <w:vMerge w:val="restart"/>
          </w:tcPr>
          <w:p>
            <w:pPr>
              <w:jc w:val="right"/>
              <w:ind w:right="148"/>
              <w:spacing w:after="0"/>
              <w:rPr>
                <w:sz w:val="20"/>
                <w:szCs w:val="20"/>
                <w:color w:val="auto"/>
              </w:rPr>
            </w:pPr>
            <w:r>
              <w:rPr>
                <w:rFonts w:ascii="Arial" w:cs="Arial" w:eastAsia="Arial" w:hAnsi="Arial"/>
                <w:sz w:val="20"/>
                <w:szCs w:val="20"/>
                <w:color w:val="auto"/>
              </w:rPr>
              <w:t>DIVIDENDS</w:t>
            </w:r>
          </w:p>
        </w:tc>
        <w:tc>
          <w:tcPr>
            <w:tcW w:w="0" w:type="dxa"/>
            <w:vAlign w:val="bottom"/>
          </w:tcPr>
          <w:p>
            <w:pPr>
              <w:spacing w:after="0"/>
              <w:rPr>
                <w:sz w:val="1"/>
                <w:szCs w:val="1"/>
                <w:color w:val="auto"/>
              </w:rPr>
            </w:pPr>
          </w:p>
        </w:tc>
      </w:tr>
      <w:tr>
        <w:trPr>
          <w:trHeight w:val="162"/>
        </w:trPr>
        <w:tc>
          <w:tcPr>
            <w:tcW w:w="940" w:type="dxa"/>
            <w:vAlign w:val="bottom"/>
          </w:tcPr>
          <w:p>
            <w:pPr>
              <w:spacing w:after="0"/>
              <w:rPr>
                <w:sz w:val="14"/>
                <w:szCs w:val="14"/>
                <w:color w:val="auto"/>
              </w:rPr>
            </w:pPr>
          </w:p>
        </w:tc>
        <w:tc>
          <w:tcPr>
            <w:tcW w:w="2800" w:type="dxa"/>
            <w:vAlign w:val="bottom"/>
            <w:gridSpan w:val="4"/>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940" w:type="dxa"/>
            <w:vAlign w:val="bottom"/>
          </w:tcPr>
          <w:p>
            <w:pPr>
              <w:spacing w:after="0"/>
              <w:rPr>
                <w:sz w:val="23"/>
                <w:szCs w:val="23"/>
                <w:color w:val="auto"/>
              </w:rPr>
            </w:pPr>
          </w:p>
        </w:tc>
        <w:tc>
          <w:tcPr>
            <w:tcW w:w="2800" w:type="dxa"/>
            <w:vAlign w:val="bottom"/>
            <w:gridSpan w:val="4"/>
          </w:tcPr>
          <w:p>
            <w:pPr>
              <w:jc w:val="right"/>
              <w:ind w:right="371"/>
              <w:spacing w:after="0"/>
              <w:rPr>
                <w:sz w:val="20"/>
                <w:szCs w:val="20"/>
                <w:color w:val="auto"/>
              </w:rPr>
            </w:pPr>
            <w:r>
              <w:rPr>
                <w:rFonts w:ascii="Arial" w:cs="Arial" w:eastAsia="Arial" w:hAnsi="Arial"/>
                <w:sz w:val="20"/>
                <w:szCs w:val="20"/>
                <w:color w:val="auto"/>
              </w:rPr>
              <w:t>COMMON STOCK</w:t>
            </w:r>
          </w:p>
        </w:tc>
        <w:tc>
          <w:tcPr>
            <w:tcW w:w="20" w:type="dxa"/>
            <w:vAlign w:val="bottom"/>
            <w:shd w:val="clear" w:color="auto" w:fill="000000"/>
          </w:tcPr>
          <w:p>
            <w:pPr>
              <w:spacing w:after="0"/>
              <w:rPr>
                <w:sz w:val="23"/>
                <w:szCs w:val="23"/>
                <w:color w:val="auto"/>
              </w:rPr>
            </w:pPr>
          </w:p>
        </w:tc>
        <w:tc>
          <w:tcPr>
            <w:tcW w:w="1640" w:type="dxa"/>
            <w:vAlign w:val="bottom"/>
            <w:gridSpan w:val="2"/>
          </w:tcPr>
          <w:p>
            <w:pPr>
              <w:jc w:val="right"/>
              <w:ind w:right="168"/>
              <w:spacing w:after="0"/>
              <w:rPr>
                <w:sz w:val="20"/>
                <w:szCs w:val="20"/>
                <w:color w:val="auto"/>
              </w:rPr>
            </w:pPr>
            <w:r>
              <w:rPr>
                <w:rFonts w:ascii="Arial" w:cs="Arial" w:eastAsia="Arial" w:hAnsi="Arial"/>
                <w:sz w:val="20"/>
                <w:szCs w:val="20"/>
                <w:color w:val="auto"/>
              </w:rPr>
              <w:t>DECLARED</w:t>
            </w:r>
          </w:p>
        </w:tc>
        <w:tc>
          <w:tcPr>
            <w:tcW w:w="0" w:type="dxa"/>
            <w:vAlign w:val="bottom"/>
          </w:tcPr>
          <w:p>
            <w:pPr>
              <w:spacing w:after="0"/>
              <w:rPr>
                <w:sz w:val="1"/>
                <w:szCs w:val="1"/>
                <w:color w:val="auto"/>
              </w:rPr>
            </w:pPr>
          </w:p>
        </w:tc>
      </w:tr>
      <w:tr>
        <w:trPr>
          <w:trHeight w:val="85"/>
        </w:trPr>
        <w:tc>
          <w:tcPr>
            <w:tcW w:w="9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gridSpan w:val="2"/>
          </w:tcPr>
          <w:p>
            <w:pPr>
              <w:spacing w:after="0"/>
              <w:rPr>
                <w:sz w:val="7"/>
                <w:szCs w:val="7"/>
                <w:color w:val="auto"/>
              </w:rPr>
            </w:pPr>
          </w:p>
        </w:tc>
        <w:tc>
          <w:tcPr>
            <w:tcW w:w="1380" w:type="dxa"/>
            <w:vAlign w:val="bottom"/>
            <w:tcBorders>
              <w:bottom w:val="single" w:sz="8" w:color="auto"/>
            </w:tcBorders>
            <w:gridSpan w:val="2"/>
          </w:tcPr>
          <w:p>
            <w:pPr>
              <w:spacing w:after="0"/>
              <w:rPr>
                <w:sz w:val="7"/>
                <w:szCs w:val="7"/>
                <w:color w:val="auto"/>
              </w:rPr>
            </w:pPr>
          </w:p>
        </w:tc>
        <w:tc>
          <w:tcPr>
            <w:tcW w:w="20" w:type="dxa"/>
            <w:vAlign w:val="bottom"/>
            <w:tcBorders>
              <w:bottom w:val="single" w:sz="8" w:color="auto"/>
            </w:tcBorders>
            <w:shd w:val="clear" w:color="auto" w:fill="000000"/>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9"/>
        </w:trPr>
        <w:tc>
          <w:tcPr>
            <w:tcW w:w="940" w:type="dxa"/>
            <w:vAlign w:val="bottom"/>
          </w:tcPr>
          <w:p>
            <w:pPr>
              <w:ind w:left="100"/>
              <w:spacing w:after="0"/>
              <w:rPr>
                <w:sz w:val="20"/>
                <w:szCs w:val="20"/>
                <w:color w:val="auto"/>
              </w:rPr>
            </w:pPr>
            <w:r>
              <w:rPr>
                <w:rFonts w:ascii="Arial" w:cs="Arial" w:eastAsia="Arial" w:hAnsi="Arial"/>
                <w:sz w:val="20"/>
                <w:szCs w:val="20"/>
                <w:color w:val="auto"/>
              </w:rPr>
              <w:t>Quarter</w:t>
            </w:r>
          </w:p>
        </w:tc>
        <w:tc>
          <w:tcPr>
            <w:tcW w:w="1420" w:type="dxa"/>
            <w:vAlign w:val="bottom"/>
            <w:tcBorders>
              <w:right w:val="single" w:sz="8" w:color="auto"/>
            </w:tcBorders>
            <w:gridSpan w:val="2"/>
          </w:tcPr>
          <w:p>
            <w:pPr>
              <w:jc w:val="right"/>
              <w:ind w:right="391"/>
              <w:spacing w:after="0"/>
              <w:rPr>
                <w:sz w:val="20"/>
                <w:szCs w:val="20"/>
                <w:color w:val="auto"/>
              </w:rPr>
            </w:pPr>
            <w:r>
              <w:rPr>
                <w:rFonts w:ascii="Arial" w:cs="Arial" w:eastAsia="Arial" w:hAnsi="Arial"/>
                <w:sz w:val="20"/>
                <w:szCs w:val="20"/>
                <w:color w:val="auto"/>
              </w:rPr>
              <w:t>2023</w:t>
            </w:r>
          </w:p>
        </w:tc>
        <w:tc>
          <w:tcPr>
            <w:tcW w:w="1380" w:type="dxa"/>
            <w:vAlign w:val="bottom"/>
            <w:gridSpan w:val="2"/>
          </w:tcPr>
          <w:p>
            <w:pPr>
              <w:jc w:val="right"/>
              <w:ind w:right="371"/>
              <w:spacing w:after="0"/>
              <w:rPr>
                <w:sz w:val="20"/>
                <w:szCs w:val="20"/>
                <w:color w:val="auto"/>
              </w:rPr>
            </w:pPr>
            <w:r>
              <w:rPr>
                <w:rFonts w:ascii="Arial" w:cs="Arial" w:eastAsia="Arial" w:hAnsi="Arial"/>
                <w:sz w:val="20"/>
                <w:szCs w:val="20"/>
                <w:color w:val="auto"/>
              </w:rPr>
              <w:t>2022</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jc w:val="right"/>
              <w:ind w:right="85"/>
              <w:spacing w:after="0"/>
              <w:rPr>
                <w:sz w:val="20"/>
                <w:szCs w:val="20"/>
                <w:color w:val="auto"/>
              </w:rPr>
            </w:pPr>
            <w:r>
              <w:rPr>
                <w:rFonts w:ascii="Arial" w:cs="Arial" w:eastAsia="Arial" w:hAnsi="Arial"/>
                <w:sz w:val="20"/>
                <w:szCs w:val="20"/>
                <w:color w:val="auto"/>
              </w:rPr>
              <w:t>2023</w:t>
            </w:r>
          </w:p>
        </w:tc>
        <w:tc>
          <w:tcPr>
            <w:tcW w:w="820" w:type="dxa"/>
            <w:vAlign w:val="bottom"/>
          </w:tcPr>
          <w:p>
            <w:pPr>
              <w:jc w:val="right"/>
              <w:ind w:right="88"/>
              <w:spacing w:after="0"/>
              <w:rPr>
                <w:sz w:val="20"/>
                <w:szCs w:val="20"/>
                <w:color w:val="auto"/>
              </w:rPr>
            </w:pPr>
            <w:r>
              <w:rPr>
                <w:rFonts w:ascii="Arial" w:cs="Arial" w:eastAsia="Arial" w:hAnsi="Arial"/>
                <w:sz w:val="20"/>
                <w:szCs w:val="20"/>
                <w:color w:val="auto"/>
              </w:rPr>
              <w:t>2022</w:t>
            </w:r>
          </w:p>
        </w:tc>
        <w:tc>
          <w:tcPr>
            <w:tcW w:w="0" w:type="dxa"/>
            <w:vAlign w:val="bottom"/>
          </w:tcPr>
          <w:p>
            <w:pPr>
              <w:spacing w:after="0"/>
              <w:rPr>
                <w:sz w:val="1"/>
                <w:szCs w:val="1"/>
                <w:color w:val="auto"/>
              </w:rPr>
            </w:pPr>
          </w:p>
        </w:tc>
      </w:tr>
      <w:tr>
        <w:trPr>
          <w:trHeight w:val="164"/>
        </w:trPr>
        <w:tc>
          <w:tcPr>
            <w:tcW w:w="9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4"/>
                <w:szCs w:val="24"/>
                <w:color w:val="auto"/>
              </w:rPr>
            </w:pPr>
          </w:p>
        </w:tc>
        <w:tc>
          <w:tcPr>
            <w:tcW w:w="740" w:type="dxa"/>
            <w:vAlign w:val="bottom"/>
          </w:tcPr>
          <w:p>
            <w:pPr>
              <w:jc w:val="right"/>
              <w:ind w:right="86"/>
              <w:spacing w:after="0"/>
              <w:rPr>
                <w:sz w:val="20"/>
                <w:szCs w:val="20"/>
                <w:color w:val="auto"/>
              </w:rPr>
            </w:pPr>
            <w:r>
              <w:rPr>
                <w:rFonts w:ascii="Arial" w:cs="Arial" w:eastAsia="Arial" w:hAnsi="Arial"/>
                <w:sz w:val="17"/>
                <w:szCs w:val="17"/>
                <w:color w:val="auto"/>
              </w:rPr>
              <w:t>HIGH</w:t>
            </w:r>
          </w:p>
        </w:tc>
        <w:tc>
          <w:tcPr>
            <w:tcW w:w="680" w:type="dxa"/>
            <w:vAlign w:val="bottom"/>
            <w:tcBorders>
              <w:right w:val="single" w:sz="8" w:color="auto"/>
            </w:tcBorders>
          </w:tcPr>
          <w:p>
            <w:pPr>
              <w:jc w:val="right"/>
              <w:ind w:right="31"/>
              <w:spacing w:after="0"/>
              <w:rPr>
                <w:sz w:val="20"/>
                <w:szCs w:val="20"/>
                <w:color w:val="auto"/>
              </w:rPr>
            </w:pPr>
            <w:r>
              <w:rPr>
                <w:rFonts w:ascii="Arial" w:cs="Arial" w:eastAsia="Arial" w:hAnsi="Arial"/>
                <w:sz w:val="17"/>
                <w:szCs w:val="17"/>
                <w:color w:val="auto"/>
              </w:rPr>
              <w:t>LOW</w:t>
            </w:r>
          </w:p>
        </w:tc>
        <w:tc>
          <w:tcPr>
            <w:tcW w:w="680" w:type="dxa"/>
            <w:vAlign w:val="bottom"/>
          </w:tcPr>
          <w:p>
            <w:pPr>
              <w:jc w:val="right"/>
              <w:ind w:right="29"/>
              <w:spacing w:after="0"/>
              <w:rPr>
                <w:sz w:val="20"/>
                <w:szCs w:val="20"/>
                <w:color w:val="auto"/>
              </w:rPr>
            </w:pPr>
            <w:r>
              <w:rPr>
                <w:rFonts w:ascii="Arial" w:cs="Arial" w:eastAsia="Arial" w:hAnsi="Arial"/>
                <w:sz w:val="17"/>
                <w:szCs w:val="17"/>
                <w:color w:val="auto"/>
              </w:rPr>
              <w:t>HIGH</w:t>
            </w:r>
          </w:p>
        </w:tc>
        <w:tc>
          <w:tcPr>
            <w:tcW w:w="700" w:type="dxa"/>
            <w:vAlign w:val="bottom"/>
          </w:tcPr>
          <w:p>
            <w:pPr>
              <w:jc w:val="right"/>
              <w:spacing w:after="0"/>
              <w:rPr>
                <w:sz w:val="20"/>
                <w:szCs w:val="20"/>
                <w:color w:val="auto"/>
              </w:rPr>
            </w:pPr>
            <w:r>
              <w:rPr>
                <w:rFonts w:ascii="Arial" w:cs="Arial" w:eastAsia="Arial" w:hAnsi="Arial"/>
                <w:sz w:val="17"/>
                <w:szCs w:val="17"/>
                <w:color w:val="auto"/>
              </w:rPr>
              <w:t>LOW</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ind w:left="20"/>
              <w:spacing w:after="0"/>
              <w:rPr>
                <w:sz w:val="20"/>
                <w:szCs w:val="20"/>
                <w:color w:val="auto"/>
              </w:rPr>
            </w:pPr>
            <w:r>
              <w:rPr>
                <w:rFonts w:ascii="Arial" w:cs="Arial" w:eastAsia="Arial" w:hAnsi="Arial"/>
                <w:sz w:val="20"/>
                <w:szCs w:val="20"/>
                <w:color w:val="auto"/>
              </w:rPr>
              <w:t>First</w:t>
            </w:r>
          </w:p>
        </w:tc>
        <w:tc>
          <w:tcPr>
            <w:tcW w:w="740" w:type="dxa"/>
            <w:vAlign w:val="bottom"/>
          </w:tcPr>
          <w:p>
            <w:pPr>
              <w:jc w:val="right"/>
              <w:spacing w:after="0"/>
              <w:rPr>
                <w:sz w:val="20"/>
                <w:szCs w:val="20"/>
                <w:color w:val="auto"/>
              </w:rPr>
            </w:pPr>
            <w:r>
              <w:rPr>
                <w:rFonts w:ascii="Arial" w:cs="Arial" w:eastAsia="Arial" w:hAnsi="Arial"/>
                <w:sz w:val="18"/>
                <w:szCs w:val="18"/>
                <w:color w:val="auto"/>
              </w:rPr>
              <w:t>$19.82</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$16.74</w:t>
            </w:r>
          </w:p>
        </w:tc>
        <w:tc>
          <w:tcPr>
            <w:tcW w:w="680" w:type="dxa"/>
            <w:vAlign w:val="bottom"/>
          </w:tcPr>
          <w:p>
            <w:pPr>
              <w:jc w:val="right"/>
              <w:spacing w:after="0"/>
              <w:rPr>
                <w:sz w:val="20"/>
                <w:szCs w:val="20"/>
                <w:color w:val="auto"/>
              </w:rPr>
            </w:pPr>
            <w:r>
              <w:rPr>
                <w:rFonts w:ascii="Arial" w:cs="Arial" w:eastAsia="Arial" w:hAnsi="Arial"/>
                <w:sz w:val="18"/>
                <w:szCs w:val="18"/>
                <w:color w:val="auto"/>
              </w:rPr>
              <w:t>$18.56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$13.55</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28"/>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460"/>
        </w:trPr>
        <w:tc>
          <w:tcPr>
            <w:tcW w:w="940" w:type="dxa"/>
            <w:vAlign w:val="bottom"/>
          </w:tcPr>
          <w:p>
            <w:pPr>
              <w:ind w:left="20"/>
              <w:spacing w:after="0"/>
              <w:rPr>
                <w:sz w:val="20"/>
                <w:szCs w:val="20"/>
                <w:color w:val="auto"/>
              </w:rPr>
            </w:pPr>
            <w:r>
              <w:rPr>
                <w:rFonts w:ascii="Arial" w:cs="Arial" w:eastAsia="Arial" w:hAnsi="Arial"/>
                <w:sz w:val="20"/>
                <w:szCs w:val="20"/>
                <w:color w:val="auto"/>
              </w:rPr>
              <w:t>Second</w:t>
            </w:r>
          </w:p>
        </w:tc>
        <w:tc>
          <w:tcPr>
            <w:tcW w:w="740" w:type="dxa"/>
            <w:vAlign w:val="bottom"/>
          </w:tcPr>
          <w:p>
            <w:pPr>
              <w:jc w:val="right"/>
              <w:spacing w:after="0"/>
              <w:rPr>
                <w:sz w:val="20"/>
                <w:szCs w:val="20"/>
                <w:color w:val="auto"/>
              </w:rPr>
            </w:pPr>
            <w:r>
              <w:rPr>
                <w:rFonts w:ascii="Arial" w:cs="Arial" w:eastAsia="Arial" w:hAnsi="Arial"/>
                <w:sz w:val="18"/>
                <w:szCs w:val="18"/>
                <w:color w:val="auto"/>
              </w:rPr>
              <w:t>19.11</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680" w:type="dxa"/>
            <w:vAlign w:val="bottom"/>
          </w:tcPr>
          <w:p>
            <w:pPr>
              <w:jc w:val="right"/>
              <w:spacing w:after="0"/>
              <w:rPr>
                <w:sz w:val="20"/>
                <w:szCs w:val="20"/>
                <w:color w:val="auto"/>
              </w:rPr>
            </w:pPr>
            <w:r>
              <w:rPr>
                <w:rFonts w:ascii="Arial" w:cs="Arial" w:eastAsia="Arial" w:hAnsi="Arial"/>
                <w:sz w:val="18"/>
                <w:szCs w:val="18"/>
                <w:color w:val="auto"/>
              </w:rPr>
              <w:t>20.44</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14.84</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28"/>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61"/>
        </w:trPr>
        <w:tc>
          <w:tcPr>
            <w:tcW w:w="940" w:type="dxa"/>
            <w:vAlign w:val="bottom"/>
          </w:tcPr>
          <w:p>
            <w:pPr>
              <w:ind w:left="20"/>
              <w:spacing w:after="0"/>
              <w:rPr>
                <w:sz w:val="20"/>
                <w:szCs w:val="20"/>
                <w:color w:val="auto"/>
              </w:rPr>
            </w:pPr>
            <w:r>
              <w:rPr>
                <w:rFonts w:ascii="Arial" w:cs="Arial" w:eastAsia="Arial" w:hAnsi="Arial"/>
                <w:sz w:val="20"/>
                <w:szCs w:val="20"/>
                <w:color w:val="auto"/>
              </w:rPr>
              <w:t>Third</w:t>
            </w:r>
          </w:p>
        </w:tc>
        <w:tc>
          <w:tcPr>
            <w:tcW w:w="740" w:type="dxa"/>
            <w:vAlign w:val="bottom"/>
          </w:tcPr>
          <w:p>
            <w:pPr>
              <w:jc w:val="right"/>
              <w:spacing w:after="0"/>
              <w:rPr>
                <w:sz w:val="20"/>
                <w:szCs w:val="20"/>
                <w:color w:val="auto"/>
              </w:rPr>
            </w:pPr>
            <w:r>
              <w:rPr>
                <w:rFonts w:ascii="Arial" w:cs="Arial" w:eastAsia="Arial" w:hAnsi="Arial"/>
                <w:sz w:val="18"/>
                <w:szCs w:val="18"/>
                <w:color w:val="auto"/>
              </w:rPr>
              <w:t>17.64</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680" w:type="dxa"/>
            <w:vAlign w:val="bottom"/>
          </w:tcPr>
          <w:p>
            <w:pPr>
              <w:jc w:val="right"/>
              <w:spacing w:after="0"/>
              <w:rPr>
                <w:sz w:val="20"/>
                <w:szCs w:val="20"/>
                <w:color w:val="auto"/>
              </w:rPr>
            </w:pPr>
            <w:r>
              <w:rPr>
                <w:rFonts w:ascii="Arial" w:cs="Arial" w:eastAsia="Arial" w:hAnsi="Arial"/>
                <w:sz w:val="18"/>
                <w:szCs w:val="18"/>
                <w:color w:val="auto"/>
              </w:rPr>
              <w:t>23.48</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15.71</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color w:val="auto"/>
              </w:rPr>
              <w:t>0.18</w:t>
            </w:r>
          </w:p>
        </w:tc>
        <w:tc>
          <w:tcPr>
            <w:tcW w:w="820" w:type="dxa"/>
            <w:vAlign w:val="bottom"/>
          </w:tcPr>
          <w:p>
            <w:pPr>
              <w:jc w:val="right"/>
              <w:ind w:right="28"/>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464"/>
        </w:trPr>
        <w:tc>
          <w:tcPr>
            <w:tcW w:w="940" w:type="dxa"/>
            <w:vAlign w:val="bottom"/>
          </w:tcPr>
          <w:p>
            <w:pPr>
              <w:ind w:left="20"/>
              <w:spacing w:after="0"/>
              <w:rPr>
                <w:sz w:val="20"/>
                <w:szCs w:val="20"/>
                <w:color w:val="auto"/>
              </w:rPr>
            </w:pPr>
            <w:r>
              <w:rPr>
                <w:rFonts w:ascii="Arial" w:cs="Arial" w:eastAsia="Arial" w:hAnsi="Arial"/>
                <w:sz w:val="20"/>
                <w:szCs w:val="20"/>
                <w:color w:val="auto"/>
              </w:rPr>
              <w:t>Fourth</w:t>
            </w:r>
          </w:p>
        </w:tc>
        <w:tc>
          <w:tcPr>
            <w:tcW w:w="740" w:type="dxa"/>
            <w:vAlign w:val="bottom"/>
          </w:tcPr>
          <w:p>
            <w:pPr>
              <w:jc w:val="right"/>
              <w:spacing w:after="0"/>
              <w:rPr>
                <w:sz w:val="20"/>
                <w:szCs w:val="20"/>
                <w:color w:val="auto"/>
              </w:rPr>
            </w:pPr>
            <w:r>
              <w:rPr>
                <w:rFonts w:ascii="Arial" w:cs="Arial" w:eastAsia="Arial" w:hAnsi="Arial"/>
                <w:sz w:val="18"/>
                <w:szCs w:val="18"/>
                <w:color w:val="auto"/>
              </w:rPr>
              <w:t>16.63</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680" w:type="dxa"/>
            <w:vAlign w:val="bottom"/>
          </w:tcPr>
          <w:p>
            <w:pPr>
              <w:jc w:val="right"/>
              <w:spacing w:after="0"/>
              <w:rPr>
                <w:sz w:val="20"/>
                <w:szCs w:val="20"/>
                <w:color w:val="auto"/>
              </w:rPr>
            </w:pPr>
            <w:r>
              <w:rPr>
                <w:rFonts w:ascii="Arial" w:cs="Arial" w:eastAsia="Arial" w:hAnsi="Arial"/>
                <w:sz w:val="18"/>
                <w:szCs w:val="18"/>
                <w:color w:val="auto"/>
              </w:rPr>
              <w:t>19.26</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15.55</w:t>
            </w:r>
          </w:p>
        </w:tc>
        <w:tc>
          <w:tcPr>
            <w:tcW w:w="20" w:type="dxa"/>
            <w:vAlign w:val="bottom"/>
            <w:shd w:val="clear" w:color="auto" w:fill="000000"/>
          </w:tcPr>
          <w:p>
            <w:pPr>
              <w:spacing w:after="0"/>
              <w:rPr>
                <w:sz w:val="24"/>
                <w:szCs w:val="24"/>
                <w:color w:val="auto"/>
              </w:rPr>
            </w:pPr>
          </w:p>
        </w:tc>
        <w:tc>
          <w:tcPr>
            <w:tcW w:w="820" w:type="dxa"/>
            <w:vAlign w:val="bottom"/>
            <w:tcBorders>
              <w:right w:val="single" w:sz="8" w:color="auto"/>
            </w:tcBorders>
          </w:tcPr>
          <w:p>
            <w:pPr>
              <w:jc w:val="right"/>
              <w:ind w:right="25"/>
              <w:spacing w:after="0"/>
              <w:rPr>
                <w:sz w:val="20"/>
                <w:szCs w:val="20"/>
                <w:color w:val="auto"/>
              </w:rPr>
            </w:pPr>
            <w:r>
              <w:rPr>
                <w:rFonts w:ascii="Arial" w:cs="Arial" w:eastAsia="Arial" w:hAnsi="Arial"/>
                <w:sz w:val="18"/>
                <w:szCs w:val="18"/>
                <w:color w:val="auto"/>
              </w:rPr>
              <w:t>0.18</w:t>
            </w:r>
          </w:p>
        </w:tc>
        <w:tc>
          <w:tcPr>
            <w:tcW w:w="820" w:type="dxa"/>
            <w:vAlign w:val="bottom"/>
          </w:tcPr>
          <w:p>
            <w:pPr>
              <w:jc w:val="right"/>
              <w:ind w:right="28"/>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41"/>
        </w:trPr>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column">
              <wp:posOffset>3263265</wp:posOffset>
            </wp:positionH>
            <wp:positionV relativeFrom="paragraph">
              <wp:posOffset>-2161540</wp:posOffset>
            </wp:positionV>
            <wp:extent cx="16510" cy="2162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16510" cy="2162175"/>
                    </a:xfrm>
                    <a:prstGeom prst="rect">
                      <a:avLst/>
                    </a:prstGeom>
                    <a:noFill/>
                  </pic:spPr>
                </pic:pic>
              </a:graphicData>
            </a:graphic>
          </wp:anchor>
        </w:drawing>
      </w:r>
    </w:p>
    <w:p>
      <w:pPr>
        <w:sectPr>
          <w:pgSz w:w="12240" w:h="15840" w:orient="portrait"/>
          <w:cols w:equalWidth="0" w:num="1">
            <w:col w:w="9600"/>
          </w:cols>
          <w:pgMar w:left="1320" w:top="1364" w:right="1320" w:bottom="604" w:gutter="0" w:footer="0" w:header="0"/>
          <w:type w:val="continuous"/>
        </w:sectPr>
      </w:pPr>
    </w:p>
    <w:bookmarkStart w:id="62" w:name="page63"/>
    <w:bookmarkEnd w:id="62"/>
    <w:p>
      <w:pPr>
        <w:ind w:left="480"/>
        <w:spacing w:after="0"/>
        <w:rPr>
          <w:sz w:val="20"/>
          <w:szCs w:val="20"/>
          <w:color w:val="auto"/>
        </w:rPr>
      </w:pPr>
      <w:r>
        <w:rPr>
          <w:rFonts w:ascii="Arial" w:cs="Arial" w:eastAsia="Arial" w:hAnsi="Arial"/>
          <w:sz w:val="30"/>
          <w:szCs w:val="30"/>
          <w:color w:val="auto"/>
        </w:rPr>
        <w:t>BOARD OF DIRECTORS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ROBERT H. SPILMAN JR.</w:t>
      </w:r>
    </w:p>
    <w:p>
      <w:pPr>
        <w:spacing w:after="0" w:line="60" w:lineRule="exact"/>
        <w:rPr>
          <w:sz w:val="20"/>
          <w:szCs w:val="20"/>
          <w:color w:val="auto"/>
        </w:rPr>
      </w:pPr>
    </w:p>
    <w:p>
      <w:pPr>
        <w:ind w:left="480"/>
        <w:spacing w:after="0" w:line="346" w:lineRule="auto"/>
        <w:rPr>
          <w:sz w:val="20"/>
          <w:szCs w:val="20"/>
          <w:color w:val="auto"/>
        </w:rPr>
      </w:pPr>
      <w:r>
        <w:rPr>
          <w:rFonts w:ascii="Arial" w:cs="Arial" w:eastAsia="Arial" w:hAnsi="Arial"/>
          <w:sz w:val="16"/>
          <w:szCs w:val="16"/>
          <w:color w:val="auto"/>
        </w:rPr>
        <w:t>Chairman of the Board and Chief Executive Officer Bassett Furniture Industries, Inc.</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EMMA S. BATTLE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Chief Executive Officer</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Market Vigor, LLC</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JOHN R. BELK</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Former President and Chief Operating Officer</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Belk, Inc.</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Private Investor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KRISTINA K. CASHMAN</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Restaurant &amp; Retail Consultant</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VIRGINIA W. HAMLET</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Founder and Owner</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Hamlet Vineyards,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Arial" w:cs="Arial" w:eastAsia="Arial" w:hAnsi="Arial"/>
          <w:sz w:val="30"/>
          <w:szCs w:val="30"/>
          <w:color w:val="auto"/>
        </w:rPr>
        <w:t>OFFICERS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ROBERT H. SPILMAN JR.</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Chairman of the Board and Chief Executive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JOHN E. BASSETT III</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Senior Vice President, Chief Operations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BRIAN W. CLASPELL</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Senior Vice President, Chief Information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BRUCE R. COHENOUR</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Senior Vice President, Chief Sales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J. MICHAEL DANIEL</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Senior Vice President, Chief Financial</w:t>
      </w:r>
    </w:p>
    <w:p>
      <w:pPr>
        <w:spacing w:after="0" w:line="5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&amp; Administrative Officer</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NICHOLAS C. GEE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Senior Vice President, Corporate Retail</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EDWIN C. AVERY JR.</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Vice President, Upholstery Product Development</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J. TYLER BASSETT</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Vice President, Customer Experience Technology</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D. SCHON DUKE</w:t>
      </w:r>
    </w:p>
    <w:p>
      <w:pPr>
        <w:spacing w:after="0" w:line="6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Vice President, Lane Venture &amp; Contract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1560"/>
        <w:spacing w:after="0" w:line="325" w:lineRule="auto"/>
        <w:rPr>
          <w:sz w:val="20"/>
          <w:szCs w:val="20"/>
          <w:color w:val="auto"/>
        </w:rPr>
      </w:pPr>
      <w:r>
        <w:rPr>
          <w:rFonts w:ascii="Arial" w:cs="Arial" w:eastAsia="Arial" w:hAnsi="Arial"/>
          <w:sz w:val="16"/>
          <w:szCs w:val="16"/>
          <w:b w:val="1"/>
          <w:bCs w:val="1"/>
          <w:color w:val="auto"/>
        </w:rPr>
        <w:t xml:space="preserve">J. WALTER MCDOWELL </w:t>
      </w:r>
      <w:r>
        <w:rPr>
          <w:rFonts w:ascii="Arial" w:cs="Arial" w:eastAsia="Arial" w:hAnsi="Arial"/>
          <w:sz w:val="16"/>
          <w:szCs w:val="16"/>
          <w:color w:val="auto"/>
        </w:rPr>
        <w:t>Former Chief Executive Officer Carolinas/Virginia Banking Wachovia 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C. WAMPLER JR.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Managing Member, Wampler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Consulting Group, LLC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Former Member, Senate of Virginia</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WILLIAM C. WARDEN JR.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Lead Independent Director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of Bassett Furniture Industries, Inc.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Former Executive Vice President,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Lowe’s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E. FLYNN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Club Level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JAY R. HERVEY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Secretary, General Counsel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DRURY E. INGRAM</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Corporate Controller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MATTHEW S. JOHNSON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Sales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MIKE R. KREIDLER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Upholstery</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BETH A. LARSON</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Upholstery Finance &amp; Administration</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PETER D. MORRISON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Creative Officer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ROBERT H. SPILMAN III</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Dedicated Distribution</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 CARTER UNDERWOOD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Wood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EDWARD H. WHITE</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Human Resources</w:t>
      </w:r>
    </w:p>
    <w:p>
      <w:pPr>
        <w:sectPr>
          <w:pgSz w:w="12240" w:h="15840" w:orient="portrait"/>
          <w:cols w:equalWidth="0" w:num="2">
            <w:col w:w="4860" w:space="640"/>
            <w:col w:w="3860"/>
          </w:cols>
          <w:pgMar w:left="1440" w:top="996" w:right="1440" w:bottom="706"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3119120</wp:posOffset>
            </wp:positionH>
            <wp:positionV relativeFrom="page">
              <wp:posOffset>4672965</wp:posOffset>
            </wp:positionV>
            <wp:extent cx="1533525" cy="388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153352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 A S D A Q : B S E 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 A S S E T T F U R N I T U R E . C O 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A S S E T T, V I R G I N I A</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Ɣ"/>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Ɣ"/>
      <w:numFmt w:val="bullet"/>
      <w:start w:val="1"/>
    </w:lvl>
  </w:abstractNum>
  <w:abstractNum w:abstractNumId="7">
    <w:nsid w:val="1BEFD79F"/>
    <w:multiLevelType w:val="hybridMultilevel"/>
    <w:lvl w:ilvl="0">
      <w:lvlJc w:val="left"/>
      <w:lvlText w:val="Ɣ"/>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3"/>
    </w:lvl>
  </w:abstractNum>
  <w:abstractNum w:abstractNumId="12">
    <w:nsid w:val="519B500D"/>
    <w:multiLevelType w:val="hybridMultilevel"/>
    <w:lvl w:ilvl="0">
      <w:lvlJc w:val="left"/>
      <w:lvlText w:val="%1."/>
      <w:numFmt w:val="decimal"/>
      <w:start w:val="4"/>
    </w:lvl>
  </w:abstractNum>
  <w:abstractNum w:abstractNumId="13">
    <w:nsid w:val="431BD7B7"/>
    <w:multiLevelType w:val="hybridMultilevel"/>
    <w:lvl w:ilvl="0">
      <w:lvlJc w:val="left"/>
      <w:lvlText w:val="Ɣ"/>
      <w:numFmt w:val="bullet"/>
      <w:start w:val="1"/>
    </w:lvl>
  </w:abstractNum>
  <w:abstractNum w:abstractNumId="14">
    <w:nsid w:val="3F2DBA31"/>
    <w:multiLevelType w:val="hybridMultilevel"/>
    <w:lvl w:ilvl="0">
      <w:lvlJc w:val="left"/>
      <w:lvlText w:val="%1."/>
      <w:numFmt w:val="decimal"/>
      <w:start w:val="10"/>
    </w:lvl>
  </w:abstractNum>
  <w:abstractNum w:abstractNumId="15">
    <w:nsid w:val="7C83E458"/>
    <w:multiLevelType w:val="hybridMultilevel"/>
    <w:lvl w:ilvl="0">
      <w:lvlJc w:val="left"/>
      <w:lvlText w:val="%1."/>
      <w:numFmt w:val="decimal"/>
      <w:start w:val="15"/>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abstractNum>
  <w:abstractNum w:abstractNumId="19">
    <w:nsid w:val="628C895D"/>
    <w:multiLevelType w:val="hybridMultilevel"/>
    <w:lvl w:ilvl="0">
      <w:lvlJc w:val="left"/>
      <w:lvlText w:val="%1."/>
      <w:numFmt w:val="decimal"/>
      <w:start w:val="19"/>
    </w:lvl>
    <w:lvl w:ilvl="1">
      <w:lvlJc w:val="left"/>
      <w:lvlText w:val="%2"/>
      <w:numFmt w:val="decimal"/>
      <w:start w:val="1"/>
    </w:lvl>
  </w:abstractNum>
  <w:abstractNum w:abstractNumId="20">
    <w:nsid w:val="333AB105"/>
    <w:multiLevelType w:val="hybridMultilevel"/>
    <w:lvl w:ilvl="0">
      <w:lvlJc w:val="left"/>
      <w:lvlText w:val="Ɣ"/>
      <w:numFmt w:val="bullet"/>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2024-02-05T08:29:01Z</dcterms:created>
  <dcterms:modified xsi:type="dcterms:W3CDTF">2024-02-05T08:29:01Z</dcterms:modified>
</cp:coreProperties>
</file>