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328930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389255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176530</wp:posOffset>
            </wp:positionV>
            <wp:extent cx="18097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29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199390</wp:posOffset>
            </wp:positionV>
            <wp:extent cx="18097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35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3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3"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January 17,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328930</wp:posOffset>
            </wp:positionV>
            <wp:extent cx="18097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BASSETT FURNITURE INDUSTRIES, INCORPORATED</w:t>
      </w:r>
    </w:p>
    <w:p>
      <w:pPr>
        <w:spacing w:after="0" w:line="4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176530</wp:posOffset>
            </wp:positionV>
            <wp:extent cx="18097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ectPr>
          <w:pgSz w:w="11900" w:h="16838" w:orient="portrait"/>
          <w:cols w:equalWidth="0" w:num="1">
            <w:col w:w="11300"/>
          </w:cols>
          <w:pgMar w:left="240" w:top="849"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55" w:lineRule="exact"/>
        <w:rPr>
          <w:sz w:val="24"/>
          <w:szCs w:val="24"/>
          <w:color w:val="auto"/>
        </w:rPr>
      </w:pPr>
    </w:p>
    <w:p>
      <w:pPr>
        <w:ind w:left="1400"/>
        <w:spacing w:after="0"/>
        <w:rPr>
          <w:sz w:val="20"/>
          <w:szCs w:val="20"/>
          <w:color w:val="auto"/>
        </w:rPr>
      </w:pPr>
      <w:r>
        <w:rPr>
          <w:rFonts w:ascii="Times New Roman" w:cs="Times New Roman" w:eastAsia="Times New Roman" w:hAnsi="Times New Roman"/>
          <w:sz w:val="18"/>
          <w:szCs w:val="18"/>
          <w:b w:val="1"/>
          <w:bCs w:val="1"/>
          <w:color w:val="auto"/>
        </w:rPr>
        <w:t>VIRGINIA</w:t>
      </w:r>
    </w:p>
    <w:p>
      <w:pPr>
        <w:spacing w:after="0" w:line="31"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18"/>
          <w:szCs w:val="18"/>
          <w:b w:val="1"/>
          <w:bCs w:val="1"/>
          <w:color w:val="auto"/>
        </w:rPr>
        <w:t>(State or other jurisdiction of</w:t>
      </w:r>
    </w:p>
    <w:p>
      <w:pPr>
        <w:spacing w:after="0" w:line="9" w:lineRule="exact"/>
        <w:rPr>
          <w:sz w:val="24"/>
          <w:szCs w:val="24"/>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39" w:lineRule="exact"/>
        <w:rPr>
          <w:sz w:val="24"/>
          <w:szCs w:val="24"/>
          <w:color w:val="auto"/>
        </w:rPr>
      </w:pPr>
    </w:p>
    <w:p>
      <w:pPr>
        <w:jc w:val="center"/>
        <w:ind w:right="1600"/>
        <w:spacing w:after="0"/>
        <w:rPr>
          <w:sz w:val="20"/>
          <w:szCs w:val="20"/>
          <w:color w:val="auto"/>
        </w:rPr>
      </w:pPr>
      <w:r>
        <w:rPr>
          <w:rFonts w:ascii="Times New Roman" w:cs="Times New Roman" w:eastAsia="Times New Roman" w:hAnsi="Times New Roman"/>
          <w:sz w:val="18"/>
          <w:szCs w:val="18"/>
          <w:color w:val="auto"/>
        </w:rPr>
        <w:t>000-00209</w:t>
      </w:r>
    </w:p>
    <w:p>
      <w:pPr>
        <w:spacing w:after="0" w:line="27" w:lineRule="exact"/>
        <w:rPr>
          <w:sz w:val="24"/>
          <w:szCs w:val="24"/>
          <w:color w:val="auto"/>
        </w:rPr>
      </w:pPr>
    </w:p>
    <w:p>
      <w:pPr>
        <w:jc w:val="center"/>
        <w:ind w:right="1600"/>
        <w:spacing w:after="0"/>
        <w:rPr>
          <w:sz w:val="20"/>
          <w:szCs w:val="20"/>
          <w:color w:val="auto"/>
        </w:rPr>
      </w:pPr>
      <w:r>
        <w:rPr>
          <w:rFonts w:ascii="Times New Roman" w:cs="Times New Roman" w:eastAsia="Times New Roman" w:hAnsi="Times New Roman"/>
          <w:sz w:val="17"/>
          <w:szCs w:val="17"/>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35" w:lineRule="exact"/>
        <w:rPr>
          <w:sz w:val="24"/>
          <w:szCs w:val="24"/>
          <w:color w:val="auto"/>
        </w:rPr>
      </w:pPr>
    </w:p>
    <w:p>
      <w:pPr>
        <w:jc w:val="center"/>
        <w:ind w:right="1000"/>
        <w:spacing w:after="0"/>
        <w:rPr>
          <w:sz w:val="20"/>
          <w:szCs w:val="20"/>
          <w:color w:val="auto"/>
        </w:rPr>
      </w:pPr>
      <w:r>
        <w:rPr>
          <w:rFonts w:ascii="Times New Roman" w:cs="Times New Roman" w:eastAsia="Times New Roman" w:hAnsi="Times New Roman"/>
          <w:sz w:val="18"/>
          <w:szCs w:val="18"/>
          <w:b w:val="1"/>
          <w:bCs w:val="1"/>
          <w:color w:val="auto"/>
        </w:rPr>
        <w:t>54-0135270</w:t>
      </w:r>
    </w:p>
    <w:p>
      <w:pPr>
        <w:spacing w:after="0" w:line="31" w:lineRule="exact"/>
        <w:rPr>
          <w:sz w:val="24"/>
          <w:szCs w:val="24"/>
          <w:color w:val="auto"/>
        </w:rPr>
      </w:pPr>
    </w:p>
    <w:p>
      <w:pPr>
        <w:jc w:val="center"/>
        <w:ind w:right="1000"/>
        <w:spacing w:after="0"/>
        <w:rPr>
          <w:sz w:val="20"/>
          <w:szCs w:val="20"/>
          <w:color w:val="auto"/>
        </w:rPr>
      </w:pPr>
      <w:r>
        <w:rPr>
          <w:rFonts w:ascii="Times New Roman" w:cs="Times New Roman" w:eastAsia="Times New Roman" w:hAnsi="Times New Roman"/>
          <w:sz w:val="18"/>
          <w:szCs w:val="18"/>
          <w:b w:val="1"/>
          <w:bCs w:val="1"/>
          <w:color w:val="auto"/>
        </w:rPr>
        <w:t>(I.R.S. Employer</w:t>
      </w:r>
    </w:p>
    <w:p>
      <w:pPr>
        <w:spacing w:after="0" w:line="9" w:lineRule="exact"/>
        <w:rPr>
          <w:sz w:val="24"/>
          <w:szCs w:val="24"/>
          <w:color w:val="auto"/>
        </w:rPr>
      </w:pPr>
    </w:p>
    <w:p>
      <w:pPr>
        <w:jc w:val="center"/>
        <w:ind w:right="1000"/>
        <w:spacing w:after="0"/>
        <w:rPr>
          <w:sz w:val="20"/>
          <w:szCs w:val="20"/>
          <w:color w:val="auto"/>
        </w:rPr>
      </w:pPr>
      <w:r>
        <w:rPr>
          <w:rFonts w:ascii="Times New Roman" w:cs="Times New Roman" w:eastAsia="Times New Roman" w:hAnsi="Times New Roman"/>
          <w:sz w:val="17"/>
          <w:szCs w:val="17"/>
          <w:b w:val="1"/>
          <w:bCs w:val="1"/>
          <w:color w:val="auto"/>
        </w:rPr>
        <w:t>Identification No.)</w:t>
      </w:r>
    </w:p>
    <w:p>
      <w:pPr>
        <w:spacing w:after="0" w:line="211" w:lineRule="exact"/>
        <w:rPr>
          <w:sz w:val="24"/>
          <w:szCs w:val="24"/>
          <w:color w:val="auto"/>
        </w:rPr>
      </w:pPr>
    </w:p>
    <w:p>
      <w:pPr>
        <w:sectPr>
          <w:pgSz w:w="11900" w:h="16838" w:orient="portrait"/>
          <w:cols w:equalWidth="0" w:num="3">
            <w:col w:w="4160" w:space="720"/>
            <w:col w:w="3300" w:space="720"/>
            <w:col w:w="2400"/>
          </w:cols>
          <w:pgMar w:left="240" w:top="849" w:right="359" w:bottom="1440" w:gutter="0" w:footer="0" w:header="0"/>
          <w:type w:val="continuous"/>
        </w:sectPr>
      </w:pPr>
    </w:p>
    <w:p>
      <w:pPr>
        <w:spacing w:after="0" w:line="219" w:lineRule="exact"/>
        <w:rPr>
          <w:sz w:val="24"/>
          <w:szCs w:val="24"/>
          <w:color w:val="auto"/>
        </w:rPr>
      </w:pPr>
    </w:p>
    <w:p>
      <w:pPr>
        <w:jc w:val="center"/>
        <w:ind w:right="2040"/>
        <w:spacing w:after="0"/>
        <w:rPr>
          <w:sz w:val="20"/>
          <w:szCs w:val="20"/>
          <w:color w:val="auto"/>
        </w:rPr>
      </w:pPr>
      <w:r>
        <w:rPr>
          <w:rFonts w:ascii="Times New Roman" w:cs="Times New Roman" w:eastAsia="Times New Roman" w:hAnsi="Times New Roman"/>
          <w:sz w:val="17"/>
          <w:szCs w:val="17"/>
          <w:b w:val="1"/>
          <w:bCs w:val="1"/>
          <w:color w:val="auto"/>
        </w:rPr>
        <w:t>3525 FAIRYSTONE PARK HIGHWAY</w:t>
      </w:r>
    </w:p>
    <w:p>
      <w:pPr>
        <w:spacing w:after="0" w:line="43" w:lineRule="exact"/>
        <w:rPr>
          <w:sz w:val="24"/>
          <w:szCs w:val="24"/>
          <w:color w:val="auto"/>
        </w:rPr>
      </w:pPr>
    </w:p>
    <w:p>
      <w:pPr>
        <w:jc w:val="center"/>
        <w:ind w:right="2040"/>
        <w:spacing w:after="0"/>
        <w:rPr>
          <w:sz w:val="20"/>
          <w:szCs w:val="20"/>
          <w:color w:val="auto"/>
        </w:rPr>
      </w:pPr>
      <w:r>
        <w:rPr>
          <w:rFonts w:ascii="Times New Roman" w:cs="Times New Roman" w:eastAsia="Times New Roman" w:hAnsi="Times New Roman"/>
          <w:sz w:val="18"/>
          <w:szCs w:val="18"/>
          <w:b w:val="1"/>
          <w:bCs w:val="1"/>
          <w:color w:val="auto"/>
        </w:rPr>
        <w:t>BASSETT, VIRGINIA</w:t>
      </w:r>
    </w:p>
    <w:p>
      <w:pPr>
        <w:spacing w:after="0" w:line="9" w:lineRule="exact"/>
        <w:rPr>
          <w:sz w:val="24"/>
          <w:szCs w:val="24"/>
          <w:color w:val="auto"/>
        </w:rPr>
      </w:pPr>
    </w:p>
    <w:p>
      <w:pPr>
        <w:jc w:val="center"/>
        <w:ind w:right="2040"/>
        <w:spacing w:after="0"/>
        <w:rPr>
          <w:sz w:val="20"/>
          <w:szCs w:val="20"/>
          <w:color w:val="auto"/>
        </w:rPr>
      </w:pPr>
      <w:r>
        <w:rPr>
          <w:rFonts w:ascii="Times New Roman" w:cs="Times New Roman" w:eastAsia="Times New Roman" w:hAnsi="Times New Roman"/>
          <w:sz w:val="18"/>
          <w:szCs w:val="18"/>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5" w:lineRule="exact"/>
        <w:rPr>
          <w:sz w:val="24"/>
          <w:szCs w:val="24"/>
          <w:color w:val="auto"/>
        </w:rPr>
      </w:pPr>
    </w:p>
    <w:p>
      <w:pPr>
        <w:jc w:val="center"/>
        <w:ind w:right="2200"/>
        <w:spacing w:after="0"/>
        <w:rPr>
          <w:sz w:val="20"/>
          <w:szCs w:val="20"/>
          <w:color w:val="auto"/>
        </w:rPr>
      </w:pPr>
      <w:r>
        <w:rPr>
          <w:rFonts w:ascii="Times New Roman" w:cs="Times New Roman" w:eastAsia="Times New Roman" w:hAnsi="Times New Roman"/>
          <w:sz w:val="18"/>
          <w:szCs w:val="18"/>
          <w:b w:val="1"/>
          <w:bCs w:val="1"/>
          <w:color w:val="auto"/>
        </w:rPr>
        <w:t>24055</w:t>
      </w:r>
    </w:p>
    <w:p>
      <w:pPr>
        <w:spacing w:after="0" w:line="31" w:lineRule="exact"/>
        <w:rPr>
          <w:sz w:val="24"/>
          <w:szCs w:val="24"/>
          <w:color w:val="auto"/>
        </w:rPr>
      </w:pPr>
    </w:p>
    <w:p>
      <w:pPr>
        <w:jc w:val="center"/>
        <w:ind w:right="2200"/>
        <w:spacing w:after="0"/>
        <w:rPr>
          <w:sz w:val="20"/>
          <w:szCs w:val="20"/>
          <w:color w:val="auto"/>
        </w:rPr>
      </w:pPr>
      <w:r>
        <w:rPr>
          <w:rFonts w:ascii="Times New Roman" w:cs="Times New Roman" w:eastAsia="Times New Roman" w:hAnsi="Times New Roman"/>
          <w:sz w:val="18"/>
          <w:szCs w:val="18"/>
          <w:b w:val="1"/>
          <w:bCs w:val="1"/>
          <w:color w:val="auto"/>
        </w:rPr>
        <w:t>(Zip Code)</w:t>
      </w:r>
    </w:p>
    <w:p>
      <w:pPr>
        <w:spacing w:after="0" w:line="200" w:lineRule="exact"/>
        <w:rPr>
          <w:sz w:val="24"/>
          <w:szCs w:val="24"/>
          <w:color w:val="auto"/>
        </w:rPr>
      </w:pPr>
    </w:p>
    <w:p>
      <w:pPr>
        <w:sectPr>
          <w:pgSz w:w="11900" w:h="16838" w:orient="portrait"/>
          <w:cols w:equalWidth="0" w:num="2">
            <w:col w:w="7540" w:space="720"/>
            <w:col w:w="3040"/>
          </w:cols>
          <w:pgMar w:left="240" w:top="849" w:right="359" w:bottom="1440" w:gutter="0" w:footer="0" w:header="0"/>
          <w:type w:val="continuous"/>
        </w:sectPr>
      </w:pPr>
    </w:p>
    <w:p>
      <w:pPr>
        <w:spacing w:after="0" w:line="3"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(276) 629-6000</w:t>
      </w:r>
    </w:p>
    <w:p>
      <w:pPr>
        <w:spacing w:after="0" w:line="22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29"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62" w:lineRule="exact"/>
        <w:rPr>
          <w:sz w:val="24"/>
          <w:szCs w:val="24"/>
          <w:color w:val="auto"/>
        </w:rPr>
      </w:pPr>
    </w:p>
    <w:p>
      <w:pPr>
        <w:ind w:left="500" w:hanging="492"/>
        <w:spacing w:after="0"/>
        <w:tabs>
          <w:tab w:leader="none" w:pos="5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500" w:hanging="492"/>
        <w:spacing w:after="0"/>
        <w:tabs>
          <w:tab w:leader="none" w:pos="5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500" w:hanging="492"/>
        <w:spacing w:after="0"/>
        <w:tabs>
          <w:tab w:leader="none" w:pos="5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500" w:hanging="492"/>
        <w:spacing w:after="0"/>
        <w:tabs>
          <w:tab w:leader="none" w:pos="5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or Rule 12b-2 of the Securities Exchange Act of 1934.</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2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202565</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622935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00"/>
          </w:cols>
          <w:pgMar w:left="240" w:top="849" w:right="359" w:bottom="1440" w:gutter="0" w:footer="0" w:header="0"/>
          <w:type w:val="continuous"/>
        </w:sectPr>
      </w:pPr>
    </w:p>
    <w:bookmarkStart w:id="1" w:name="page2"/>
    <w:bookmarkEnd w:id="1"/>
    <w:p>
      <w:pPr>
        <w:spacing w:after="0"/>
        <w:tabs>
          <w:tab w:leader="none" w:pos="960" w:val="left"/>
        </w:tabs>
        <w:rPr>
          <w:sz w:val="20"/>
          <w:szCs w:val="20"/>
          <w:color w:val="auto"/>
        </w:rPr>
      </w:pPr>
      <w:r>
        <w:rPr>
          <w:rFonts w:ascii="Times New Roman" w:cs="Times New Roman" w:eastAsia="Times New Roman" w:hAnsi="Times New Roman"/>
          <w:sz w:val="18"/>
          <w:szCs w:val="18"/>
          <w:color w:val="auto"/>
        </w:rPr>
        <w:t>Item 8.01</w:t>
      </w:r>
      <w:r>
        <w:rPr>
          <w:sz w:val="20"/>
          <w:szCs w:val="20"/>
          <w:color w:val="auto"/>
        </w:rPr>
        <w:tab/>
      </w:r>
      <w:r>
        <w:rPr>
          <w:rFonts w:ascii="Times New Roman" w:cs="Times New Roman" w:eastAsia="Times New Roman" w:hAnsi="Times New Roman"/>
          <w:sz w:val="17"/>
          <w:szCs w:val="17"/>
          <w:color w:val="auto"/>
        </w:rPr>
        <w:t>Other Events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January 17, 2019, Bassett Furniture Industries issued a news release relating to the declaration of a regular quarterly dividend of $0.125 per share of outstanding common stock payable on March 1, 2019 to shareholders of record at the close of business on February 15, 2019. A copy of the news release is attached to the report as Exhibit 99.</w:t>
      </w:r>
    </w:p>
    <w:p>
      <w:pPr>
        <w:spacing w:after="0" w:line="203"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color w:val="auto"/>
        </w:rPr>
        <w:t>Item 9.01.</w:t>
        <w:tab/>
        <w:t>Financial Statements and Exhibits</w:t>
      </w:r>
    </w:p>
    <w:p>
      <w:pPr>
        <w:spacing w:after="0" w:line="225" w:lineRule="exact"/>
        <w:rPr>
          <w:sz w:val="20"/>
          <w:szCs w:val="20"/>
          <w:color w:val="auto"/>
        </w:rPr>
      </w:pPr>
    </w:p>
    <w:p>
      <w:pPr>
        <w:spacing w:after="0"/>
        <w:tabs>
          <w:tab w:leader="none" w:pos="11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Exhibit 99</w:t>
      </w:r>
      <w:r>
        <w:rPr>
          <w:sz w:val="20"/>
          <w:szCs w:val="20"/>
          <w:color w:val="auto"/>
        </w:rPr>
        <w:tab/>
      </w:r>
      <w:hyperlink w:anchor="page4">
        <w:r>
          <w:rPr>
            <w:rFonts w:ascii="Times New Roman" w:cs="Times New Roman" w:eastAsia="Times New Roman" w:hAnsi="Times New Roman"/>
            <w:sz w:val="18"/>
            <w:szCs w:val="18"/>
            <w:u w:val="single" w:color="auto"/>
            <w:color w:val="0000EE"/>
          </w:rPr>
          <w:t>News release issued by Bassett Furniture Industries, Inc. on January 17, 2019</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377825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2" w:name="page3"/>
    <w:bookmarkEnd w:id="2"/>
    <w:p>
      <w:pPr>
        <w:jc w:val="center"/>
        <w:ind w:right="-499"/>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January 17, 2019</w:t>
            </w:r>
          </w:p>
        </w:tc>
        <w:tc>
          <w:tcPr>
            <w:tcW w:w="4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By:</w:t>
            </w:r>
          </w:p>
        </w:tc>
        <w:tc>
          <w:tcPr>
            <w:tcW w:w="468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/s/ J. Michael Daniel</w:t>
            </w:r>
          </w:p>
        </w:tc>
      </w:tr>
      <w:tr>
        <w:trPr>
          <w:trHeight w:val="191"/>
        </w:trPr>
        <w:tc>
          <w:tcPr>
            <w:tcW w:w="5500" w:type="dxa"/>
            <w:vAlign w:val="bottom"/>
          </w:tcPr>
          <w:p>
            <w:pPr>
              <w:spacing w:after="0"/>
              <w:rPr>
                <w:sz w:val="16"/>
                <w:szCs w:val="16"/>
                <w:color w:val="auto"/>
              </w:rPr>
            </w:pPr>
          </w:p>
        </w:tc>
        <w:tc>
          <w:tcPr>
            <w:tcW w:w="512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J. Michael Daniel</w:t>
            </w:r>
          </w:p>
        </w:tc>
      </w:tr>
      <w:tr>
        <w:trPr>
          <w:trHeight w:val="234"/>
        </w:trPr>
        <w:tc>
          <w:tcPr>
            <w:tcW w:w="5500" w:type="dxa"/>
            <w:vAlign w:val="bottom"/>
          </w:tcPr>
          <w:p>
            <w:pPr>
              <w:spacing w:after="0"/>
              <w:rPr>
                <w:sz w:val="20"/>
                <w:szCs w:val="20"/>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Senior Vice President – Chief Financial Officer</w:t>
            </w:r>
          </w:p>
        </w:tc>
      </w:tr>
    </w:tbl>
    <w:p>
      <w:pPr>
        <w:sectPr>
          <w:pgSz w:w="11900" w:h="16838" w:orient="portrait"/>
          <w:cols w:equalWidth="0" w:num="1">
            <w:col w:w="10940"/>
          </w:cols>
          <w:pgMar w:left="240" w:top="580" w:right="71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1500505" cy="4889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500505" cy="488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Bassett Furniture Industries, Inc.</w:t>
            </w:r>
          </w:p>
        </w:tc>
        <w:tc>
          <w:tcPr>
            <w:tcW w:w="6400" w:type="dxa"/>
            <w:vAlign w:val="bottom"/>
            <w:gridSpan w:val="3"/>
          </w:tcPr>
          <w:p>
            <w:pPr>
              <w:ind w:left="2260"/>
              <w:spacing w:after="0"/>
              <w:rPr>
                <w:sz w:val="20"/>
                <w:szCs w:val="20"/>
                <w:color w:val="auto"/>
              </w:rPr>
            </w:pPr>
            <w:r>
              <w:rPr>
                <w:rFonts w:ascii="Times New Roman" w:cs="Times New Roman" w:eastAsia="Times New Roman" w:hAnsi="Times New Roman"/>
                <w:sz w:val="18"/>
                <w:szCs w:val="18"/>
                <w:b w:val="1"/>
                <w:bCs w:val="1"/>
                <w:color w:val="auto"/>
              </w:rPr>
              <w:t>J. Michael Daniel, Senior Vice</w:t>
            </w:r>
          </w:p>
        </w:tc>
      </w:tr>
      <w:tr>
        <w:trPr>
          <w:trHeight w:val="220"/>
        </w:trPr>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P.O. Box 626</w:t>
            </w:r>
          </w:p>
        </w:tc>
        <w:tc>
          <w:tcPr>
            <w:tcW w:w="6400" w:type="dxa"/>
            <w:vAlign w:val="bottom"/>
            <w:gridSpan w:val="3"/>
          </w:tcPr>
          <w:p>
            <w:pPr>
              <w:ind w:left="2260"/>
              <w:spacing w:after="0"/>
              <w:rPr>
                <w:sz w:val="20"/>
                <w:szCs w:val="20"/>
                <w:color w:val="auto"/>
              </w:rPr>
            </w:pPr>
            <w:r>
              <w:rPr>
                <w:rFonts w:ascii="Times New Roman" w:cs="Times New Roman" w:eastAsia="Times New Roman" w:hAnsi="Times New Roman"/>
                <w:sz w:val="18"/>
                <w:szCs w:val="18"/>
                <w:b w:val="1"/>
                <w:bCs w:val="1"/>
                <w:color w:val="auto"/>
              </w:rPr>
              <w:t>President and Chief Financial Officer</w:t>
            </w:r>
          </w:p>
        </w:tc>
      </w:tr>
      <w:tr>
        <w:trPr>
          <w:trHeight w:val="234"/>
        </w:trPr>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Bassett, VA 24055</w:t>
            </w:r>
          </w:p>
        </w:tc>
        <w:tc>
          <w:tcPr>
            <w:tcW w:w="2660" w:type="dxa"/>
            <w:vAlign w:val="bottom"/>
          </w:tcPr>
          <w:p>
            <w:pPr>
              <w:ind w:left="2260"/>
              <w:spacing w:after="0"/>
              <w:rPr>
                <w:sz w:val="20"/>
                <w:szCs w:val="20"/>
                <w:color w:val="auto"/>
              </w:rPr>
            </w:pPr>
            <w:r>
              <w:rPr>
                <w:rFonts w:ascii="Times New Roman" w:cs="Times New Roman" w:eastAsia="Times New Roman" w:hAnsi="Times New Roman"/>
                <w:sz w:val="18"/>
                <w:szCs w:val="18"/>
                <w:color w:val="auto"/>
                <w:w w:val="97"/>
              </w:rPr>
              <w:t>(276)</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629-6614</w:t>
            </w:r>
          </w:p>
        </w:tc>
        <w:tc>
          <w:tcPr>
            <w:tcW w:w="3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 Investors</w:t>
            </w:r>
          </w:p>
        </w:tc>
      </w:tr>
      <w:tr>
        <w:trPr>
          <w:trHeight w:val="414"/>
        </w:trPr>
        <w:tc>
          <w:tcPr>
            <w:tcW w:w="4600" w:type="dxa"/>
            <w:vAlign w:val="bottom"/>
          </w:tcPr>
          <w:p>
            <w:pPr>
              <w:spacing w:after="0"/>
              <w:rPr>
                <w:sz w:val="24"/>
                <w:szCs w:val="24"/>
                <w:color w:val="auto"/>
              </w:rPr>
            </w:pPr>
          </w:p>
        </w:tc>
        <w:tc>
          <w:tcPr>
            <w:tcW w:w="6400" w:type="dxa"/>
            <w:vAlign w:val="bottom"/>
            <w:gridSpan w:val="3"/>
          </w:tcPr>
          <w:p>
            <w:pPr>
              <w:ind w:left="2260"/>
              <w:spacing w:after="0"/>
              <w:rPr>
                <w:sz w:val="20"/>
                <w:szCs w:val="20"/>
                <w:color w:val="auto"/>
              </w:rPr>
            </w:pPr>
            <w:r>
              <w:rPr>
                <w:rFonts w:ascii="Times New Roman" w:cs="Times New Roman" w:eastAsia="Times New Roman" w:hAnsi="Times New Roman"/>
                <w:sz w:val="18"/>
                <w:szCs w:val="18"/>
                <w:b w:val="1"/>
                <w:bCs w:val="1"/>
                <w:color w:val="auto"/>
                <w:w w:val="99"/>
              </w:rPr>
              <w:t>Peter D. Morrison, Vice President of Communications</w:t>
            </w:r>
          </w:p>
        </w:tc>
      </w:tr>
      <w:tr>
        <w:trPr>
          <w:trHeight w:val="234"/>
        </w:trPr>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For Immediate Release</w:t>
            </w:r>
          </w:p>
        </w:tc>
        <w:tc>
          <w:tcPr>
            <w:tcW w:w="2660" w:type="dxa"/>
            <w:vAlign w:val="bottom"/>
          </w:tcPr>
          <w:p>
            <w:pPr>
              <w:ind w:left="2260"/>
              <w:spacing w:after="0"/>
              <w:rPr>
                <w:sz w:val="20"/>
                <w:szCs w:val="20"/>
                <w:color w:val="auto"/>
              </w:rPr>
            </w:pPr>
            <w:r>
              <w:rPr>
                <w:rFonts w:ascii="Times New Roman" w:cs="Times New Roman" w:eastAsia="Times New Roman" w:hAnsi="Times New Roman"/>
                <w:sz w:val="18"/>
                <w:szCs w:val="18"/>
                <w:color w:val="auto"/>
                <w:w w:val="97"/>
              </w:rPr>
              <w:t>(276)</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629-6387</w:t>
            </w:r>
          </w:p>
        </w:tc>
        <w:tc>
          <w:tcPr>
            <w:tcW w:w="3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 Media</w:t>
            </w:r>
          </w:p>
        </w:tc>
      </w:tr>
    </w:tbl>
    <w:p>
      <w:pPr>
        <w:spacing w:after="0" w:line="391"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Bassett Furniture News Release</w:t>
      </w:r>
    </w:p>
    <w:p>
      <w:pPr>
        <w:spacing w:after="0" w:line="3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Bassett Announces Quarterly Dividend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30480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93"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(Bassett, Va.) – January 17, 2019– Bassett Furniture Industries, Inc. (Nasdaq: BSET) announced today that its Board of Directors has declared a dividend of $0.125 per share of outstanding common stock payable on March 1, 2019 to shareholders of record at the close of business on February 15, 2019.</w:t>
      </w:r>
    </w:p>
    <w:p>
      <w:pPr>
        <w:spacing w:after="0" w:line="37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Bassett Furniture Industries, Inc. (NASDAQ:BSET), is a leading manufacturer and marketer of high quality home furnishings. With 100 company- and licensee-owned stores, Bassett has leveraged its strong brand name in furniture into a network of corporate and licensed stores that focus on providing consumers with a friendly environment for buying furniture and accessories. The stores also feature the latest on-trend furniture styles, free in-home design visits, and coordinated decorating accessories. Bassett also has a traditional wholesale business with more than 700 accounts on the open market, across the United States and internationally. For more information, visit the Company’s website at bassettfurniture.com. (BSET-E)</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2019-12-28T17:06:26Z</dcterms:created>
  <dcterms:modified xsi:type="dcterms:W3CDTF">2019-12-28T17:06:26Z</dcterms:modified>
</cp:coreProperties>
</file>