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9"/>
          <w:szCs w:val="29"/>
          <w:b w:val="1"/>
          <w:bCs w:val="1"/>
          <w:color w:val="auto"/>
        </w:rPr>
        <w:drawing>
          <wp:anchor simplePos="0" relativeHeight="251657728" behindDoc="1" locked="0" layoutInCell="0" allowOverlap="1">
            <wp:simplePos x="0" y="0"/>
            <wp:positionH relativeFrom="page">
              <wp:posOffset>157480</wp:posOffset>
            </wp:positionH>
            <wp:positionV relativeFrom="page">
              <wp:posOffset>346075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406400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7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10-K</w:t>
      </w:r>
    </w:p>
    <w:p>
      <w:pPr>
        <w:spacing w:after="0" w:line="236" w:lineRule="exact"/>
        <w:rPr>
          <w:sz w:val="24"/>
          <w:szCs w:val="24"/>
          <w:color w:val="auto"/>
        </w:rPr>
      </w:pPr>
    </w:p>
    <w:p>
      <w:pPr>
        <w:ind w:left="4000" w:right="2140" w:hanging="3992"/>
        <w:spacing w:after="0" w:line="503" w:lineRule="auto"/>
        <w:tabs>
          <w:tab w:leader="none" w:pos="490" w:val="left"/>
        </w:tabs>
        <w:numPr>
          <w:ilvl w:val="0"/>
          <w:numId w:val="1"/>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ANNUAL REPORT PURSUANT TO SECTION 13 OR 15(d) OF THE SECURITIES EXCHANGE ACT OF 1934 For the fiscal year ended November 24, 2018</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1" w:lineRule="exact"/>
        <w:rPr>
          <w:sz w:val="24"/>
          <w:szCs w:val="24"/>
          <w:color w:val="auto"/>
        </w:rPr>
      </w:pPr>
    </w:p>
    <w:p>
      <w:pPr>
        <w:ind w:left="500" w:hanging="492"/>
        <w:spacing w:after="0"/>
        <w:tabs>
          <w:tab w:leader="none" w:pos="500" w:val="left"/>
        </w:tabs>
        <w:numPr>
          <w:ilvl w:val="0"/>
          <w:numId w:val="2"/>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TRANSITION REPORT PURSUANT TO SECTION 13 OR 15(d) OF THE SECURITIES EXCHANGE ACT OF 1934</w:t>
      </w:r>
    </w:p>
    <w:p>
      <w:pPr>
        <w:spacing w:after="0" w:line="216" w:lineRule="exact"/>
        <w:rPr>
          <w:sz w:val="24"/>
          <w:szCs w:val="24"/>
          <w:color w:val="auto"/>
        </w:rPr>
      </w:pPr>
    </w:p>
    <w:tbl>
      <w:tblPr>
        <w:tblLayout w:type="fixed"/>
        <w:tblInd w:w="560" w:type="dxa"/>
        <w:tblCellMar>
          <w:top w:w="0" w:type="dxa"/>
          <w:left w:w="0" w:type="dxa"/>
          <w:bottom w:w="0" w:type="dxa"/>
          <w:right w:w="0" w:type="dxa"/>
        </w:tblCellMar>
      </w:tblPr>
      <w:tr>
        <w:trPr>
          <w:trHeight w:val="207"/>
        </w:trPr>
        <w:tc>
          <w:tcPr>
            <w:tcW w:w="2180" w:type="dxa"/>
            <w:vAlign w:val="bottom"/>
          </w:tcPr>
          <w:p>
            <w:pPr>
              <w:spacing w:after="0"/>
              <w:rPr>
                <w:sz w:val="20"/>
                <w:szCs w:val="20"/>
                <w:color w:val="auto"/>
              </w:rPr>
            </w:pPr>
            <w:r>
              <w:rPr>
                <w:rFonts w:ascii="Times New Roman" w:cs="Times New Roman" w:eastAsia="Times New Roman" w:hAnsi="Times New Roman"/>
                <w:sz w:val="18"/>
                <w:szCs w:val="18"/>
                <w:color w:val="auto"/>
              </w:rPr>
              <w:t>For the transition period from</w:t>
            </w:r>
          </w:p>
        </w:tc>
        <w:tc>
          <w:tcPr>
            <w:tcW w:w="540" w:type="dxa"/>
            <w:vAlign w:val="bottom"/>
          </w:tcPr>
          <w:p>
            <w:pPr>
              <w:spacing w:after="0"/>
              <w:rPr>
                <w:sz w:val="17"/>
                <w:szCs w:val="17"/>
                <w:color w:val="auto"/>
              </w:rPr>
            </w:pPr>
          </w:p>
        </w:tc>
        <w:tc>
          <w:tcPr>
            <w:tcW w:w="4140" w:type="dxa"/>
            <w:vAlign w:val="bottom"/>
            <w:gridSpan w:val="4"/>
          </w:tcPr>
          <w:p>
            <w:pPr>
              <w:ind w:left="40"/>
              <w:spacing w:after="0"/>
              <w:rPr>
                <w:sz w:val="20"/>
                <w:szCs w:val="20"/>
                <w:color w:val="auto"/>
              </w:rPr>
            </w:pPr>
            <w:r>
              <w:rPr>
                <w:rFonts w:ascii="Times New Roman" w:cs="Times New Roman" w:eastAsia="Times New Roman" w:hAnsi="Times New Roman"/>
                <w:sz w:val="18"/>
                <w:szCs w:val="18"/>
                <w:color w:val="auto"/>
              </w:rPr>
              <w:t>to</w:t>
            </w:r>
          </w:p>
        </w:tc>
      </w:tr>
      <w:tr>
        <w:trPr>
          <w:trHeight w:val="358"/>
        </w:trPr>
        <w:tc>
          <w:tcPr>
            <w:tcW w:w="2180" w:type="dxa"/>
            <w:vAlign w:val="bottom"/>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360" w:type="dxa"/>
            <w:vAlign w:val="bottom"/>
          </w:tcPr>
          <w:p>
            <w:pPr>
              <w:ind w:left="440"/>
              <w:spacing w:after="0"/>
              <w:rPr>
                <w:sz w:val="20"/>
                <w:szCs w:val="20"/>
                <w:color w:val="auto"/>
              </w:rPr>
            </w:pPr>
            <w:r>
              <w:rPr>
                <w:rFonts w:ascii="Times New Roman" w:cs="Times New Roman" w:eastAsia="Times New Roman" w:hAnsi="Times New Roman"/>
                <w:sz w:val="18"/>
                <w:szCs w:val="18"/>
                <w:b w:val="1"/>
                <w:bCs w:val="1"/>
                <w:color w:val="auto"/>
              </w:rPr>
              <w:t>Commission File No. 000-00209</w:t>
            </w:r>
          </w:p>
        </w:tc>
      </w:tr>
      <w:tr>
        <w:trPr>
          <w:trHeight w:val="122"/>
        </w:trPr>
        <w:tc>
          <w:tcPr>
            <w:tcW w:w="21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360" w:type="dxa"/>
            <w:vAlign w:val="bottom"/>
            <w:tcBorders>
              <w:bottom w:val="single" w:sz="8" w:color="auto"/>
            </w:tcBorders>
          </w:tcPr>
          <w:p>
            <w:pPr>
              <w:spacing w:after="0"/>
              <w:rPr>
                <w:sz w:val="10"/>
                <w:szCs w:val="10"/>
                <w:color w:val="auto"/>
              </w:rPr>
            </w:pPr>
          </w:p>
        </w:tc>
      </w:tr>
    </w:tbl>
    <w:p>
      <w:pPr>
        <w:spacing w:after="0" w:line="17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BASSETT FURNITURE INDUSTRIES, INCORPORATED</w:t>
      </w:r>
    </w:p>
    <w:p>
      <w:pPr>
        <w:spacing w:after="0" w:line="3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133350</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303" w:lineRule="exact"/>
        <w:rPr>
          <w:sz w:val="24"/>
          <w:szCs w:val="24"/>
          <w:color w:val="auto"/>
        </w:rPr>
      </w:pPr>
    </w:p>
    <w:tbl>
      <w:tblPr>
        <w:tblLayout w:type="fixed"/>
        <w:tblInd w:w="1340" w:type="dxa"/>
        <w:tblCellMar>
          <w:top w:w="0" w:type="dxa"/>
          <w:left w:w="0" w:type="dxa"/>
          <w:bottom w:w="0" w:type="dxa"/>
          <w:right w:w="0" w:type="dxa"/>
        </w:tblCellMar>
      </w:tblPr>
      <w:tr>
        <w:trPr>
          <w:trHeight w:val="220"/>
        </w:trPr>
        <w:tc>
          <w:tcPr>
            <w:tcW w:w="4800" w:type="dxa"/>
            <w:vAlign w:val="bottom"/>
          </w:tcPr>
          <w:p>
            <w:pPr>
              <w:jc w:val="center"/>
              <w:ind w:right="1670"/>
              <w:spacing w:after="0"/>
              <w:rPr>
                <w:sz w:val="20"/>
                <w:szCs w:val="20"/>
                <w:color w:val="auto"/>
              </w:rPr>
            </w:pPr>
            <w:r>
              <w:rPr>
                <w:rFonts w:ascii="Times New Roman" w:cs="Times New Roman" w:eastAsia="Times New Roman" w:hAnsi="Times New Roman"/>
                <w:sz w:val="18"/>
                <w:szCs w:val="18"/>
                <w:b w:val="1"/>
                <w:bCs w:val="1"/>
                <w:color w:val="auto"/>
              </w:rPr>
              <w:t>VIRGINIA</w:t>
            </w:r>
          </w:p>
        </w:tc>
        <w:tc>
          <w:tcPr>
            <w:tcW w:w="31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54-0135270</w:t>
            </w:r>
          </w:p>
        </w:tc>
      </w:tr>
      <w:tr>
        <w:trPr>
          <w:trHeight w:val="216"/>
        </w:trPr>
        <w:tc>
          <w:tcPr>
            <w:tcW w:w="4800" w:type="dxa"/>
            <w:vAlign w:val="bottom"/>
          </w:tcPr>
          <w:p>
            <w:pPr>
              <w:jc w:val="center"/>
              <w:ind w:right="1670"/>
              <w:spacing w:after="0"/>
              <w:rPr>
                <w:sz w:val="20"/>
                <w:szCs w:val="20"/>
                <w:color w:val="auto"/>
              </w:rPr>
            </w:pPr>
            <w:r>
              <w:rPr>
                <w:rFonts w:ascii="Times New Roman" w:cs="Times New Roman" w:eastAsia="Times New Roman" w:hAnsi="Times New Roman"/>
                <w:sz w:val="18"/>
                <w:szCs w:val="18"/>
                <w:color w:val="auto"/>
                <w:w w:val="99"/>
              </w:rPr>
              <w:t>(State or other jurisdiction of</w:t>
            </w:r>
          </w:p>
        </w:tc>
        <w:tc>
          <w:tcPr>
            <w:tcW w:w="3100" w:type="dxa"/>
            <w:vAlign w:val="bottom"/>
          </w:tcPr>
          <w:p>
            <w:pPr>
              <w:jc w:val="center"/>
              <w:ind w:left="1670"/>
              <w:spacing w:after="0"/>
              <w:rPr>
                <w:sz w:val="20"/>
                <w:szCs w:val="20"/>
                <w:color w:val="auto"/>
              </w:rPr>
            </w:pPr>
            <w:r>
              <w:rPr>
                <w:rFonts w:ascii="Times New Roman" w:cs="Times New Roman" w:eastAsia="Times New Roman" w:hAnsi="Times New Roman"/>
                <w:sz w:val="18"/>
                <w:szCs w:val="18"/>
                <w:color w:val="auto"/>
                <w:w w:val="99"/>
              </w:rPr>
              <w:t>(I.R.S. Employer</w:t>
            </w:r>
          </w:p>
        </w:tc>
      </w:tr>
      <w:tr>
        <w:trPr>
          <w:trHeight w:val="234"/>
        </w:trPr>
        <w:tc>
          <w:tcPr>
            <w:tcW w:w="4800" w:type="dxa"/>
            <w:vAlign w:val="bottom"/>
          </w:tcPr>
          <w:p>
            <w:pPr>
              <w:jc w:val="center"/>
              <w:ind w:right="1670"/>
              <w:spacing w:after="0"/>
              <w:rPr>
                <w:sz w:val="20"/>
                <w:szCs w:val="20"/>
                <w:color w:val="auto"/>
              </w:rPr>
            </w:pPr>
            <w:r>
              <w:rPr>
                <w:rFonts w:ascii="Times New Roman" w:cs="Times New Roman" w:eastAsia="Times New Roman" w:hAnsi="Times New Roman"/>
                <w:sz w:val="18"/>
                <w:szCs w:val="18"/>
                <w:color w:val="auto"/>
                <w:w w:val="99"/>
              </w:rPr>
              <w:t>incorporation or organization)</w:t>
            </w:r>
          </w:p>
        </w:tc>
        <w:tc>
          <w:tcPr>
            <w:tcW w:w="3100" w:type="dxa"/>
            <w:vAlign w:val="bottom"/>
          </w:tcPr>
          <w:p>
            <w:pPr>
              <w:jc w:val="center"/>
              <w:ind w:left="167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315"/>
        </w:trPr>
        <w:tc>
          <w:tcPr>
            <w:tcW w:w="4800" w:type="dxa"/>
            <w:vAlign w:val="bottom"/>
          </w:tcPr>
          <w:p>
            <w:pPr>
              <w:jc w:val="center"/>
              <w:ind w:right="1670"/>
              <w:spacing w:after="0"/>
              <w:rPr>
                <w:sz w:val="20"/>
                <w:szCs w:val="20"/>
                <w:color w:val="auto"/>
              </w:rPr>
            </w:pPr>
            <w:r>
              <w:rPr>
                <w:rFonts w:ascii="Times New Roman" w:cs="Times New Roman" w:eastAsia="Times New Roman" w:hAnsi="Times New Roman"/>
                <w:sz w:val="18"/>
                <w:szCs w:val="18"/>
                <w:b w:val="1"/>
                <w:bCs w:val="1"/>
                <w:color w:val="auto"/>
                <w:w w:val="97"/>
              </w:rPr>
              <w:t>3525 FAIRYSTONE PARK HIGHWAY</w:t>
            </w:r>
          </w:p>
        </w:tc>
        <w:tc>
          <w:tcPr>
            <w:tcW w:w="3100" w:type="dxa"/>
            <w:vAlign w:val="bottom"/>
          </w:tcPr>
          <w:p>
            <w:pPr>
              <w:spacing w:after="0"/>
              <w:rPr>
                <w:sz w:val="24"/>
                <w:szCs w:val="24"/>
                <w:color w:val="auto"/>
              </w:rPr>
            </w:pPr>
          </w:p>
        </w:tc>
      </w:tr>
      <w:tr>
        <w:trPr>
          <w:trHeight w:val="220"/>
        </w:trPr>
        <w:tc>
          <w:tcPr>
            <w:tcW w:w="4800" w:type="dxa"/>
            <w:vAlign w:val="bottom"/>
          </w:tcPr>
          <w:p>
            <w:pPr>
              <w:jc w:val="center"/>
              <w:ind w:right="1670"/>
              <w:spacing w:after="0"/>
              <w:rPr>
                <w:sz w:val="20"/>
                <w:szCs w:val="20"/>
                <w:color w:val="auto"/>
              </w:rPr>
            </w:pPr>
            <w:r>
              <w:rPr>
                <w:rFonts w:ascii="Times New Roman" w:cs="Times New Roman" w:eastAsia="Times New Roman" w:hAnsi="Times New Roman"/>
                <w:sz w:val="18"/>
                <w:szCs w:val="18"/>
                <w:b w:val="1"/>
                <w:bCs w:val="1"/>
                <w:color w:val="auto"/>
                <w:w w:val="99"/>
              </w:rPr>
              <w:t>BASSETT, VIRGINIA</w:t>
            </w:r>
          </w:p>
        </w:tc>
        <w:tc>
          <w:tcPr>
            <w:tcW w:w="310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24055</w:t>
            </w:r>
          </w:p>
        </w:tc>
      </w:tr>
      <w:tr>
        <w:trPr>
          <w:trHeight w:val="234"/>
        </w:trPr>
        <w:tc>
          <w:tcPr>
            <w:tcW w:w="4800" w:type="dxa"/>
            <w:vAlign w:val="bottom"/>
          </w:tcPr>
          <w:p>
            <w:pPr>
              <w:jc w:val="center"/>
              <w:ind w:right="165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3100" w:type="dxa"/>
            <w:vAlign w:val="bottom"/>
          </w:tcPr>
          <w:p>
            <w:pPr>
              <w:jc w:val="center"/>
              <w:ind w:left="1670"/>
              <w:spacing w:after="0"/>
              <w:rPr>
                <w:sz w:val="20"/>
                <w:szCs w:val="20"/>
                <w:color w:val="auto"/>
              </w:rPr>
            </w:pPr>
            <w:r>
              <w:rPr>
                <w:rFonts w:ascii="Times New Roman" w:cs="Times New Roman" w:eastAsia="Times New Roman" w:hAnsi="Times New Roman"/>
                <w:sz w:val="18"/>
                <w:szCs w:val="18"/>
                <w:color w:val="auto"/>
                <w:w w:val="98"/>
              </w:rPr>
              <w:t>(Zip Code)</w:t>
            </w:r>
          </w:p>
        </w:tc>
      </w:tr>
    </w:tbl>
    <w:p>
      <w:pPr>
        <w:spacing w:after="0" w:line="9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276/629-6000</w:t>
      </w:r>
    </w:p>
    <w:p>
      <w:pPr>
        <w:spacing w:after="0" w:line="1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Act:</w:t>
      </w:r>
    </w:p>
    <w:p>
      <w:pPr>
        <w:spacing w:after="0" w:line="13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5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00" w:type="dxa"/>
            <w:vAlign w:val="bottom"/>
          </w:tcPr>
          <w:p>
            <w:pPr>
              <w:spacing w:after="0"/>
              <w:rPr>
                <w:sz w:val="20"/>
                <w:szCs w:val="20"/>
                <w:color w:val="auto"/>
              </w:rPr>
            </w:pPr>
          </w:p>
        </w:tc>
        <w:tc>
          <w:tcPr>
            <w:tcW w:w="56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32"/>
        </w:trPr>
        <w:tc>
          <w:tcPr>
            <w:tcW w:w="56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Common Stock ($5.00 par value)</w:t>
            </w:r>
          </w:p>
        </w:tc>
        <w:tc>
          <w:tcPr>
            <w:tcW w:w="200" w:type="dxa"/>
            <w:vAlign w:val="bottom"/>
          </w:tcPr>
          <w:p>
            <w:pPr>
              <w:spacing w:after="0"/>
              <w:rPr>
                <w:sz w:val="20"/>
                <w:szCs w:val="20"/>
                <w:color w:val="auto"/>
              </w:rPr>
            </w:pPr>
          </w:p>
        </w:tc>
        <w:tc>
          <w:tcPr>
            <w:tcW w:w="5600" w:type="dxa"/>
            <w:vAlign w:val="bottom"/>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NASDAQ</w:t>
            </w:r>
          </w:p>
        </w:tc>
      </w:tr>
      <w:tr>
        <w:trPr>
          <w:trHeight w:val="315"/>
        </w:trPr>
        <w:tc>
          <w:tcPr>
            <w:tcW w:w="8720" w:type="dxa"/>
            <w:vAlign w:val="bottom"/>
            <w:gridSpan w:val="3"/>
          </w:tcPr>
          <w:p>
            <w:pPr>
              <w:ind w:left="3160"/>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12(g) of the Act:   None</w:t>
            </w:r>
          </w:p>
        </w:tc>
        <w:tc>
          <w:tcPr>
            <w:tcW w:w="2700" w:type="dxa"/>
            <w:vAlign w:val="bottom"/>
          </w:tcPr>
          <w:p>
            <w:pPr>
              <w:spacing w:after="0"/>
              <w:rPr>
                <w:sz w:val="24"/>
                <w:szCs w:val="24"/>
                <w:color w:val="auto"/>
              </w:rPr>
            </w:pPr>
          </w:p>
        </w:tc>
      </w:tr>
      <w:tr>
        <w:trPr>
          <w:trHeight w:val="358"/>
        </w:trPr>
        <w:tc>
          <w:tcPr>
            <w:tcW w:w="8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Indicate by check mark if the Registrant is a well-known seasoned issuer, as defined in Rule 405 of the Securities Act</w:t>
            </w:r>
          </w:p>
        </w:tc>
        <w:tc>
          <w:tcPr>
            <w:tcW w:w="2700" w:type="dxa"/>
            <w:vAlign w:val="bottom"/>
          </w:tcPr>
          <w:p>
            <w:pPr>
              <w:ind w:left="2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tc>
      </w:tr>
    </w:tbl>
    <w:p>
      <w:pPr>
        <w:spacing w:after="0" w:line="55" w:lineRule="exact"/>
        <w:rPr>
          <w:sz w:val="24"/>
          <w:szCs w:val="24"/>
          <w:color w:val="auto"/>
        </w:rPr>
      </w:pPr>
    </w:p>
    <w:p>
      <w:pPr>
        <w:spacing w:after="0" w:line="207" w:lineRule="exact"/>
        <w:tabs>
          <w:tab w:leader="none" w:pos="9340" w:val="left"/>
        </w:tabs>
        <w:rPr>
          <w:sz w:val="20"/>
          <w:szCs w:val="20"/>
          <w:color w:val="auto"/>
        </w:rPr>
      </w:pPr>
      <w:r>
        <w:rPr>
          <w:rFonts w:ascii="Times New Roman" w:cs="Times New Roman" w:eastAsia="Times New Roman" w:hAnsi="Times New Roman"/>
          <w:sz w:val="18"/>
          <w:szCs w:val="18"/>
          <w:color w:val="auto"/>
        </w:rPr>
        <w:t xml:space="preserve">Indicate by check mark if the registrant is not required to file reports pursuant to Section 13 or Section 15(d) of the Act.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w:t>
      </w:r>
      <w:r>
        <w:rPr>
          <w:sz w:val="20"/>
          <w:szCs w:val="20"/>
          <w:color w:val="auto"/>
        </w:rPr>
        <w:tab/>
      </w:r>
      <w:r>
        <w:rPr>
          <w:rFonts w:ascii="MS PGothic" w:cs="MS PGothic" w:eastAsia="MS PGothic" w:hAnsi="MS PGothic"/>
          <w:sz w:val="18"/>
          <w:szCs w:val="18"/>
          <w:color w:val="auto"/>
        </w:rPr>
        <w:t xml:space="preserve">☒ </w:t>
      </w:r>
      <w:r>
        <w:rPr>
          <w:rFonts w:ascii="Times New Roman" w:cs="Times New Roman" w:eastAsia="Times New Roman" w:hAnsi="Times New Roman"/>
          <w:sz w:val="18"/>
          <w:szCs w:val="18"/>
          <w:color w:val="auto"/>
        </w:rPr>
        <w:t>No</w:t>
      </w:r>
    </w:p>
    <w:p>
      <w:pPr>
        <w:spacing w:after="0" w:line="159" w:lineRule="exact"/>
        <w:rPr>
          <w:sz w:val="24"/>
          <w:szCs w:val="24"/>
          <w:color w:val="auto"/>
        </w:rPr>
      </w:pPr>
    </w:p>
    <w:p>
      <w:pPr>
        <w:ind w:right="48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and (2) has been subject to such filing requirements for at least the past 90 days.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p>
      <w:pPr>
        <w:spacing w:after="0" w:line="85" w:lineRule="exact"/>
        <w:rPr>
          <w:sz w:val="24"/>
          <w:szCs w:val="24"/>
          <w:color w:val="auto"/>
        </w:rPr>
      </w:pPr>
    </w:p>
    <w:p>
      <w:pPr>
        <w:ind w:right="2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and posted pursuant to Rule 405 of Regulation S-T during the preceding 12 months (or for such shorter period that the registrant was required to submit such files).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p>
      <w:pPr>
        <w:spacing w:after="0" w:line="85" w:lineRule="exact"/>
        <w:rPr>
          <w:sz w:val="24"/>
          <w:szCs w:val="24"/>
          <w:color w:val="auto"/>
        </w:rPr>
      </w:pPr>
    </w:p>
    <w:p>
      <w:pPr>
        <w:ind w:right="60"/>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84" w:lineRule="exact"/>
        <w:rPr>
          <w:sz w:val="24"/>
          <w:szCs w:val="24"/>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53" w:lineRule="exact"/>
        <w:rPr>
          <w:sz w:val="24"/>
          <w:szCs w:val="24"/>
          <w:color w:val="auto"/>
        </w:rPr>
      </w:pPr>
    </w:p>
    <w:tbl>
      <w:tblPr>
        <w:tblLayout w:type="fixed"/>
        <w:tblInd w:w="820" w:type="dxa"/>
        <w:tblCellMar>
          <w:top w:w="0" w:type="dxa"/>
          <w:left w:w="0" w:type="dxa"/>
          <w:bottom w:w="0" w:type="dxa"/>
          <w:right w:w="0" w:type="dxa"/>
        </w:tblCellMar>
      </w:tblPr>
      <w:tr>
        <w:trPr>
          <w:trHeight w:val="216"/>
        </w:trPr>
        <w:tc>
          <w:tcPr>
            <w:tcW w:w="20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1500" w:type="dxa"/>
            <w:vAlign w:val="bottom"/>
          </w:tcPr>
          <w:p>
            <w:pPr>
              <w:ind w:left="280"/>
              <w:spacing w:after="0" w:line="181" w:lineRule="exact"/>
              <w:rPr>
                <w:sz w:val="20"/>
                <w:szCs w:val="20"/>
                <w:color w:val="auto"/>
              </w:rPr>
            </w:pPr>
            <w:r>
              <w:rPr>
                <w:rFonts w:ascii="MS PGothic" w:cs="MS PGothic" w:eastAsia="MS PGothic" w:hAnsi="MS PGothic"/>
                <w:sz w:val="18"/>
                <w:szCs w:val="18"/>
                <w:color w:val="auto"/>
              </w:rPr>
              <w:t>☐</w:t>
            </w:r>
          </w:p>
        </w:tc>
        <w:tc>
          <w:tcPr>
            <w:tcW w:w="3180" w:type="dxa"/>
            <w:vAlign w:val="bottom"/>
          </w:tcPr>
          <w:p>
            <w:pPr>
              <w:ind w:left="1060"/>
              <w:spacing w:after="0"/>
              <w:rPr>
                <w:sz w:val="20"/>
                <w:szCs w:val="20"/>
                <w:color w:val="auto"/>
              </w:rPr>
            </w:pPr>
            <w:r>
              <w:rPr>
                <w:rFonts w:ascii="Times New Roman" w:cs="Times New Roman" w:eastAsia="Times New Roman" w:hAnsi="Times New Roman"/>
                <w:sz w:val="18"/>
                <w:szCs w:val="18"/>
                <w:color w:val="auto"/>
              </w:rPr>
              <w:t>Accelerated Filer</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0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1500" w:type="dxa"/>
            <w:vAlign w:val="bottom"/>
          </w:tcPr>
          <w:p>
            <w:pPr>
              <w:ind w:left="280"/>
              <w:spacing w:after="0" w:line="181" w:lineRule="exact"/>
              <w:rPr>
                <w:sz w:val="20"/>
                <w:szCs w:val="20"/>
                <w:color w:val="auto"/>
              </w:rPr>
            </w:pPr>
            <w:r>
              <w:rPr>
                <w:rFonts w:ascii="MS PGothic" w:cs="MS PGothic" w:eastAsia="MS PGothic" w:hAnsi="MS PGothic"/>
                <w:sz w:val="18"/>
                <w:szCs w:val="18"/>
                <w:color w:val="auto"/>
              </w:rPr>
              <w:t>☐</w:t>
            </w:r>
          </w:p>
        </w:tc>
        <w:tc>
          <w:tcPr>
            <w:tcW w:w="3180" w:type="dxa"/>
            <w:vAlign w:val="bottom"/>
          </w:tcPr>
          <w:p>
            <w:pPr>
              <w:ind w:left="106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0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180" w:type="dxa"/>
            <w:vAlign w:val="bottom"/>
          </w:tcPr>
          <w:p>
            <w:pPr>
              <w:ind w:left="1060"/>
              <w:spacing w:after="0"/>
              <w:rPr>
                <w:sz w:val="20"/>
                <w:szCs w:val="20"/>
                <w:color w:val="auto"/>
              </w:rPr>
            </w:pPr>
            <w:r>
              <w:rPr>
                <w:rFonts w:ascii="Times New Roman" w:cs="Times New Roman" w:eastAsia="Times New Roman" w:hAnsi="Times New Roman"/>
                <w:sz w:val="18"/>
                <w:szCs w:val="18"/>
                <w:color w:val="auto"/>
              </w:rPr>
              <w:t>Emerging growth company</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83" w:lineRule="exact"/>
        <w:rPr>
          <w:sz w:val="24"/>
          <w:szCs w:val="24"/>
          <w:color w:val="auto"/>
        </w:rPr>
      </w:pPr>
    </w:p>
    <w:p>
      <w:pPr>
        <w:ind w:right="1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56" w:lineRule="exact"/>
        <w:rPr>
          <w:sz w:val="24"/>
          <w:szCs w:val="24"/>
          <w:color w:val="auto"/>
        </w:rPr>
      </w:pPr>
    </w:p>
    <w:p>
      <w:pPr>
        <w:spacing w:after="0" w:line="207" w:lineRule="exact"/>
        <w:tabs>
          <w:tab w:leader="none" w:pos="8340" w:val="left"/>
        </w:tabs>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Exchange Act).</w:t>
      </w:r>
      <w:r>
        <w:rPr>
          <w:sz w:val="20"/>
          <w:szCs w:val="20"/>
          <w:color w:val="auto"/>
        </w:rPr>
        <w:tab/>
      </w:r>
      <w:r>
        <w:rPr>
          <w:rFonts w:ascii="MS PGothic" w:cs="MS PGothic" w:eastAsia="MS PGothic" w:hAnsi="MS PGothic"/>
          <w:sz w:val="18"/>
          <w:szCs w:val="18"/>
          <w:color w:val="auto"/>
        </w:rPr>
        <w:t xml:space="preserve">☐ </w:t>
      </w:r>
      <w:r>
        <w:rPr>
          <w:rFonts w:ascii="Times New Roman" w:cs="Times New Roman" w:eastAsia="Times New Roman" w:hAnsi="Times New Roman"/>
          <w:sz w:val="18"/>
          <w:szCs w:val="18"/>
          <w:color w:val="auto"/>
        </w:rPr>
        <w:t>Yes</w:t>
      </w:r>
      <w:r>
        <w:rPr>
          <w:rFonts w:ascii="MS PGothic" w:cs="MS PGothic" w:eastAsia="MS PGothic" w:hAnsi="MS PGothic"/>
          <w:sz w:val="18"/>
          <w:szCs w:val="18"/>
          <w:color w:val="auto"/>
        </w:rPr>
        <w:t xml:space="preserve">  ☒ </w:t>
      </w:r>
      <w:r>
        <w:rPr>
          <w:rFonts w:ascii="Times New Roman" w:cs="Times New Roman" w:eastAsia="Times New Roman" w:hAnsi="Times New Roman"/>
          <w:sz w:val="18"/>
          <w:szCs w:val="18"/>
          <w:color w:val="auto"/>
        </w:rPr>
        <w:t>No</w:t>
      </w:r>
    </w:p>
    <w:p>
      <w:pPr>
        <w:spacing w:after="0" w:line="15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The aggregate market value of the voting and non-voting common equity held by non-affiliates of the registrant as of May 25, 2018 was $285,374,778.</w:t>
      </w:r>
    </w:p>
    <w:p>
      <w:pPr>
        <w:spacing w:after="0" w:line="13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The number of shares of the Registrant’s common stock outstanding on January 10, 2019 was 10,499,956.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377825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9" w:right="239" w:bottom="1440" w:gutter="0" w:footer="0" w:header="0"/>
        </w:sectPr>
      </w:pPr>
    </w:p>
    <w:bookmarkStart w:id="1" w:name="page2"/>
    <w:bookmarkEnd w:id="1"/>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DOCUMENTS INCORPORATED BY REFERENCE</w:t>
      </w:r>
    </w:p>
    <w:p>
      <w:pPr>
        <w:spacing w:after="0" w:line="229" w:lineRule="exact"/>
        <w:rPr>
          <w:sz w:val="20"/>
          <w:szCs w:val="20"/>
          <w:color w:val="auto"/>
        </w:rPr>
      </w:pPr>
    </w:p>
    <w:p>
      <w:pPr>
        <w:ind w:firstLine="324"/>
        <w:spacing w:after="0" w:line="266" w:lineRule="auto"/>
        <w:rPr>
          <w:sz w:val="20"/>
          <w:szCs w:val="20"/>
          <w:color w:val="auto"/>
        </w:rPr>
      </w:pPr>
      <w:r>
        <w:rPr>
          <w:rFonts w:ascii="Times New Roman" w:cs="Times New Roman" w:eastAsia="Times New Roman" w:hAnsi="Times New Roman"/>
          <w:sz w:val="18"/>
          <w:szCs w:val="18"/>
          <w:color w:val="auto"/>
        </w:rPr>
        <w:t>Portions of the Bassett Furniture Industries, Incorporated definitive Proxy Statement for its 2019 Annual Meeting of Stockholders to be held March 6, 2019, to be filed with the Securities and Exchange Commission pursuant to Regulation 14A under the Securities Exchange Act of 1934 (the “Proxy Statement”) are incorporated by reference into Part III of this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346710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140"/>
          </w:cols>
          <w:pgMar w:left="240" w:top="576" w:right="5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340" w:type="dxa"/>
            <w:vAlign w:val="bottom"/>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c>
          <w:tcPr>
            <w:tcW w:w="1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0100" w:type="dxa"/>
            <w:vAlign w:val="bottom"/>
            <w:gridSpan w:val="2"/>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1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FORWARD-LOOKING STATEMENTS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jc w:val="center"/>
              <w:ind w:left="430"/>
              <w:spacing w:after="0"/>
              <w:rPr>
                <w:sz w:val="20"/>
                <w:szCs w:val="20"/>
                <w:color w:val="auto"/>
              </w:rPr>
            </w:pPr>
            <w:r>
              <w:rPr>
                <w:rFonts w:ascii="Times New Roman" w:cs="Times New Roman" w:eastAsia="Times New Roman" w:hAnsi="Times New Roman"/>
                <w:sz w:val="18"/>
                <w:szCs w:val="18"/>
                <w:b w:val="1"/>
                <w:bCs w:val="1"/>
                <w:color w:val="auto"/>
                <w:w w:val="95"/>
              </w:rPr>
              <w:t>PART I</w:t>
            </w: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1.</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Business</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1A.</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Risk Factors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1B.</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Unresolved Staff Comments</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2.</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Properties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3.</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Legal Proceedings</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4.</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Mine Safety Disclosures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Executive Officers of the Registrant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jc w:val="center"/>
              <w:ind w:left="430"/>
              <w:spacing w:after="0"/>
              <w:rPr>
                <w:sz w:val="20"/>
                <w:szCs w:val="20"/>
                <w:color w:val="auto"/>
              </w:rPr>
            </w:pPr>
            <w:r>
              <w:rPr>
                <w:rFonts w:ascii="Times New Roman" w:cs="Times New Roman" w:eastAsia="Times New Roman" w:hAnsi="Times New Roman"/>
                <w:sz w:val="18"/>
                <w:szCs w:val="18"/>
                <w:b w:val="1"/>
                <w:bCs w:val="1"/>
                <w:color w:val="auto"/>
                <w:w w:val="97"/>
              </w:rPr>
              <w:t>PART II</w:t>
            </w: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5.</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Market for Registrant’s Common Equity, Related Stockholder Matters and Issuer Purchases of Equity Securities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6.</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Selected Financial Data</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7.</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7A.</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Quantitative and Qualitative Disclosures about Market Risk</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8.</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Financial Statements and Supplementary Data</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9.</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Changes in and Disagreements with Accountants on Accounting and Financial Disclosure</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9A.</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Controls and Procedures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9B.</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Other Information</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w w:val="96"/>
              </w:rPr>
              <w:t>PART III</w:t>
            </w: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10.</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Directors, Executive Officers and Corporate Governance</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11.</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Executive Compensation</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12.</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Security Ownership of Certain Beneficial Owners and Management and Related Stockholder Matters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13.</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Certain Relationships and Related Transactions, and Director Independence</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14.</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Principal Accountant Fees and Services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w w:val="97"/>
              </w:rPr>
              <w:t>PART IV</w:t>
            </w: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18"/>
                <w:szCs w:val="18"/>
                <w:color w:val="auto"/>
              </w:rPr>
              <w:t>Item 15.</w:t>
            </w:r>
          </w:p>
        </w:tc>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Exhibits</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Item 16.</w:t>
            </w:r>
          </w:p>
        </w:tc>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Form 10-K Summary</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0100" w:type="dxa"/>
            <w:vAlign w:val="bottom"/>
            <w:gridSpan w:val="2"/>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1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SIGNATURES</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74"/>
        </w:trPr>
        <w:tc>
          <w:tcPr>
            <w:tcW w:w="20" w:type="dxa"/>
            <w:vAlign w:val="bottom"/>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93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19" w:right="239" w:bottom="1440" w:gutter="0" w:footer="0" w:header="0"/>
        </w:sectPr>
      </w:pPr>
    </w:p>
    <w:bookmarkStart w:id="3" w:name="page4"/>
    <w:bookmarkEnd w:id="3"/>
    <w:p>
      <w:pPr>
        <w:ind w:right="440" w:firstLine="324"/>
        <w:spacing w:after="0" w:line="267" w:lineRule="auto"/>
        <w:rPr>
          <w:sz w:val="20"/>
          <w:szCs w:val="20"/>
          <w:color w:val="auto"/>
        </w:rPr>
      </w:pPr>
      <w:r>
        <w:rPr>
          <w:rFonts w:ascii="Times New Roman" w:cs="Times New Roman" w:eastAsia="Times New Roman" w:hAnsi="Times New Roman"/>
          <w:sz w:val="18"/>
          <w:szCs w:val="18"/>
          <w:i w:val="1"/>
          <w:iCs w:val="1"/>
          <w:color w:val="auto"/>
        </w:rPr>
        <w:t>As used herein, unless the context otherwise requires, “Bassett,” the “Company,” “we,” “us” and “our” refer to Bassett Furniture Industries, Incorporated and its subsidiaries. References to 2018, 2017, 2016, 2015 and 2014 mean the fiscal years ended November 24, 2018, November 25, 2017, November 26, 2016, November 28, 2015 and November 29,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SAFE-HARBOR, FORWARD-LOOKING STATEMENTS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This discussion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“anticipates”, “believes”, “plans”, “estimates”, “expects”, “aimed” and “intends” or words or phrases of similar expression. These forward-looking statements involve certain risks and uncertainties. No assurance can be given that any such matters will be realized. Important factors, which should be read in conjunction with Item 1A “Risk Factors”, that could cause actual results to differ materially from those contemplated by such forward-looking statements include:</w:t>
      </w:r>
    </w:p>
    <w:p>
      <w:pPr>
        <w:spacing w:after="0" w:line="188" w:lineRule="exact"/>
        <w:rPr>
          <w:sz w:val="20"/>
          <w:szCs w:val="20"/>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competitive conditions in the home furnishings industry</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including the strength of the housing market in the United States</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retail traffic levels and consumer demand for home furnishings</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of our customers and consumers to obtain credit</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Bassett store openings and store closings and the profitability of the stores (independent licensees and Company-owned retail stores)</w:t>
      </w:r>
    </w:p>
    <w:p>
      <w:pPr>
        <w:spacing w:after="0" w:line="225" w:lineRule="exact"/>
        <w:rPr>
          <w:rFonts w:ascii="Times New Roman" w:cs="Times New Roman" w:eastAsia="Times New Roman" w:hAnsi="Times New Roman"/>
          <w:sz w:val="18"/>
          <w:szCs w:val="18"/>
          <w:color w:val="auto"/>
        </w:rPr>
      </w:pPr>
    </w:p>
    <w:p>
      <w:pPr>
        <w:ind w:left="920" w:hanging="331"/>
        <w:spacing w:after="0" w:line="282" w:lineRule="auto"/>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implement our Company-owned retail strategies, including our initiatives to expand and improve our digital marketing capabilities, and realize the benefits from such strategies as they are implemented</w:t>
      </w:r>
    </w:p>
    <w:p>
      <w:pPr>
        <w:spacing w:after="0" w:line="161" w:lineRule="exact"/>
        <w:rPr>
          <w:rFonts w:ascii="Times New Roman" w:cs="Times New Roman" w:eastAsia="Times New Roman" w:hAnsi="Times New Roman"/>
          <w:sz w:val="18"/>
          <w:szCs w:val="18"/>
          <w:color w:val="auto"/>
        </w:rPr>
      </w:pPr>
    </w:p>
    <w:p>
      <w:pPr>
        <w:ind w:left="920" w:hanging="331"/>
        <w:spacing w:after="0" w:line="282" w:lineRule="auto"/>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cost and availability of raw materials, fuel, labor and sourced products, including those which may result from the imposition of new or increased duties, tariffs, retaliatory tariffs and trade limitations with respect to foreign-sourced products</w:t>
      </w:r>
    </w:p>
    <w:p>
      <w:pPr>
        <w:spacing w:after="0" w:line="161"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of marketing and advertising campaigns</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effectiveness and security of our information technology systems</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tax legislation, or regulatory or judicial positions</w:t>
      </w:r>
    </w:p>
    <w:p>
      <w:pPr>
        <w:spacing w:after="0" w:line="225"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efficiently manage the import supply chain to minimize business interruption</w:t>
      </w:r>
    </w:p>
    <w:p>
      <w:pPr>
        <w:spacing w:after="0" w:line="225" w:lineRule="exact"/>
        <w:rPr>
          <w:rFonts w:ascii="Times New Roman" w:cs="Times New Roman" w:eastAsia="Times New Roman" w:hAnsi="Times New Roman"/>
          <w:sz w:val="18"/>
          <w:szCs w:val="18"/>
          <w:color w:val="auto"/>
        </w:rPr>
      </w:pPr>
    </w:p>
    <w:p>
      <w:pPr>
        <w:ind w:left="920" w:hanging="331"/>
        <w:spacing w:after="0" w:line="282" w:lineRule="auto"/>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61" w:lineRule="exact"/>
        <w:rPr>
          <w:rFonts w:ascii="Times New Roman" w:cs="Times New Roman" w:eastAsia="Times New Roman" w:hAnsi="Times New Roman"/>
          <w:sz w:val="18"/>
          <w:szCs w:val="18"/>
          <w:color w:val="auto"/>
        </w:rPr>
      </w:pPr>
    </w:p>
    <w:p>
      <w:pPr>
        <w:ind w:left="920" w:hanging="331"/>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risks associated with providing freight transportation and other logistical services due to our acquisition of Zenith Freight Lines, LLC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8" w:right="2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PART I</w:t>
      </w:r>
    </w:p>
    <w:p>
      <w:pPr>
        <w:spacing w:after="0" w:line="200" w:lineRule="exact"/>
        <w:rPr>
          <w:sz w:val="20"/>
          <w:szCs w:val="20"/>
          <w:color w:val="auto"/>
        </w:rPr>
      </w:pPr>
    </w:p>
    <w:p>
      <w:pPr>
        <w:spacing w:after="0" w:line="241"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8"/>
          <w:szCs w:val="18"/>
          <w:color w:val="auto"/>
        </w:rPr>
        <w:t>BUSINESS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(dollar amounts in thousands except per share data)</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116-year history has instilled the principles of quality, value, and integrity in everything we do, while simultaneously providing us with the expertise to respond to ever-changing consumer tastes and meet the demands of a global economy.</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With 97 BHF stores at November 24, 2018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BHF stores feature custom order furniture, free in-home design visits (“home makeovers”), and coordinated decorating accessories. Our philosophy is based on building strong long-term relationships with each customer. Sales people are referred to as “Design Consultants” and are trained to evaluate customer needs and provide comprehensive solutions for their home decor. Until a rigorous training and design certification program is completed, Design Consultants are not authorized to perform in-home design services for our customers.</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factories in Newton, North Carolina and Grand Prairie, Texas that manufacture custom upholstered furniture, a factory in Martinsville, Virginia that primarily assembles and finishes our custom casual dining offerings and a factory in Bassett, Virginia that assembles and finishes our “Bench Made” line of custom, solid hardwood furniture.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and China. However, over 70% of the products we currently sell are manufactured in the United States.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own Zenith Freight Lines, LLC (“Zenith”) which provides logistical services to Bassett along with other furniture manufacturers and retailers. Zenith delivers best-of-class shipping and logistical support services that are uniquely tailored to the needs of Bassett and the furniture industry. Approximately 65% of Zenith’s revenue is generated from services provided to non-Bassett customers.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for $15,556 in cash. Lane Venture is a manufacturer and distributor of premium outdoor furniture, and is now being operated as a component of our wholesale segment. This acquisition marks our entry into the market for outdoor furniture and we believe that Lane Venture will provide a foundation for us to become a significant participant in this category. We distribute this brand outside of our BHF store network with plans to introduce a Bassett-branded line in the BHF stores in 2020. See Note 3 to our consolidated financial statements for additional details regarding this acquisition.</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color w:val="auto"/>
        </w:rPr>
        <w:t>Operating Segments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strategically aligned our business into three reportable segments: Wholesale, Retail – Company-owned stores, and Logistical Services.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 products to a network of BHF stores (Company-owned retail stores and licensee-owned stores) and independent furniture retailers. Our retail segment consists of 65 Company-owned and operated BHF stores. The following table shows the number of Company-owned stores by state as of November 24, 2018:</w:t>
      </w:r>
    </w:p>
    <w:p>
      <w:pPr>
        <w:spacing w:after="0" w:line="172"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8"/>
              </w:rPr>
              <w:t>Number of</w:t>
            </w:r>
          </w:p>
        </w:tc>
      </w:tr>
      <w:tr>
        <w:trPr>
          <w:trHeight w:val="238"/>
        </w:trPr>
        <w:tc>
          <w:tcPr>
            <w:tcW w:w="20" w:type="dxa"/>
            <w:vAlign w:val="bottom"/>
          </w:tcPr>
          <w:p>
            <w:pPr>
              <w:spacing w:after="0"/>
              <w:rPr>
                <w:sz w:val="20"/>
                <w:szCs w:val="20"/>
                <w:color w:val="auto"/>
              </w:rPr>
            </w:pPr>
          </w:p>
        </w:tc>
        <w:tc>
          <w:tcPr>
            <w:tcW w:w="2840" w:type="dxa"/>
            <w:vAlign w:val="bottom"/>
            <w:tcBorders>
              <w:bottom w:val="single" w:sz="8" w:color="auto"/>
            </w:tcBorders>
          </w:tcPr>
          <w:p>
            <w:pPr>
              <w:ind w:left="1220"/>
              <w:spacing w:after="0"/>
              <w:rPr>
                <w:sz w:val="20"/>
                <w:szCs w:val="20"/>
                <w:color w:val="auto"/>
              </w:rPr>
            </w:pPr>
            <w:r>
              <w:rPr>
                <w:rFonts w:ascii="Times New Roman" w:cs="Times New Roman" w:eastAsia="Times New Roman" w:hAnsi="Times New Roman"/>
                <w:sz w:val="18"/>
                <w:szCs w:val="18"/>
                <w:b w:val="1"/>
                <w:bCs w:val="1"/>
                <w:color w:val="auto"/>
              </w:rPr>
              <w:t>State</w:t>
            </w:r>
          </w:p>
        </w:tc>
        <w:tc>
          <w:tcPr>
            <w:tcW w:w="80" w:type="dxa"/>
            <w:vAlign w:val="bottom"/>
          </w:tcPr>
          <w:p>
            <w:pPr>
              <w:spacing w:after="0"/>
              <w:rPr>
                <w:sz w:val="20"/>
                <w:szCs w:val="20"/>
                <w:color w:val="auto"/>
              </w:rPr>
            </w:pPr>
          </w:p>
        </w:tc>
        <w:tc>
          <w:tcPr>
            <w:tcW w:w="158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Stores</w:t>
            </w:r>
          </w:p>
        </w:tc>
        <w:tc>
          <w:tcPr>
            <w:tcW w:w="8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State</w:t>
            </w:r>
          </w:p>
        </w:tc>
        <w:tc>
          <w:tcPr>
            <w:tcW w:w="80" w:type="dxa"/>
            <w:vAlign w:val="bottom"/>
          </w:tcPr>
          <w:p>
            <w:pPr>
              <w:spacing w:after="0"/>
              <w:rPr>
                <w:sz w:val="20"/>
                <w:szCs w:val="20"/>
                <w:color w:val="auto"/>
              </w:rPr>
            </w:pP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Stores</w:t>
            </w:r>
          </w:p>
        </w:tc>
        <w:tc>
          <w:tcPr>
            <w:tcW w:w="80" w:type="dxa"/>
            <w:vAlign w:val="bottom"/>
          </w:tcPr>
          <w:p>
            <w:pPr>
              <w:spacing w:after="0"/>
              <w:rPr>
                <w:sz w:val="20"/>
                <w:szCs w:val="20"/>
                <w:color w:val="auto"/>
              </w:rPr>
            </w:pPr>
          </w:p>
        </w:tc>
      </w:tr>
      <w:tr>
        <w:trPr>
          <w:trHeight w:val="210"/>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Alabama</w:t>
            </w:r>
          </w:p>
        </w:tc>
        <w:tc>
          <w:tcPr>
            <w:tcW w:w="1660" w:type="dxa"/>
            <w:vAlign w:val="bottom"/>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1</w:t>
            </w:r>
          </w:p>
        </w:tc>
        <w:tc>
          <w:tcPr>
            <w:tcW w:w="12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Missouri</w:t>
            </w:r>
          </w:p>
        </w:tc>
        <w:tc>
          <w:tcPr>
            <w:tcW w:w="16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Times New Roman" w:cs="Times New Roman" w:eastAsia="Times New Roman" w:hAnsi="Times New Roman"/>
                <w:sz w:val="18"/>
                <w:szCs w:val="18"/>
                <w:color w:val="auto"/>
              </w:rPr>
              <w:t>Arizona</w:t>
            </w:r>
          </w:p>
        </w:tc>
        <w:tc>
          <w:tcPr>
            <w:tcW w:w="1660" w:type="dxa"/>
            <w:vAlign w:val="bottom"/>
            <w:gridSpan w:val="2"/>
          </w:tcPr>
          <w:p>
            <w:pPr>
              <w:jc w:val="right"/>
              <w:ind w:right="610"/>
              <w:spacing w:after="0"/>
              <w:rPr>
                <w:sz w:val="20"/>
                <w:szCs w:val="20"/>
                <w:color w:val="auto"/>
              </w:rPr>
            </w:pPr>
            <w:r>
              <w:rPr>
                <w:rFonts w:ascii="Times New Roman" w:cs="Times New Roman" w:eastAsia="Times New Roman" w:hAnsi="Times New Roman"/>
                <w:sz w:val="18"/>
                <w:szCs w:val="18"/>
                <w:color w:val="auto"/>
              </w:rPr>
              <w:t>2</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Nevada</w:t>
            </w:r>
          </w:p>
        </w:tc>
        <w:tc>
          <w:tcPr>
            <w:tcW w:w="1680" w:type="dxa"/>
            <w:vAlign w:val="bottom"/>
          </w:tcPr>
          <w:p>
            <w:pPr>
              <w:spacing w:after="0"/>
              <w:rPr>
                <w:sz w:val="18"/>
                <w:szCs w:val="18"/>
                <w:color w:val="auto"/>
              </w:rPr>
            </w:pPr>
          </w:p>
        </w:tc>
        <w:tc>
          <w:tcPr>
            <w:tcW w:w="162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Arkansas</w:t>
            </w:r>
          </w:p>
        </w:tc>
        <w:tc>
          <w:tcPr>
            <w:tcW w:w="1660" w:type="dxa"/>
            <w:vAlign w:val="bottom"/>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1</w:t>
            </w:r>
          </w:p>
        </w:tc>
        <w:tc>
          <w:tcPr>
            <w:tcW w:w="12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New Jersey</w:t>
            </w:r>
          </w:p>
        </w:tc>
        <w:tc>
          <w:tcPr>
            <w:tcW w:w="16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Times New Roman" w:cs="Times New Roman" w:eastAsia="Times New Roman" w:hAnsi="Times New Roman"/>
                <w:sz w:val="18"/>
                <w:szCs w:val="18"/>
                <w:color w:val="auto"/>
              </w:rPr>
              <w:t>California</w:t>
            </w:r>
          </w:p>
        </w:tc>
        <w:tc>
          <w:tcPr>
            <w:tcW w:w="1660" w:type="dxa"/>
            <w:vAlign w:val="bottom"/>
            <w:gridSpan w:val="2"/>
          </w:tcPr>
          <w:p>
            <w:pPr>
              <w:jc w:val="right"/>
              <w:ind w:right="610"/>
              <w:spacing w:after="0"/>
              <w:rPr>
                <w:sz w:val="20"/>
                <w:szCs w:val="20"/>
                <w:color w:val="auto"/>
              </w:rPr>
            </w:pPr>
            <w:r>
              <w:rPr>
                <w:rFonts w:ascii="Times New Roman" w:cs="Times New Roman" w:eastAsia="Times New Roman" w:hAnsi="Times New Roman"/>
                <w:sz w:val="18"/>
                <w:szCs w:val="18"/>
                <w:color w:val="auto"/>
              </w:rPr>
              <w:t>5</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New York</w:t>
            </w:r>
          </w:p>
        </w:tc>
        <w:tc>
          <w:tcPr>
            <w:tcW w:w="1680" w:type="dxa"/>
            <w:vAlign w:val="bottom"/>
          </w:tcPr>
          <w:p>
            <w:pPr>
              <w:spacing w:after="0"/>
              <w:rPr>
                <w:sz w:val="18"/>
                <w:szCs w:val="18"/>
                <w:color w:val="auto"/>
              </w:rPr>
            </w:pPr>
          </w:p>
        </w:tc>
        <w:tc>
          <w:tcPr>
            <w:tcW w:w="162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rPr>
              <w:t>6</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Connecticut</w:t>
            </w:r>
          </w:p>
        </w:tc>
        <w:tc>
          <w:tcPr>
            <w:tcW w:w="1660" w:type="dxa"/>
            <w:vAlign w:val="bottom"/>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3</w:t>
            </w:r>
          </w:p>
        </w:tc>
        <w:tc>
          <w:tcPr>
            <w:tcW w:w="12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North Carolina</w:t>
            </w:r>
          </w:p>
        </w:tc>
        <w:tc>
          <w:tcPr>
            <w:tcW w:w="16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rPr>
              <w:t>5</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Times New Roman" w:cs="Times New Roman" w:eastAsia="Times New Roman" w:hAnsi="Times New Roman"/>
                <w:sz w:val="18"/>
                <w:szCs w:val="18"/>
                <w:color w:val="auto"/>
              </w:rPr>
              <w:t>Delaware</w:t>
            </w:r>
          </w:p>
        </w:tc>
        <w:tc>
          <w:tcPr>
            <w:tcW w:w="1660" w:type="dxa"/>
            <w:vAlign w:val="bottom"/>
            <w:gridSpan w:val="2"/>
          </w:tcPr>
          <w:p>
            <w:pPr>
              <w:jc w:val="right"/>
              <w:ind w:right="610"/>
              <w:spacing w:after="0"/>
              <w:rPr>
                <w:sz w:val="20"/>
                <w:szCs w:val="20"/>
                <w:color w:val="auto"/>
              </w:rPr>
            </w:pPr>
            <w:r>
              <w:rPr>
                <w:rFonts w:ascii="Times New Roman" w:cs="Times New Roman" w:eastAsia="Times New Roman" w:hAnsi="Times New Roman"/>
                <w:sz w:val="18"/>
                <w:szCs w:val="18"/>
                <w:color w:val="auto"/>
              </w:rPr>
              <w:t>1</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Ohio</w:t>
            </w:r>
          </w:p>
        </w:tc>
        <w:tc>
          <w:tcPr>
            <w:tcW w:w="1680" w:type="dxa"/>
            <w:vAlign w:val="bottom"/>
          </w:tcPr>
          <w:p>
            <w:pPr>
              <w:spacing w:after="0"/>
              <w:rPr>
                <w:sz w:val="18"/>
                <w:szCs w:val="18"/>
                <w:color w:val="auto"/>
              </w:rPr>
            </w:pPr>
          </w:p>
        </w:tc>
        <w:tc>
          <w:tcPr>
            <w:tcW w:w="162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Florida</w:t>
            </w:r>
          </w:p>
        </w:tc>
        <w:tc>
          <w:tcPr>
            <w:tcW w:w="1660" w:type="dxa"/>
            <w:vAlign w:val="bottom"/>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3</w:t>
            </w:r>
          </w:p>
        </w:tc>
        <w:tc>
          <w:tcPr>
            <w:tcW w:w="12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Oklahoma</w:t>
            </w:r>
          </w:p>
        </w:tc>
        <w:tc>
          <w:tcPr>
            <w:tcW w:w="16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Times New Roman" w:cs="Times New Roman" w:eastAsia="Times New Roman" w:hAnsi="Times New Roman"/>
                <w:sz w:val="18"/>
                <w:szCs w:val="18"/>
                <w:color w:val="auto"/>
              </w:rPr>
              <w:t>Georgia</w:t>
            </w:r>
          </w:p>
        </w:tc>
        <w:tc>
          <w:tcPr>
            <w:tcW w:w="1660" w:type="dxa"/>
            <w:vAlign w:val="bottom"/>
            <w:gridSpan w:val="2"/>
          </w:tcPr>
          <w:p>
            <w:pPr>
              <w:jc w:val="right"/>
              <w:ind w:right="610"/>
              <w:spacing w:after="0"/>
              <w:rPr>
                <w:sz w:val="20"/>
                <w:szCs w:val="20"/>
                <w:color w:val="auto"/>
              </w:rPr>
            </w:pPr>
            <w:r>
              <w:rPr>
                <w:rFonts w:ascii="Times New Roman" w:cs="Times New Roman" w:eastAsia="Times New Roman" w:hAnsi="Times New Roman"/>
                <w:sz w:val="18"/>
                <w:szCs w:val="18"/>
                <w:color w:val="auto"/>
              </w:rPr>
              <w:t>3</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Pennsylvania</w:t>
            </w:r>
          </w:p>
        </w:tc>
        <w:tc>
          <w:tcPr>
            <w:tcW w:w="1680" w:type="dxa"/>
            <w:vAlign w:val="bottom"/>
          </w:tcPr>
          <w:p>
            <w:pPr>
              <w:spacing w:after="0"/>
              <w:rPr>
                <w:sz w:val="18"/>
                <w:szCs w:val="18"/>
                <w:color w:val="auto"/>
              </w:rPr>
            </w:pPr>
          </w:p>
        </w:tc>
        <w:tc>
          <w:tcPr>
            <w:tcW w:w="162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rPr>
              <w:t>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Kansas</w:t>
            </w:r>
          </w:p>
        </w:tc>
        <w:tc>
          <w:tcPr>
            <w:tcW w:w="1660" w:type="dxa"/>
            <w:vAlign w:val="bottom"/>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1</w:t>
            </w:r>
          </w:p>
        </w:tc>
        <w:tc>
          <w:tcPr>
            <w:tcW w:w="12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South Carolina</w:t>
            </w:r>
          </w:p>
        </w:tc>
        <w:tc>
          <w:tcPr>
            <w:tcW w:w="16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Times New Roman" w:cs="Times New Roman" w:eastAsia="Times New Roman" w:hAnsi="Times New Roman"/>
                <w:sz w:val="18"/>
                <w:szCs w:val="18"/>
                <w:color w:val="auto"/>
              </w:rPr>
              <w:t>Kentucky</w:t>
            </w:r>
          </w:p>
        </w:tc>
        <w:tc>
          <w:tcPr>
            <w:tcW w:w="1660" w:type="dxa"/>
            <w:vAlign w:val="bottom"/>
            <w:gridSpan w:val="2"/>
          </w:tcPr>
          <w:p>
            <w:pPr>
              <w:jc w:val="right"/>
              <w:ind w:right="610"/>
              <w:spacing w:after="0"/>
              <w:rPr>
                <w:sz w:val="20"/>
                <w:szCs w:val="20"/>
                <w:color w:val="auto"/>
              </w:rPr>
            </w:pPr>
            <w:r>
              <w:rPr>
                <w:rFonts w:ascii="Times New Roman" w:cs="Times New Roman" w:eastAsia="Times New Roman" w:hAnsi="Times New Roman"/>
                <w:sz w:val="18"/>
                <w:szCs w:val="18"/>
                <w:color w:val="auto"/>
              </w:rPr>
              <w:t>1</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Tennessee</w:t>
            </w:r>
          </w:p>
        </w:tc>
        <w:tc>
          <w:tcPr>
            <w:tcW w:w="1680" w:type="dxa"/>
            <w:vAlign w:val="bottom"/>
          </w:tcPr>
          <w:p>
            <w:pPr>
              <w:spacing w:after="0"/>
              <w:rPr>
                <w:sz w:val="18"/>
                <w:szCs w:val="18"/>
                <w:color w:val="auto"/>
              </w:rPr>
            </w:pPr>
          </w:p>
        </w:tc>
        <w:tc>
          <w:tcPr>
            <w:tcW w:w="162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Maryland</w:t>
            </w:r>
          </w:p>
        </w:tc>
        <w:tc>
          <w:tcPr>
            <w:tcW w:w="1660" w:type="dxa"/>
            <w:vAlign w:val="bottom"/>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3</w:t>
            </w:r>
          </w:p>
        </w:tc>
        <w:tc>
          <w:tcPr>
            <w:tcW w:w="12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Texas</w:t>
            </w:r>
          </w:p>
        </w:tc>
        <w:tc>
          <w:tcPr>
            <w:tcW w:w="168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w w:val="99"/>
              </w:rPr>
              <w:t>12</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Times New Roman" w:cs="Times New Roman" w:eastAsia="Times New Roman" w:hAnsi="Times New Roman"/>
                <w:sz w:val="18"/>
                <w:szCs w:val="18"/>
                <w:color w:val="auto"/>
              </w:rPr>
              <w:t>Massachusetts</w:t>
            </w:r>
          </w:p>
        </w:tc>
        <w:tc>
          <w:tcPr>
            <w:tcW w:w="1660" w:type="dxa"/>
            <w:vAlign w:val="bottom"/>
            <w:gridSpan w:val="2"/>
          </w:tcPr>
          <w:p>
            <w:pPr>
              <w:jc w:val="right"/>
              <w:ind w:right="610"/>
              <w:spacing w:after="0"/>
              <w:rPr>
                <w:sz w:val="20"/>
                <w:szCs w:val="20"/>
                <w:color w:val="auto"/>
              </w:rPr>
            </w:pPr>
            <w:r>
              <w:rPr>
                <w:rFonts w:ascii="Times New Roman" w:cs="Times New Roman" w:eastAsia="Times New Roman" w:hAnsi="Times New Roman"/>
                <w:sz w:val="18"/>
                <w:szCs w:val="18"/>
                <w:color w:val="auto"/>
              </w:rPr>
              <w:t>3</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Virginia</w:t>
            </w:r>
          </w:p>
        </w:tc>
        <w:tc>
          <w:tcPr>
            <w:tcW w:w="1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5</w:t>
            </w:r>
          </w:p>
        </w:tc>
        <w:tc>
          <w:tcPr>
            <w:tcW w:w="80" w:type="dxa"/>
            <w:vAlign w:val="bottom"/>
          </w:tcPr>
          <w:p>
            <w:pPr>
              <w:spacing w:after="0"/>
              <w:rPr>
                <w:sz w:val="18"/>
                <w:szCs w:val="18"/>
                <w:color w:val="auto"/>
              </w:rPr>
            </w:pPr>
          </w:p>
        </w:tc>
      </w:tr>
      <w:tr>
        <w:trPr>
          <w:trHeight w:val="250"/>
        </w:trPr>
        <w:tc>
          <w:tcPr>
            <w:tcW w:w="20" w:type="dxa"/>
            <w:vAlign w:val="bottom"/>
          </w:tcPr>
          <w:p>
            <w:pPr>
              <w:spacing w:after="0"/>
              <w:rPr>
                <w:sz w:val="21"/>
                <w:szCs w:val="21"/>
                <w:color w:val="auto"/>
              </w:rPr>
            </w:pPr>
          </w:p>
        </w:tc>
        <w:tc>
          <w:tcPr>
            <w:tcW w:w="28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Mississippi</w:t>
            </w:r>
          </w:p>
        </w:tc>
        <w:tc>
          <w:tcPr>
            <w:tcW w:w="1660" w:type="dxa"/>
            <w:vAlign w:val="bottom"/>
            <w:tcBorders>
              <w:bottom w:val="single" w:sz="8" w:color="CCEEFF"/>
            </w:tcBorders>
            <w:gridSpan w:val="2"/>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1</w:t>
            </w:r>
          </w:p>
        </w:tc>
        <w:tc>
          <w:tcPr>
            <w:tcW w:w="1240" w:type="dxa"/>
            <w:vAlign w:val="bottom"/>
            <w:tcBorders>
              <w:bottom w:val="single" w:sz="8" w:color="CCEEFF"/>
            </w:tcBorders>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Total</w:t>
            </w:r>
          </w:p>
        </w:tc>
        <w:tc>
          <w:tcPr>
            <w:tcW w:w="16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65</w:t>
            </w:r>
          </w:p>
        </w:tc>
        <w:tc>
          <w:tcPr>
            <w:tcW w:w="8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six locations in the state of New York include a 16,000 square foot clearance center in Middletown, New York which we opened during the third quarter of fiscal 2018. Unlike our other 64 BHF locations, the clearance center offers only clearance merchandise at reduced price points and without design consulting services.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With our acquisition of Zenith in 2015, we created the logistical services operating segment which reflects the operations of Zenith. In addition to providing shipping and warehousing services for the Company, Zenith also provides similar services to other customers, primarily in the furniture industry.</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Wholesale Segment Overview</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wholesale furniture industry is very competitive and there are a large number of manufacturers both within and outside the United States who compete in the market on the basis of product quality, price, style, delivery and service. Additionally, many retailers source imported product directly, thus bypassing domestic furniture manufacturers and wholesale importers. We believe that we can be successful in the current competitive environment because our products represent excellent value combining attractive prices, quality and styling, prompt delivery, and superior service.</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Wholesale shipments by category for the last three fiscal years are summarized below:</w:t>
      </w:r>
    </w:p>
    <w:p>
      <w:pPr>
        <w:spacing w:after="0" w:line="225" w:lineRule="exact"/>
        <w:rPr>
          <w:sz w:val="20"/>
          <w:szCs w:val="20"/>
          <w:color w:val="auto"/>
        </w:rPr>
      </w:pPr>
    </w:p>
    <w:tbl>
      <w:tblPr>
        <w:tblLayout w:type="fixed"/>
        <w:tblInd w:w="300" w:type="dxa"/>
        <w:tblCellMar>
          <w:top w:w="0" w:type="dxa"/>
          <w:left w:w="0" w:type="dxa"/>
          <w:bottom w:w="0" w:type="dxa"/>
          <w:right w:w="0" w:type="dxa"/>
        </w:tblCellMar>
      </w:tblPr>
      <w:tr>
        <w:trPr>
          <w:trHeight w:val="234"/>
        </w:trPr>
        <w:tc>
          <w:tcPr>
            <w:tcW w:w="24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2018</w:t>
            </w:r>
          </w:p>
        </w:tc>
        <w:tc>
          <w:tcPr>
            <w:tcW w:w="76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2017</w:t>
            </w:r>
          </w:p>
        </w:tc>
        <w:tc>
          <w:tcPr>
            <w:tcW w:w="76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2016</w:t>
            </w:r>
          </w:p>
        </w:tc>
        <w:tc>
          <w:tcPr>
            <w:tcW w:w="76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2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Upholstery</w:t>
            </w: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141,321</w:t>
            </w: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55.2%</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136,366</w:t>
            </w: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54.7%</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shd w:val="clear" w:color="auto" w:fill="CCEEFF"/>
          </w:tcPr>
          <w:p>
            <w:pPr>
              <w:jc w:val="right"/>
              <w:ind w:right="530"/>
              <w:spacing w:after="0"/>
              <w:rPr>
                <w:sz w:val="20"/>
                <w:szCs w:val="20"/>
                <w:color w:val="auto"/>
              </w:rPr>
            </w:pPr>
            <w:r>
              <w:rPr>
                <w:rFonts w:ascii="Times New Roman" w:cs="Times New Roman" w:eastAsia="Times New Roman" w:hAnsi="Times New Roman"/>
                <w:sz w:val="18"/>
                <w:szCs w:val="18"/>
                <w:color w:val="auto"/>
              </w:rPr>
              <w:t>127,989</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53.3%</w:t>
            </w:r>
          </w:p>
        </w:tc>
      </w:tr>
      <w:tr>
        <w:trPr>
          <w:trHeight w:val="216"/>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360" w:type="dxa"/>
            <w:vAlign w:val="bottom"/>
          </w:tcPr>
          <w:p>
            <w:pPr>
              <w:spacing w:after="0"/>
              <w:rPr>
                <w:sz w:val="18"/>
                <w:szCs w:val="18"/>
                <w:color w:val="auto"/>
              </w:rPr>
            </w:pPr>
          </w:p>
        </w:tc>
        <w:tc>
          <w:tcPr>
            <w:tcW w:w="146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21,589</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8.4%</w:t>
            </w:r>
          </w:p>
        </w:tc>
        <w:tc>
          <w:tcPr>
            <w:tcW w:w="340" w:type="dxa"/>
            <w:vAlign w:val="bottom"/>
          </w:tcPr>
          <w:p>
            <w:pPr>
              <w:spacing w:after="0"/>
              <w:rPr>
                <w:sz w:val="18"/>
                <w:szCs w:val="18"/>
                <w:color w:val="auto"/>
              </w:rPr>
            </w:pPr>
          </w:p>
        </w:tc>
        <w:tc>
          <w:tcPr>
            <w:tcW w:w="148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22,528</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9.0%</w:t>
            </w:r>
          </w:p>
        </w:tc>
        <w:tc>
          <w:tcPr>
            <w:tcW w:w="340" w:type="dxa"/>
            <w:vAlign w:val="bottom"/>
          </w:tcPr>
          <w:p>
            <w:pPr>
              <w:spacing w:after="0"/>
              <w:rPr>
                <w:sz w:val="18"/>
                <w:szCs w:val="18"/>
                <w:color w:val="auto"/>
              </w:rPr>
            </w:pPr>
          </w:p>
        </w:tc>
        <w:tc>
          <w:tcPr>
            <w:tcW w:w="148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21,038</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8.8%</w:t>
            </w:r>
          </w:p>
        </w:tc>
      </w:tr>
      <w:tr>
        <w:trPr>
          <w:trHeight w:val="216"/>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36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46,074</w:t>
            </w: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18.0%</w:t>
            </w:r>
          </w:p>
        </w:tc>
        <w:tc>
          <w:tcPr>
            <w:tcW w:w="34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43,793</w:t>
            </w: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17.6%</w:t>
            </w:r>
          </w:p>
        </w:tc>
        <w:tc>
          <w:tcPr>
            <w:tcW w:w="34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530"/>
              <w:spacing w:after="0"/>
              <w:rPr>
                <w:sz w:val="20"/>
                <w:szCs w:val="20"/>
                <w:color w:val="auto"/>
              </w:rPr>
            </w:pPr>
            <w:r>
              <w:rPr>
                <w:rFonts w:ascii="Times New Roman" w:cs="Times New Roman" w:eastAsia="Times New Roman" w:hAnsi="Times New Roman"/>
                <w:sz w:val="18"/>
                <w:szCs w:val="18"/>
                <w:color w:val="auto"/>
              </w:rPr>
              <w:t>36,517</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w:t>
            </w:r>
          </w:p>
        </w:tc>
      </w:tr>
      <w:tr>
        <w:trPr>
          <w:trHeight w:val="216"/>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360" w:type="dxa"/>
            <w:vAlign w:val="bottom"/>
          </w:tcPr>
          <w:p>
            <w:pPr>
              <w:spacing w:after="0"/>
              <w:rPr>
                <w:sz w:val="18"/>
                <w:szCs w:val="18"/>
                <w:color w:val="auto"/>
              </w:rPr>
            </w:pPr>
          </w:p>
        </w:tc>
        <w:tc>
          <w:tcPr>
            <w:tcW w:w="146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42,875</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16.8%</w:t>
            </w:r>
          </w:p>
        </w:tc>
        <w:tc>
          <w:tcPr>
            <w:tcW w:w="340" w:type="dxa"/>
            <w:vAlign w:val="bottom"/>
          </w:tcPr>
          <w:p>
            <w:pPr>
              <w:spacing w:after="0"/>
              <w:rPr>
                <w:sz w:val="18"/>
                <w:szCs w:val="18"/>
                <w:color w:val="auto"/>
              </w:rPr>
            </w:pPr>
          </w:p>
        </w:tc>
        <w:tc>
          <w:tcPr>
            <w:tcW w:w="148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42,874</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17.2%</w:t>
            </w:r>
          </w:p>
        </w:tc>
        <w:tc>
          <w:tcPr>
            <w:tcW w:w="340" w:type="dxa"/>
            <w:vAlign w:val="bottom"/>
          </w:tcPr>
          <w:p>
            <w:pPr>
              <w:spacing w:after="0"/>
              <w:rPr>
                <w:sz w:val="18"/>
                <w:szCs w:val="18"/>
                <w:color w:val="auto"/>
              </w:rPr>
            </w:pPr>
          </w:p>
        </w:tc>
        <w:tc>
          <w:tcPr>
            <w:tcW w:w="148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52,246</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21.7%</w:t>
            </w:r>
          </w:p>
        </w:tc>
      </w:tr>
      <w:tr>
        <w:trPr>
          <w:trHeight w:val="230"/>
        </w:trPr>
        <w:tc>
          <w:tcPr>
            <w:tcW w:w="2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w:t>
            </w:r>
          </w:p>
        </w:tc>
        <w:tc>
          <w:tcPr>
            <w:tcW w:w="360" w:type="dxa"/>
            <w:vAlign w:val="bottom"/>
            <w:shd w:val="clear" w:color="auto" w:fill="CCEEFF"/>
          </w:tcPr>
          <w:p>
            <w:pPr>
              <w:spacing w:after="0"/>
              <w:rPr>
                <w:sz w:val="19"/>
                <w:szCs w:val="19"/>
                <w:color w:val="auto"/>
              </w:rPr>
            </w:pPr>
          </w:p>
        </w:tc>
        <w:tc>
          <w:tcPr>
            <w:tcW w:w="146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4,099</w:t>
            </w: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w:t>
            </w:r>
          </w:p>
        </w:tc>
        <w:tc>
          <w:tcPr>
            <w:tcW w:w="340" w:type="dxa"/>
            <w:vAlign w:val="bottom"/>
            <w:shd w:val="clear" w:color="auto" w:fill="CCEEFF"/>
          </w:tcPr>
          <w:p>
            <w:pPr>
              <w:spacing w:after="0"/>
              <w:rPr>
                <w:sz w:val="19"/>
                <w:szCs w:val="19"/>
                <w:color w:val="auto"/>
              </w:rPr>
            </w:pPr>
          </w:p>
        </w:tc>
        <w:tc>
          <w:tcPr>
            <w:tcW w:w="148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3,632</w:t>
            </w:r>
          </w:p>
        </w:tc>
        <w:tc>
          <w:tcPr>
            <w:tcW w:w="10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w:t>
            </w:r>
          </w:p>
        </w:tc>
        <w:tc>
          <w:tcPr>
            <w:tcW w:w="340" w:type="dxa"/>
            <w:vAlign w:val="bottom"/>
            <w:shd w:val="clear" w:color="auto" w:fill="CCEEFF"/>
          </w:tcPr>
          <w:p>
            <w:pPr>
              <w:spacing w:after="0"/>
              <w:rPr>
                <w:sz w:val="19"/>
                <w:szCs w:val="19"/>
                <w:color w:val="auto"/>
              </w:rPr>
            </w:pPr>
          </w:p>
        </w:tc>
        <w:tc>
          <w:tcPr>
            <w:tcW w:w="1480" w:type="dxa"/>
            <w:vAlign w:val="bottom"/>
            <w:shd w:val="clear" w:color="auto" w:fill="CCEEFF"/>
          </w:tcPr>
          <w:p>
            <w:pPr>
              <w:jc w:val="right"/>
              <w:ind w:right="530"/>
              <w:spacing w:after="0"/>
              <w:rPr>
                <w:sz w:val="20"/>
                <w:szCs w:val="20"/>
                <w:color w:val="auto"/>
              </w:rPr>
            </w:pPr>
            <w:r>
              <w:rPr>
                <w:rFonts w:ascii="Times New Roman" w:cs="Times New Roman" w:eastAsia="Times New Roman" w:hAnsi="Times New Roman"/>
                <w:sz w:val="18"/>
                <w:szCs w:val="18"/>
                <w:color w:val="auto"/>
              </w:rPr>
              <w:t>2,556</w:t>
            </w: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0"/>
        </w:trPr>
        <w:tc>
          <w:tcPr>
            <w:tcW w:w="240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50"/>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255,958</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249,193</w:t>
            </w:r>
          </w:p>
        </w:tc>
        <w:tc>
          <w:tcPr>
            <w:tcW w:w="10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240,346</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r>
      <w:tr>
        <w:trPr>
          <w:trHeight w:val="20"/>
        </w:trPr>
        <w:tc>
          <w:tcPr>
            <w:tcW w:w="24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Approximately 27% of our 2018 wholesale sales were of imported product compared to 27% and 31% in 2017 and 2016, respectively. We define imported product as fully finished product that is sourced. Our domestic product includes certain products that contain components which were also sourced. We continue to believe that a blended strategy including domestically produced products primarily of a custom-order nature combined with sourcing of major collections provides the best value and quality of products to our customers. The decline in imported goods share of our wholesale sales over the last three years has been driven primarily by increasing sales of our domestic custom wood and upholstery product offerings.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 w:name="page7"/>
    <w:bookmarkEnd w:id="6"/>
    <w:p>
      <w:pPr>
        <w:jc w:val="both"/>
        <w:spacing w:after="0" w:line="266" w:lineRule="auto"/>
        <w:rPr>
          <w:sz w:val="20"/>
          <w:szCs w:val="20"/>
          <w:color w:val="auto"/>
        </w:rPr>
      </w:pPr>
      <w:r>
        <w:rPr>
          <w:rFonts w:ascii="Times New Roman" w:cs="Times New Roman" w:eastAsia="Times New Roman" w:hAnsi="Times New Roman"/>
          <w:sz w:val="18"/>
          <w:szCs w:val="18"/>
          <w:color w:val="auto"/>
        </w:rPr>
        <w:t>The dollar value of our wholesale backlog, representing orders received but not yet shipped to the BHF store network or independent dealers, was $25,810 at November 24, 2018 and $22,239 at November 25, 2017. We expect that the November 24, 2018 backlog will be filled within fiscal 2019, with the majority of the backlog being filled during the first quarter.</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use lumber, fabric, leather, foam and other materials in the production of wood and upholstered furniture. These components are purchased from a variety of domestic and international suppliers and are widely available. The price and availability of foam, which is highly dependent on the cost of oil and available capacity of oil refineries, can be subject to significant volatility from time to time. We currently assemble and finish these components in our four plants in the United States.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Investments and Real Estate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balance sheet at November 24, 2018 and November 25, 2017 included short-term investments in certificates of deposit and certain retail real estate related to former licensee-owned stores. The impact upon earnings arising from these assets is included in other loss, net, in our consolidated statements of income. Our investment balances at each of the last three fiscal year-ends are as follows:</w:t>
      </w:r>
    </w:p>
    <w:p>
      <w:pPr>
        <w:spacing w:after="0" w:line="176"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November 24,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November 25,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November 26,</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2018</w:t>
            </w:r>
          </w:p>
        </w:tc>
        <w:tc>
          <w:tcPr>
            <w:tcW w:w="2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2017</w:t>
            </w:r>
          </w:p>
        </w:tc>
        <w:tc>
          <w:tcPr>
            <w:tcW w:w="1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color w:val="auto"/>
              </w:rPr>
              <w:t>2016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certificates of deposit</w:t>
            </w: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22,643</w:t>
            </w:r>
          </w:p>
        </w:tc>
        <w:tc>
          <w:tcPr>
            <w:tcW w:w="3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23,125</w:t>
            </w:r>
          </w:p>
        </w:tc>
        <w:tc>
          <w:tcPr>
            <w:tcW w:w="2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23,125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600" w:type="dxa"/>
            <w:vAlign w:val="bottom"/>
          </w:tcPr>
          <w:p>
            <w:pPr>
              <w:spacing w:after="0"/>
              <w:rPr>
                <w:sz w:val="20"/>
                <w:szCs w:val="20"/>
                <w:color w:val="auto"/>
              </w:rPr>
            </w:pPr>
            <w:r>
              <w:rPr>
                <w:rFonts w:ascii="Times New Roman" w:cs="Times New Roman" w:eastAsia="Times New Roman" w:hAnsi="Times New Roman"/>
                <w:sz w:val="18"/>
                <w:szCs w:val="18"/>
                <w:color w:val="auto"/>
              </w:rPr>
              <w:t>Certain retail real estate</w:t>
            </w: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1,655</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2,969</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3,120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short-term investments at November 24, 2018 consist of certificates of deposit (“CDs”) with original terms generally ranging from six to twelve months, bearing interest at rates ranging from 0.85% to 2.70% with a weighted average yield of approximately 2.3%. At November 24, 2018, the weighted average remaining time to maturity of the CDs was approximately six months. Each CD is placed with a federally insured financial institution and all deposits are within Federal deposit insurance limits.</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hold investments in retail store properties that we had previously leased to licensees. These holdings, which also include closed store real estate currently leased to non-licensees, are included in other long-term assets in our consolidated balance sheets. These real estate holdings are typically in urban, high-traffic retail locations. See Item 2, Properties, for additional information about our retail real estate holdings.</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Retail Segment Overview – Company-Owned Retail Stores</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retail furniture industry remains very competitive and includes local furniture stores, regional furniture retailers, national department and chain stores and single-vendor branded retailers. As a whole, our store network with 65 Company-owned stores and 32 licensee-owned stores, ranks in the top 30 in retail furniture sales in the United States. We plan to open six additional Company-owned stores in fiscal 2019, after which we expect to significantly reduce the pace of the BHF network expansion and focus on maximizing profitable sales volume through the existing stores.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sales for our Company-owned retail stores for the last three fiscal years are summarized below:</w:t>
      </w:r>
    </w:p>
    <w:p>
      <w:pPr>
        <w:spacing w:after="0" w:line="225" w:lineRule="exact"/>
        <w:rPr>
          <w:sz w:val="20"/>
          <w:szCs w:val="20"/>
          <w:color w:val="auto"/>
        </w:rPr>
      </w:pPr>
    </w:p>
    <w:tbl>
      <w:tblPr>
        <w:tblLayout w:type="fixed"/>
        <w:tblInd w:w="114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2018</w:t>
            </w:r>
          </w:p>
        </w:tc>
        <w:tc>
          <w:tcPr>
            <w:tcW w:w="2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2017</w:t>
            </w:r>
          </w:p>
        </w:tc>
        <w:tc>
          <w:tcPr>
            <w:tcW w:w="1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color w:val="auto"/>
              </w:rPr>
              <w:t>2016</w:t>
            </w:r>
          </w:p>
        </w:tc>
        <w:tc>
          <w:tcPr>
            <w:tcW w:w="80" w:type="dxa"/>
            <w:vAlign w:val="bottom"/>
          </w:tcPr>
          <w:p>
            <w:pPr>
              <w:spacing w:after="0"/>
              <w:rPr>
                <w:sz w:val="20"/>
                <w:szCs w:val="20"/>
                <w:color w:val="auto"/>
              </w:rPr>
            </w:pPr>
          </w:p>
        </w:tc>
      </w:tr>
      <w:tr>
        <w:trPr>
          <w:trHeight w:val="210"/>
        </w:trPr>
        <w:tc>
          <w:tcPr>
            <w:tcW w:w="2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6"/>
        </w:trPr>
        <w:tc>
          <w:tcPr>
            <w:tcW w:w="20" w:type="dxa"/>
            <w:vAlign w:val="bottom"/>
          </w:tcPr>
          <w:p>
            <w:pPr>
              <w:spacing w:after="0"/>
              <w:rPr>
                <w:sz w:val="20"/>
                <w:szCs w:val="20"/>
                <w:color w:val="auto"/>
              </w:rPr>
            </w:pPr>
          </w:p>
        </w:tc>
        <w:tc>
          <w:tcPr>
            <w:tcW w:w="2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22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268,883</w:t>
            </w:r>
          </w:p>
        </w:tc>
        <w:tc>
          <w:tcPr>
            <w:tcW w:w="4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268,264</w:t>
            </w:r>
          </w:p>
        </w:tc>
        <w:tc>
          <w:tcPr>
            <w:tcW w:w="4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254,667</w:t>
            </w:r>
          </w:p>
        </w:tc>
        <w:tc>
          <w:tcPr>
            <w:tcW w:w="80" w:type="dxa"/>
            <w:vAlign w:val="bottom"/>
            <w:shd w:val="clear" w:color="auto" w:fill="CCEEFF"/>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2600" w:type="dxa"/>
            <w:vAlign w:val="bottom"/>
            <w:tcBorders>
              <w:top w:val="single" w:sz="8" w:color="CCEEFF"/>
            </w:tcBorders>
            <w:shd w:val="clear" w:color="auto" w:fill="CCEEFF"/>
          </w:tcPr>
          <w:p>
            <w:pPr>
              <w:spacing w:after="0" w:line="20" w:lineRule="exact"/>
              <w:rPr>
                <w:sz w:val="1"/>
                <w:szCs w:val="1"/>
                <w:color w:val="auto"/>
              </w:rPr>
            </w:pPr>
          </w:p>
        </w:tc>
        <w:tc>
          <w:tcPr>
            <w:tcW w:w="198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Maintaining and enhancing our brand is critical to our ability to expand our base of customers and drive increased traffic at both Company-owned and licensee-owned stores. Our advertising and marketing campaign utilizes local and national television, direct mail, catalogs, newspapers, magazines, radio, internet and social and other digital media in an effort to maintain and enhance our existing brand equity.</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stores incorporate a stylish, residential feel while highlighting our unmatched custom manufacturing capabilities. We leverage our customization capabilities by dedicating space in the stores to design solutions for dining, upholstery, home entertainment and storage.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u w:val="single" w:color="auto"/>
          <w:color w:val="auto"/>
        </w:rPr>
        <w:t>Logistical Services Segment Overview</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Zenith is a specialized supply chain solutions provider, offering the home furnishings industry the benefit of an asset-based network to move product with greater efficiency, enhanced speed to market, less damage and a single source of shipment visibility. We provide fully integrated solutions with the highest commitment to customer care and service as we seek to go beyond our customers’ transactional expectations to create collaborative partnerships that provide a single source network to:</w:t>
      </w:r>
    </w:p>
    <w:p>
      <w:pPr>
        <w:spacing w:after="0" w:line="180" w:lineRule="exact"/>
        <w:rPr>
          <w:sz w:val="20"/>
          <w:szCs w:val="20"/>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Better manage inventory across multiple locations and provide total audit-ready accountability</w:t>
      </w:r>
    </w:p>
    <w:p>
      <w:pPr>
        <w:spacing w:after="0" w:line="2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line haul and delivery costs</w:t>
      </w:r>
    </w:p>
    <w:p>
      <w:pPr>
        <w:spacing w:after="0" w:line="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Ensure availability of high-volume items in stores</w:t>
      </w:r>
    </w:p>
    <w:p>
      <w:pPr>
        <w:spacing w:after="0" w:line="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Integrate the omnichannel nature of today’s retail supply chain</w:t>
      </w:r>
    </w:p>
    <w:p>
      <w:pPr>
        <w:spacing w:after="0" w:line="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Management and predictability of the total landed cost of goods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Our customer solutions are provided through the following services:</w:t>
            </w:r>
          </w:p>
        </w:tc>
        <w:tc>
          <w:tcPr>
            <w:tcW w:w="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14"/>
        </w:trPr>
        <w:tc>
          <w:tcPr>
            <w:tcW w:w="676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   Network line haul freight (middle mile)</w:t>
            </w: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34"/>
        </w:trPr>
        <w:tc>
          <w:tcPr>
            <w:tcW w:w="676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   Warehousing, distribution and inventory management</w:t>
            </w:r>
          </w:p>
        </w:tc>
        <w:tc>
          <w:tcPr>
            <w:tcW w:w="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67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At November 24, 2018, our shipping and delivery fleet consisted of the following:</w:t>
            </w: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32"/>
        </w:trPr>
        <w:tc>
          <w:tcPr>
            <w:tcW w:w="116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020" w:type="dxa"/>
            <w:vAlign w:val="bottom"/>
            <w:tcBorders>
              <w:bottom w:val="single" w:sz="8" w:color="auto"/>
            </w:tcBorders>
          </w:tcPr>
          <w:p>
            <w:pPr>
              <w:ind w:left="400"/>
              <w:spacing w:after="0"/>
              <w:rPr>
                <w:sz w:val="20"/>
                <w:szCs w:val="20"/>
                <w:color w:val="auto"/>
              </w:rPr>
            </w:pPr>
            <w:r>
              <w:rPr>
                <w:rFonts w:ascii="Times New Roman" w:cs="Times New Roman" w:eastAsia="Times New Roman" w:hAnsi="Times New Roman"/>
                <w:sz w:val="18"/>
                <w:szCs w:val="18"/>
                <w:b w:val="1"/>
                <w:bCs w:val="1"/>
                <w:color w:val="auto"/>
              </w:rPr>
              <w:t>Owned</w:t>
            </w:r>
          </w:p>
        </w:tc>
        <w:tc>
          <w:tcPr>
            <w:tcW w:w="36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Borders>
              <w:bottom w:val="single" w:sz="8" w:color="auto"/>
            </w:tcBorders>
          </w:tcPr>
          <w:p>
            <w:pPr>
              <w:ind w:left="420"/>
              <w:spacing w:after="0"/>
              <w:rPr>
                <w:sz w:val="20"/>
                <w:szCs w:val="20"/>
                <w:color w:val="auto"/>
              </w:rPr>
            </w:pPr>
            <w:r>
              <w:rPr>
                <w:rFonts w:ascii="Times New Roman" w:cs="Times New Roman" w:eastAsia="Times New Roman" w:hAnsi="Times New Roman"/>
                <w:sz w:val="18"/>
                <w:szCs w:val="18"/>
                <w:b w:val="1"/>
                <w:bCs w:val="1"/>
                <w:color w:val="auto"/>
              </w:rPr>
              <w:t>Leased</w:t>
            </w:r>
          </w:p>
        </w:tc>
        <w:tc>
          <w:tcPr>
            <w:tcW w:w="36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80" w:type="dxa"/>
            <w:vAlign w:val="bottom"/>
          </w:tcPr>
          <w:p>
            <w:pPr>
              <w:spacing w:after="0"/>
              <w:rPr>
                <w:sz w:val="24"/>
                <w:szCs w:val="24"/>
                <w:color w:val="auto"/>
              </w:rPr>
            </w:pPr>
          </w:p>
        </w:tc>
      </w:tr>
      <w:tr>
        <w:trPr>
          <w:trHeight w:val="210"/>
        </w:trPr>
        <w:tc>
          <w:tcPr>
            <w:tcW w:w="1160" w:type="dxa"/>
            <w:vAlign w:val="bottom"/>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Tractors</w:t>
            </w: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w:t>
            </w:r>
          </w:p>
        </w:tc>
        <w:tc>
          <w:tcPr>
            <w:tcW w:w="1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1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242</w:t>
            </w:r>
          </w:p>
        </w:tc>
        <w:tc>
          <w:tcPr>
            <w:tcW w:w="80" w:type="dxa"/>
            <w:vAlign w:val="bottom"/>
            <w:shd w:val="clear" w:color="auto" w:fill="CCEEFF"/>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Trailers</w:t>
            </w:r>
          </w:p>
        </w:tc>
        <w:tc>
          <w:tcPr>
            <w:tcW w:w="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239</w:t>
            </w:r>
          </w:p>
        </w:tc>
        <w:tc>
          <w:tcPr>
            <w:tcW w:w="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510</w:t>
            </w:r>
          </w:p>
        </w:tc>
        <w:tc>
          <w:tcPr>
            <w:tcW w:w="8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Local delivery trucks</w:t>
            </w: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1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80" w:type="dxa"/>
            <w:vAlign w:val="bottom"/>
            <w:shd w:val="clear" w:color="auto" w:fill="CCEEFF"/>
          </w:tcPr>
          <w:p>
            <w:pPr>
              <w:spacing w:after="0"/>
              <w:rPr>
                <w:sz w:val="18"/>
                <w:szCs w:val="18"/>
                <w:color w:val="auto"/>
              </w:rPr>
            </w:pPr>
          </w:p>
        </w:tc>
      </w:tr>
    </w:tbl>
    <w:p>
      <w:pPr>
        <w:spacing w:after="0" w:line="198" w:lineRule="exact"/>
        <w:rPr>
          <w:sz w:val="20"/>
          <w:szCs w:val="20"/>
          <w:color w:val="auto"/>
        </w:rPr>
      </w:pPr>
    </w:p>
    <w:p>
      <w:pPr>
        <w:ind w:right="620"/>
        <w:spacing w:after="0" w:line="282" w:lineRule="auto"/>
        <w:rPr>
          <w:sz w:val="20"/>
          <w:szCs w:val="20"/>
          <w:color w:val="auto"/>
        </w:rPr>
      </w:pPr>
      <w:r>
        <w:rPr>
          <w:rFonts w:ascii="Times New Roman" w:cs="Times New Roman" w:eastAsia="Times New Roman" w:hAnsi="Times New Roman"/>
          <w:sz w:val="18"/>
          <w:szCs w:val="18"/>
          <w:color w:val="auto"/>
        </w:rPr>
        <w:t>We own a central warehousing and national distribution hub located in Conover, North Carolina, and we lease nine facilities in seven states across the continental United States from which we operate regional freight terminals and provide warehouse and distribution services.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Trademarks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trademarks, including “Bassett” and the names of some of our marketing divisions, products and collections, are significant to the conduct of our business. This is important due to consumer recognition of the names and identification with our broad range of products. Certain of our trademarks are licensed to independent retailers for use in full store and store gallery presentations of our products. We also own copyrights that are important in the conduct of our business.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believe that we have materially complied with all federal, state and local standards regarding safety, health and pollution and environmental controls.</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logistical services segment is also subject to regulation by several federal governmental agencies, including the Department of Transportation (“DOT”). Specifically the Federal Motor Carrier Safety Administration and the Surface Transportation Board, which are agencies within the DOT. We are also subject to rules and regulations of various state agencies. These regulatory authorities have broad powers, generally governing matters such as authority to engage in motor carrier operations, motor carrier registration, driver hours of service, safety and fitness of transportation equipment and drivers and other matters.</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may also be affected by laws and regulations of countries from which we source goods. Labor, environmental and other laws and regulations change over time, especially in the developing countries from which we source. Changes in these areas of regulation could negatively impact the cost and availability of sourced goods. The timing and extent to which these regulations could have an adverse effect on our financial position or results of operations is difficult to predict. In addition, the imposition of new or increased duties, tariffs, retaliatory tariffs and trade limitations with respect to foreign-sourced products could negatively impact the cost of such goods. Based on the present facts, we do not believe that they will have a material adverse effect on our financial position or future results of operations.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People</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employed 2,574 people as of November 24, 2018, of which 934 were employed in our retail segment, 1,034 were employed in our wholesale segment and 606 were employed in our logistical services segment, which also utilized another 161 temporary workers provided through staffing agencies. None of our employees are subject to collective bargaining arrangements and we have not experienced any recent work stoppages. We consider our relationship with our employees to be good.</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color w:val="auto"/>
        </w:rPr>
        <w:t>Major Customers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risk exposure related to our customers, consisting primarily of trade accounts receivable along with certain guarantees, net of recognized reserves, totaled approximately $21,050 and $22,357 at November 24, 2018 and November 25, 2017, respectively. At November 24, 2018 and November 25, 2017, approximately 33% and 29%, respectively, of the aggregate risk exposure, net of reserves, was attributable to five customers. In fiscal 2018, 2017 and 2016, no customer accounted for more than 10% of total consolidated net sales. However, two customers accounted for approximately 40%, 47% and 46% of our consolidated revenue from logistical services during 2018, 2017 and 2016, respectively.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Available Information</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Through our website, www.bassettfurniture.com, we make available free of charge as soon as reasonably practicable after electronically filing or furnishing with the SEC, our annual report on Form 10-K, quarterly reports on Form 10-Q, current reports on Form 8-K and any amendments thereto.</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9" w:name="page10"/>
    <w:bookmarkEnd w:id="9"/>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1A.</w:t>
      </w:r>
      <w:r>
        <w:rPr>
          <w:sz w:val="20"/>
          <w:szCs w:val="20"/>
          <w:color w:val="auto"/>
        </w:rPr>
        <w:tab/>
      </w:r>
      <w:r>
        <w:rPr>
          <w:rFonts w:ascii="Times New Roman" w:cs="Times New Roman" w:eastAsia="Times New Roman" w:hAnsi="Times New Roman"/>
          <w:sz w:val="17"/>
          <w:szCs w:val="17"/>
          <w:color w:val="auto"/>
        </w:rPr>
        <w:t>RISK FACTORS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risk factors should be read carefully in connection with evaluating our business and the forward-looking information contained in this Annual Report on Form 10-K. The risk factors below represent what we believe are the known material risk factors with respect to us and our business. Any of the following risks could materially adversely affect our business, operations, industry, financial position or future financial results.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face a volatile retail environment and changing economic conditions that may further adversely affect consumer demand and spending.</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Historically, the home furnishings industry has been subject to cyclical variations in the general economy and to uncertainty regarding future economic prospects. Should the current economic recovery falter or the current recovery in housing starts stall, consumer confidence and demand for home furnishings could deteriorate which could adversely affect our business through its impact on the performance of our Company-owned stores, as well as our licensees and the ability of a number of them to meet their obligations to us.</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retail stores face significant competition from national, regional and local retailers of home furnishings, including increasing on-line competition via the internet.</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retail market for home furnishings is highly fragmented and intensely competitive. We currently compete against a diverse group of retailers, including national department stores, regional or independent specialty stores, and dedicated franchises of furniture manufacturers. National mass merchants such as Costco also have limited product offerings. We also compete with retailers that market products through store catalogs and the internet. In addition, there are few barriers to entry into our current and contemplated markets, and new competitors may enter our current or future markets at any time. We have also seen increasing competition from retailers offering consumers the ability to purchase home furnishings via the internet for home delivery, and this trend is expected to continue. Our existing competitors or new entrants into our industry may use a number of different strategies to compete against us, including aggressive advertising, pricing and marketing, extension of credit to customers on terms more favorable than we offer, and expansion into markets where we currently operate.</w:t>
      </w:r>
    </w:p>
    <w:p>
      <w:pPr>
        <w:spacing w:after="0" w:line="18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Competition from any of these sources could cause us to lose market share, revenues and customers, increase expenditures or reduce prices, any of which could have a material adverse effect on our results of operations.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licensee-owned stores may not be able to meet their obligations to us.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a significant amount of accounts receivable attributable to our network of licensee-owned stores. We also guarantee some of the leases of some of our licensees. If these stores do not generate the necessary level of sales and profits, the licensees may not be able to fulfill their obligations to us resulting in additional bad debt expenses and real estate related losses.</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Failure to successfully anticipate or respond to changes in consumer tastes and trends in a timely manner could adversely impact our business, operating results and financial condition.</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Sales of our furniture are dependent upon consumer acceptance of our designs, styles, quality and price. As with all retailers, our business is susceptible to changes in consumer tastes and trends. We attempt to monitor changes in consumer tastes and home design trends through attendance at international industry events and fashion shows, internal marketing research, and communication with our retailers and design consultants who provide valuable input on consumer tendencies. However, such tastes and trends can change rapidly and any delay or failure to anticipate or respond to changing consumer tastes and trends in a timely manner could adversely impact our business, operating results and financial condition.</w:t>
      </w:r>
    </w:p>
    <w:p>
      <w:pPr>
        <w:spacing w:after="0" w:line="18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addition, certain suppliers may require extensive advance notice of our requirements in order to produce products in the quantities we desire. This long lead time may require us to place orders far in advance of the time when certain products will be offered for sale, thereby exposing us to risks relating to shifts in consumer demand and trends, and any downturn in the U.S. economy.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10" w:name="page11"/>
    <w:bookmarkEnd w:id="10"/>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success depends upon our brand, marketing and advertising efforts and pricing strategies, and if we are not able to maintain and enhance our brand, or if we are not successful in these efforts and strategies, our business and operating results could be adversely affected.</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Maintaining and enhancing our brand is critical to our ability to expand our base of customers and drive increased traffic at both Company-owned and licensee-owned stores. Our advertising and marketing campaign utilizes television, direct mail, catalogs, newspapers, magazines, radio, the internet and social and other digital media in an effort to maintain and enhance our existing brand equity. We cannot provide assurance that our marketing, advertising and other efforts to promote and maintain awareness of our brand will not require us to incur substantial costs. If these efforts are unsuccessful or we incur substantial costs in connection with these efforts, our business, operating results and financial condition could be adversely affected.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use of foreign sources of production for a portion of our products exposes us to certain additional risks associated with international operations.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use of foreign sources for the supply of certain of our products exposes us to risks associated with overseas sourcing. These risks are related to government regulation, volatile ocean freight costs, delays in shipments, and extended lead time in ordering. Governments in the foreign countries where we source our products may change their laws, regulations and policies, including those related to tariffs and trade barriers, investments, taxation and exchange controls which could make it more difficult to service our customers resulting in an adverse effect on our earnings. We could also experience increases in the cost of ocean freight shipping which could have an adverse effect on our earnings. Shipping delays and extended order lead times may adversely affect our ability to respond to sudden changes in demand, resulting in the purchase of excess inventory in the face of declining demand, or lost sales due to insufficient inventory in the face of increasing demand, either of which would also have an adverse effect on our earnings or liquidity.</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Fluctuations in the price, availability and quality of raw materials could result in increased costs or cause production delays which might result in a decline in sales, either of which could adversely impact our earnings.</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use various types of wood, foam, fibers, fabrics, leathers, and other raw materials in manufacturing our furniture. Certain of our raw materials, including fabrics, are purchased both abroad and domestically. Fluctuations in the price, availability and quality of raw materials could result in increased costs or a delay in manufacturing our products, which in turn could result in a delay in delivering products to our customers. For example, lumber prices fluctuate over time based on factors such as weather and demand, which in turn impact availability. Production delays or upward trends in raw material prices could result in lower sales or margins, thereby adversely impacting our earnings.</w:t>
      </w:r>
    </w:p>
    <w:p>
      <w:pPr>
        <w:spacing w:after="0" w:line="18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rely extensively on computer systems to process transactions, summarize results and manage our business. Disruptions in both our primary and back-up systems could adversely affect our business and operating results.</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primary and back-up computer systems are subject to damage or interruption from power outages, computer and telecommunications failures, computer viruses, security breaches, natural disasters and errors by employees. Though losses arising from some of these issues would be covered by insurance, interruptions of our critical business computer systems or failure of our back-up systems could reduce our sales or result in longer production times. If our critical business computer systems or back-up systems are damaged or cease to function properly, we may have to make a significant investment to repair or replace them.</w:t>
      </w:r>
    </w:p>
    <w:p>
      <w:pPr>
        <w:spacing w:after="0" w:line="180" w:lineRule="exact"/>
        <w:rPr>
          <w:sz w:val="20"/>
          <w:szCs w:val="20"/>
          <w:color w:val="auto"/>
        </w:rPr>
      </w:pPr>
    </w:p>
    <w:p>
      <w:pPr>
        <w:ind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incur costs and reputational harm resulting from security risks we face in connection with our electronic processing, storage and transmission of confidential information.</w:t>
      </w:r>
    </w:p>
    <w:p>
      <w:pPr>
        <w:spacing w:after="0" w:line="15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accept electronic payment cards in our stores and also gather certain personal identifiable information in the processing of our retail sales transactions. We also store and process confidential information pertaining to our employees and other third parties on our networks. We may in the future become subject to claims for purportedly fraudulent transactions arising out of the actual or alleged theft of credit or debit card information. In addition, if there were a disclosure of confidential information provided by, or concerning, our employees, customers or other third parties, including through inadvertent disclosure, unapproved dissemination, or unauthorized access, our reputation could be harmed and we could be subject to civil or criminal liability and regulatory actions. Proceedings related to theft of credit or debit card information may be brought by payment card providers, banks and credit unions that issue cards, cardholders (either individually or as part of a class action lawsuit) and federal and state regulators. Any such proceedings could distract our management from running our business and cause us to incur significant unplanned losses and expenses. Consumer perception of our brand could also be negatively affected by these events, which could further adversely affect our results and prospects.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i w:val="1"/>
          <w:iCs w:val="1"/>
          <w:color w:val="auto"/>
        </w:rPr>
        <w:t>We may suffer adverse impacts from additional risks associated with the operations of Zenith, a freight transportation and logistics business.</w:t>
      </w:r>
    </w:p>
    <w:p>
      <w:pPr>
        <w:spacing w:after="0" w:line="229" w:lineRule="exact"/>
        <w:rPr>
          <w:sz w:val="20"/>
          <w:szCs w:val="20"/>
          <w:color w:val="auto"/>
        </w:rPr>
      </w:pPr>
    </w:p>
    <w:p>
      <w:pPr>
        <w:jc w:val="both"/>
        <w:ind w:right="60"/>
        <w:spacing w:after="0" w:line="258" w:lineRule="auto"/>
        <w:rPr>
          <w:sz w:val="20"/>
          <w:szCs w:val="20"/>
          <w:color w:val="auto"/>
        </w:rPr>
      </w:pPr>
      <w:r>
        <w:rPr>
          <w:rFonts w:ascii="Times New Roman" w:cs="Times New Roman" w:eastAsia="Times New Roman" w:hAnsi="Times New Roman"/>
          <w:sz w:val="18"/>
          <w:szCs w:val="18"/>
          <w:color w:val="auto"/>
        </w:rPr>
        <w:t>Zenith exposes us to certain risks common to that business, including, but not limited to: difficulties attracting and retaining qualified drivers which could result in increases in driver compensation and could adversely affect our profitability and our ability to maintain or grow our fleet; adverse impacts from unfavorable fluctuations in the availability and price of diesel fuel; increased costs of compliance with, or liability for violation of, existing or future regulations in the highly regulated freight transportation industry; adverse impacts upon Zenith’s results of operations which may result from seasonal factors and harsh weather conditions; and the increased liability inherent with the operation of heavy over-the-road vehicles.</w:t>
      </w:r>
    </w:p>
    <w:p>
      <w:pPr>
        <w:spacing w:after="0" w:line="180"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1B.</w:t>
      </w:r>
      <w:r>
        <w:rPr>
          <w:sz w:val="20"/>
          <w:szCs w:val="20"/>
          <w:color w:val="auto"/>
        </w:rPr>
        <w:tab/>
      </w:r>
      <w:r>
        <w:rPr>
          <w:rFonts w:ascii="Times New Roman" w:cs="Times New Roman" w:eastAsia="Times New Roman" w:hAnsi="Times New Roman"/>
          <w:sz w:val="17"/>
          <w:szCs w:val="17"/>
          <w:color w:val="auto"/>
        </w:rPr>
        <w:t>UNRESOLVED STAFF COMMENTS</w:t>
      </w:r>
    </w:p>
    <w:p>
      <w:pPr>
        <w:spacing w:after="0" w:line="31"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19"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color w:val="auto"/>
        </w:rPr>
        <w:t>PROPERTIES</w:t>
      </w:r>
    </w:p>
    <w:p>
      <w:pPr>
        <w:spacing w:after="0" w:line="22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u w:val="single" w:color="auto"/>
          <w:color w:val="auto"/>
        </w:rPr>
        <w:t>General</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We own our corporate office building, which includes an annex, located in Bassett, Va.</w:t>
      </w:r>
    </w:p>
    <w:p>
      <w:pPr>
        <w:spacing w:after="0" w:line="225" w:lineRule="exact"/>
        <w:rPr>
          <w:sz w:val="20"/>
          <w:szCs w:val="20"/>
          <w:color w:val="auto"/>
        </w:rPr>
      </w:pPr>
    </w:p>
    <w:tbl>
      <w:tblPr>
        <w:tblLayout w:type="fixed"/>
        <w:tblInd w:w="440" w:type="dxa"/>
        <w:tblCellMar>
          <w:top w:w="0" w:type="dxa"/>
          <w:left w:w="0" w:type="dxa"/>
          <w:bottom w:w="0" w:type="dxa"/>
          <w:right w:w="0" w:type="dxa"/>
        </w:tblCellMar>
      </w:tblPr>
      <w:tr>
        <w:trPr>
          <w:trHeight w:val="234"/>
        </w:trPr>
        <w:tc>
          <w:tcPr>
            <w:tcW w:w="44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We own the following facilities, by segment:</w:t>
            </w:r>
          </w:p>
        </w:tc>
        <w:tc>
          <w:tcPr>
            <w:tcW w:w="24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44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Wholesale Segment:</w:t>
            </w:r>
          </w:p>
        </w:tc>
        <w:tc>
          <w:tcPr>
            <w:tcW w:w="2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2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2960" w:type="dxa"/>
            <w:vAlign w:val="bottom"/>
            <w:gridSpan w:val="3"/>
          </w:tcPr>
          <w:p>
            <w:pPr>
              <w:ind w:left="860"/>
              <w:spacing w:after="0"/>
              <w:rPr>
                <w:sz w:val="20"/>
                <w:szCs w:val="20"/>
                <w:color w:val="auto"/>
              </w:rPr>
            </w:pPr>
            <w:r>
              <w:rPr>
                <w:rFonts w:ascii="Times New Roman" w:cs="Times New Roman" w:eastAsia="Times New Roman" w:hAnsi="Times New Roman"/>
                <w:sz w:val="18"/>
                <w:szCs w:val="18"/>
                <w:b w:val="1"/>
                <w:bCs w:val="1"/>
                <w:color w:val="auto"/>
              </w:rPr>
              <w:t>Facility</w:t>
            </w:r>
          </w:p>
        </w:tc>
        <w:tc>
          <w:tcPr>
            <w:tcW w:w="4880" w:type="dxa"/>
            <w:vAlign w:val="bottom"/>
            <w:gridSpan w:val="3"/>
          </w:tcPr>
          <w:p>
            <w:pPr>
              <w:ind w:left="2420"/>
              <w:spacing w:after="0"/>
              <w:rPr>
                <w:sz w:val="20"/>
                <w:szCs w:val="20"/>
                <w:color w:val="auto"/>
              </w:rPr>
            </w:pPr>
            <w:r>
              <w:rPr>
                <w:rFonts w:ascii="Times New Roman" w:cs="Times New Roman" w:eastAsia="Times New Roman" w:hAnsi="Times New Roman"/>
                <w:sz w:val="18"/>
                <w:szCs w:val="18"/>
                <w:b w:val="1"/>
                <w:bCs w:val="1"/>
                <w:color w:val="auto"/>
              </w:rPr>
              <w:t>Location</w:t>
            </w:r>
          </w:p>
        </w:tc>
        <w:tc>
          <w:tcPr>
            <w:tcW w:w="0" w:type="dxa"/>
            <w:vAlign w:val="bottom"/>
          </w:tcPr>
          <w:p>
            <w:pPr>
              <w:spacing w:after="0"/>
              <w:rPr>
                <w:sz w:val="1"/>
                <w:szCs w:val="1"/>
                <w:color w:val="auto"/>
              </w:rPr>
            </w:pPr>
          </w:p>
        </w:tc>
      </w:tr>
      <w:tr>
        <w:trPr>
          <w:trHeight w:val="237"/>
        </w:trPr>
        <w:tc>
          <w:tcPr>
            <w:tcW w:w="220" w:type="dxa"/>
            <w:vAlign w:val="bottom"/>
            <w:vMerge w:val="restart"/>
          </w:tcPr>
          <w:p>
            <w:pPr>
              <w:spacing w:after="0"/>
              <w:rPr>
                <w:sz w:val="20"/>
                <w:szCs w:val="20"/>
                <w:color w:val="auto"/>
              </w:rPr>
            </w:pPr>
          </w:p>
        </w:tc>
        <w:tc>
          <w:tcPr>
            <w:tcW w:w="1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80" w:type="dxa"/>
            <w:vAlign w:val="bottom"/>
            <w:tcBorders>
              <w:top w:val="single" w:sz="8" w:color="auto"/>
            </w:tcBorders>
          </w:tcPr>
          <w:p>
            <w:pPr>
              <w:spacing w:after="0"/>
              <w:rPr>
                <w:sz w:val="20"/>
                <w:szCs w:val="20"/>
                <w:color w:val="auto"/>
              </w:rPr>
            </w:pPr>
          </w:p>
        </w:tc>
        <w:tc>
          <w:tcPr>
            <w:tcW w:w="152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20" w:type="dxa"/>
            <w:vAlign w:val="bottom"/>
            <w:vMerge w:val="continue"/>
          </w:tcPr>
          <w:p>
            <w:pPr>
              <w:spacing w:after="0"/>
              <w:rPr>
                <w:sz w:val="18"/>
                <w:szCs w:val="18"/>
                <w:color w:val="auto"/>
              </w:rPr>
            </w:pPr>
          </w:p>
        </w:tc>
        <w:tc>
          <w:tcPr>
            <w:tcW w:w="42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Wood Division</w:t>
            </w:r>
          </w:p>
        </w:tc>
        <w:tc>
          <w:tcPr>
            <w:tcW w:w="4880" w:type="dxa"/>
            <w:vAlign w:val="bottom"/>
            <w:gridSpan w:val="3"/>
            <w:shd w:val="clear" w:color="auto" w:fill="CCEEFF"/>
          </w:tcPr>
          <w:p>
            <w:pPr>
              <w:ind w:left="1220"/>
              <w:spacing w:after="0"/>
              <w:rPr>
                <w:sz w:val="20"/>
                <w:szCs w:val="20"/>
                <w:color w:val="auto"/>
              </w:rPr>
            </w:pPr>
            <w:r>
              <w:rPr>
                <w:rFonts w:ascii="Times New Roman" w:cs="Times New Roman" w:eastAsia="Times New Roman" w:hAnsi="Times New Roman"/>
                <w:sz w:val="18"/>
                <w:szCs w:val="18"/>
                <w:color w:val="auto"/>
              </w:rPr>
              <w:t>Martinsville, Va.</w:t>
            </w: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42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Bassett Wood Division</w:t>
            </w:r>
          </w:p>
        </w:tc>
        <w:tc>
          <w:tcPr>
            <w:tcW w:w="4880" w:type="dxa"/>
            <w:vAlign w:val="bottom"/>
            <w:gridSpan w:val="3"/>
          </w:tcPr>
          <w:p>
            <w:pPr>
              <w:ind w:left="1220"/>
              <w:spacing w:after="0"/>
              <w:rPr>
                <w:sz w:val="20"/>
                <w:szCs w:val="20"/>
                <w:color w:val="auto"/>
              </w:rPr>
            </w:pPr>
            <w:r>
              <w:rPr>
                <w:rFonts w:ascii="Times New Roman" w:cs="Times New Roman" w:eastAsia="Times New Roman" w:hAnsi="Times New Roman"/>
                <w:sz w:val="18"/>
                <w:szCs w:val="18"/>
                <w:color w:val="auto"/>
              </w:rPr>
              <w:t>Bassett, Va.</w:t>
            </w: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42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Upholstery Division</w:t>
            </w:r>
          </w:p>
        </w:tc>
        <w:tc>
          <w:tcPr>
            <w:tcW w:w="4880" w:type="dxa"/>
            <w:vAlign w:val="bottom"/>
            <w:gridSpan w:val="3"/>
            <w:shd w:val="clear" w:color="auto" w:fill="CCEEFF"/>
          </w:tcPr>
          <w:p>
            <w:pPr>
              <w:ind w:left="1220"/>
              <w:spacing w:after="0"/>
              <w:rPr>
                <w:sz w:val="20"/>
                <w:szCs w:val="20"/>
                <w:color w:val="auto"/>
              </w:rPr>
            </w:pPr>
            <w:r>
              <w:rPr>
                <w:rFonts w:ascii="Times New Roman" w:cs="Times New Roman" w:eastAsia="Times New Roman" w:hAnsi="Times New Roman"/>
                <w:sz w:val="18"/>
                <w:szCs w:val="18"/>
                <w:color w:val="auto"/>
              </w:rPr>
              <w:t>Newton, N.C.</w:t>
            </w:r>
          </w:p>
        </w:tc>
        <w:tc>
          <w:tcPr>
            <w:tcW w:w="0" w:type="dxa"/>
            <w:vAlign w:val="bottom"/>
          </w:tcPr>
          <w:p>
            <w:pPr>
              <w:spacing w:after="0"/>
              <w:rPr>
                <w:sz w:val="1"/>
                <w:szCs w:val="1"/>
                <w:color w:val="auto"/>
              </w:rPr>
            </w:pPr>
          </w:p>
        </w:tc>
      </w:tr>
      <w:tr>
        <w:trPr>
          <w:trHeight w:val="234"/>
        </w:trPr>
        <w:tc>
          <w:tcPr>
            <w:tcW w:w="220" w:type="dxa"/>
            <w:vAlign w:val="bottom"/>
          </w:tcPr>
          <w:p>
            <w:pPr>
              <w:spacing w:after="0"/>
              <w:rPr>
                <w:sz w:val="20"/>
                <w:szCs w:val="20"/>
                <w:color w:val="auto"/>
              </w:rPr>
            </w:pPr>
          </w:p>
        </w:tc>
        <w:tc>
          <w:tcPr>
            <w:tcW w:w="42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3 Warehouses</w:t>
            </w:r>
          </w:p>
        </w:tc>
        <w:tc>
          <w:tcPr>
            <w:tcW w:w="4880" w:type="dxa"/>
            <w:vAlign w:val="bottom"/>
            <w:gridSpan w:val="3"/>
          </w:tcPr>
          <w:p>
            <w:pPr>
              <w:ind w:left="1220"/>
              <w:spacing w:after="0"/>
              <w:rPr>
                <w:sz w:val="20"/>
                <w:szCs w:val="20"/>
                <w:color w:val="auto"/>
              </w:rPr>
            </w:pPr>
            <w:r>
              <w:rPr>
                <w:rFonts w:ascii="Times New Roman" w:cs="Times New Roman" w:eastAsia="Times New Roman" w:hAnsi="Times New Roman"/>
                <w:sz w:val="18"/>
                <w:szCs w:val="18"/>
                <w:color w:val="auto"/>
              </w:rPr>
              <w:t>Bassett, Va.</w:t>
            </w:r>
          </w:p>
        </w:tc>
        <w:tc>
          <w:tcPr>
            <w:tcW w:w="0" w:type="dxa"/>
            <w:vAlign w:val="bottom"/>
          </w:tcPr>
          <w:p>
            <w:pPr>
              <w:spacing w:after="0"/>
              <w:rPr>
                <w:sz w:val="1"/>
                <w:szCs w:val="1"/>
                <w:color w:val="auto"/>
              </w:rPr>
            </w:pPr>
          </w:p>
        </w:tc>
      </w:tr>
    </w:tbl>
    <w:p>
      <w:pPr>
        <w:spacing w:after="0" w:line="179" w:lineRule="exact"/>
        <w:rPr>
          <w:sz w:val="20"/>
          <w:szCs w:val="20"/>
          <w:color w:val="auto"/>
        </w:rPr>
      </w:pPr>
    </w:p>
    <w:p>
      <w:pPr>
        <w:jc w:val="both"/>
        <w:ind w:left="500" w:right="400"/>
        <w:spacing w:after="0" w:line="261" w:lineRule="auto"/>
        <w:rPr>
          <w:sz w:val="20"/>
          <w:szCs w:val="20"/>
          <w:color w:val="auto"/>
        </w:rPr>
      </w:pPr>
      <w:r>
        <w:rPr>
          <w:rFonts w:ascii="Times New Roman" w:cs="Times New Roman" w:eastAsia="Times New Roman" w:hAnsi="Times New Roman"/>
          <w:sz w:val="18"/>
          <w:szCs w:val="18"/>
          <w:color w:val="auto"/>
        </w:rPr>
        <w:t>In general, these facilities are suitable and are considered to be adequate for the continuing operations involved. All facilities are in regular use and provide adequate capacity for our manufacturing and warehousing needs. In addition to the owned properties shown above, we have an upholstery division manufacturing facility which occupies part of a regional distribution center in Grand Prairie, Texas that is leased by our logistical services segment, and we lease property in Newton, North Carolina for the manufacturing and warehousing operations of Lane Venture.</w:t>
      </w:r>
    </w:p>
    <w:p>
      <w:pPr>
        <w:spacing w:after="0" w:line="180"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u w:val="single" w:color="auto"/>
          <w:color w:val="auto"/>
        </w:rPr>
        <w:t>Retail Segment:</w:t>
      </w:r>
    </w:p>
    <w:p>
      <w:pPr>
        <w:spacing w:after="0" w:line="225" w:lineRule="exact"/>
        <w:rPr>
          <w:sz w:val="20"/>
          <w:szCs w:val="20"/>
          <w:color w:val="auto"/>
        </w:rPr>
      </w:pPr>
    </w:p>
    <w:p>
      <w:pPr>
        <w:ind w:left="500" w:right="60"/>
        <w:spacing w:after="0" w:line="282" w:lineRule="auto"/>
        <w:rPr>
          <w:sz w:val="20"/>
          <w:szCs w:val="20"/>
          <w:color w:val="auto"/>
        </w:rPr>
      </w:pPr>
      <w:r>
        <w:rPr>
          <w:rFonts w:ascii="Times New Roman" w:cs="Times New Roman" w:eastAsia="Times New Roman" w:hAnsi="Times New Roman"/>
          <w:sz w:val="18"/>
          <w:szCs w:val="18"/>
          <w:color w:val="auto"/>
        </w:rPr>
        <w:t>Real estate associated with our retail segment consists of nine owned locations with an aggregate square footage of 223,570 and a net book value of $19,997. These stores are located as follows:</w:t>
      </w:r>
    </w:p>
    <w:p>
      <w:pPr>
        <w:spacing w:after="0" w:line="180" w:lineRule="exact"/>
        <w:rPr>
          <w:sz w:val="20"/>
          <w:szCs w:val="20"/>
          <w:color w:val="auto"/>
        </w:rPr>
      </w:pPr>
    </w:p>
    <w:tbl>
      <w:tblPr>
        <w:tblLayout w:type="fixed"/>
        <w:tblInd w:w="1800" w:type="dxa"/>
        <w:tblCellMar>
          <w:top w:w="0" w:type="dxa"/>
          <w:left w:w="0" w:type="dxa"/>
          <w:bottom w:w="0" w:type="dxa"/>
          <w:right w:w="0" w:type="dxa"/>
        </w:tblCellMar>
      </w:tblPr>
      <w:tr>
        <w:trPr>
          <w:trHeight w:val="216"/>
        </w:trPr>
        <w:tc>
          <w:tcPr>
            <w:tcW w:w="3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Concord, North Carolina</w:t>
            </w:r>
          </w:p>
        </w:tc>
        <w:tc>
          <w:tcPr>
            <w:tcW w:w="62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Greensboro, North Carolina</w:t>
            </w:r>
          </w:p>
        </w:tc>
      </w:tr>
      <w:tr>
        <w:trPr>
          <w:trHeight w:val="216"/>
        </w:trPr>
        <w:tc>
          <w:tcPr>
            <w:tcW w:w="3440" w:type="dxa"/>
            <w:vAlign w:val="bottom"/>
          </w:tcPr>
          <w:p>
            <w:pPr>
              <w:spacing w:after="0"/>
              <w:rPr>
                <w:sz w:val="20"/>
                <w:szCs w:val="20"/>
                <w:color w:val="auto"/>
              </w:rPr>
            </w:pPr>
            <w:r>
              <w:rPr>
                <w:rFonts w:ascii="Times New Roman" w:cs="Times New Roman" w:eastAsia="Times New Roman" w:hAnsi="Times New Roman"/>
                <w:sz w:val="18"/>
                <w:szCs w:val="18"/>
                <w:color w:val="auto"/>
              </w:rPr>
              <w:t>Greenville, South Carolina</w:t>
            </w:r>
          </w:p>
        </w:tc>
        <w:tc>
          <w:tcPr>
            <w:tcW w:w="6240" w:type="dxa"/>
            <w:vAlign w:val="bottom"/>
          </w:tcPr>
          <w:p>
            <w:pPr>
              <w:ind w:left="1400"/>
              <w:spacing w:after="0"/>
              <w:rPr>
                <w:sz w:val="20"/>
                <w:szCs w:val="20"/>
                <w:color w:val="auto"/>
              </w:rPr>
            </w:pPr>
            <w:r>
              <w:rPr>
                <w:rFonts w:ascii="Times New Roman" w:cs="Times New Roman" w:eastAsia="Times New Roman" w:hAnsi="Times New Roman"/>
                <w:sz w:val="18"/>
                <w:szCs w:val="18"/>
                <w:color w:val="auto"/>
              </w:rPr>
              <w:t>Fredericksburg, Virginia</w:t>
            </w:r>
          </w:p>
        </w:tc>
      </w:tr>
      <w:tr>
        <w:trPr>
          <w:trHeight w:val="216"/>
        </w:trPr>
        <w:tc>
          <w:tcPr>
            <w:tcW w:w="3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Houston, Texas (2 locations)</w:t>
            </w:r>
          </w:p>
        </w:tc>
        <w:tc>
          <w:tcPr>
            <w:tcW w:w="62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Gulfport, Mississippi</w:t>
            </w:r>
          </w:p>
        </w:tc>
      </w:tr>
      <w:tr>
        <w:trPr>
          <w:trHeight w:val="234"/>
        </w:trPr>
        <w:tc>
          <w:tcPr>
            <w:tcW w:w="3440" w:type="dxa"/>
            <w:vAlign w:val="bottom"/>
          </w:tcPr>
          <w:p>
            <w:pPr>
              <w:spacing w:after="0"/>
              <w:rPr>
                <w:sz w:val="20"/>
                <w:szCs w:val="20"/>
                <w:color w:val="auto"/>
              </w:rPr>
            </w:pPr>
            <w:r>
              <w:rPr>
                <w:rFonts w:ascii="Times New Roman" w:cs="Times New Roman" w:eastAsia="Times New Roman" w:hAnsi="Times New Roman"/>
                <w:sz w:val="18"/>
                <w:szCs w:val="18"/>
                <w:color w:val="auto"/>
              </w:rPr>
              <w:t>Knoxville, Tennessee</w:t>
            </w:r>
          </w:p>
        </w:tc>
        <w:tc>
          <w:tcPr>
            <w:tcW w:w="6240" w:type="dxa"/>
            <w:vAlign w:val="bottom"/>
          </w:tcPr>
          <w:p>
            <w:pPr>
              <w:ind w:left="1400"/>
              <w:spacing w:after="0"/>
              <w:rPr>
                <w:sz w:val="20"/>
                <w:szCs w:val="20"/>
                <w:color w:val="auto"/>
              </w:rPr>
            </w:pPr>
            <w:r>
              <w:rPr>
                <w:rFonts w:ascii="Times New Roman" w:cs="Times New Roman" w:eastAsia="Times New Roman" w:hAnsi="Times New Roman"/>
                <w:sz w:val="18"/>
                <w:szCs w:val="18"/>
                <w:color w:val="auto"/>
              </w:rPr>
              <w:t>Louisville, Kentucky</w:t>
            </w:r>
          </w:p>
        </w:tc>
      </w:tr>
    </w:tbl>
    <w:p>
      <w:pPr>
        <w:spacing w:after="0" w:line="179" w:lineRule="exact"/>
        <w:rPr>
          <w:sz w:val="20"/>
          <w:szCs w:val="20"/>
          <w:color w:val="auto"/>
        </w:rPr>
      </w:pPr>
    </w:p>
    <w:p>
      <w:pPr>
        <w:ind w:left="500" w:right="60"/>
        <w:spacing w:after="0" w:line="282" w:lineRule="auto"/>
        <w:rPr>
          <w:sz w:val="20"/>
          <w:szCs w:val="20"/>
          <w:color w:val="auto"/>
        </w:rPr>
      </w:pPr>
      <w:r>
        <w:rPr>
          <w:rFonts w:ascii="Times New Roman" w:cs="Times New Roman" w:eastAsia="Times New Roman" w:hAnsi="Times New Roman"/>
          <w:sz w:val="18"/>
          <w:szCs w:val="18"/>
          <w:color w:val="auto"/>
        </w:rPr>
        <w:t>Of these locations, two are subject to land leases and two are subject to mortgages. Our remaining 56 store locations are leased from third-parties. In addition to retail stores, we also lease nineteen locations for use as regional warehouses and home delivery distribution centers.</w:t>
      </w:r>
    </w:p>
    <w:p>
      <w:pPr>
        <w:spacing w:after="0" w:line="162"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80"/>
          </w:cols>
          <w:pgMar w:left="240" w:top="576" w:right="179" w:bottom="1440" w:gutter="0" w:footer="0" w:header="0"/>
        </w:sectPr>
      </w:pPr>
    </w:p>
    <w:bookmarkStart w:id="12" w:name="page13"/>
    <w:bookmarkEnd w:id="12"/>
    <w:p>
      <w:pPr>
        <w:ind w:left="500"/>
        <w:spacing w:after="0"/>
        <w:rPr>
          <w:sz w:val="20"/>
          <w:szCs w:val="20"/>
          <w:color w:val="auto"/>
        </w:rPr>
      </w:pPr>
      <w:r>
        <w:rPr>
          <w:rFonts w:ascii="Times New Roman" w:cs="Times New Roman" w:eastAsia="Times New Roman" w:hAnsi="Times New Roman"/>
          <w:sz w:val="18"/>
          <w:szCs w:val="18"/>
          <w:u w:val="single" w:color="auto"/>
          <w:color w:val="auto"/>
        </w:rPr>
        <w:t>Logistical Services Segment:</w:t>
      </w:r>
    </w:p>
    <w:p>
      <w:pPr>
        <w:spacing w:after="0" w:line="225"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Owned real estate associated with our logistical services segment is located in Conover, North Carolina and includes the following facilities: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211"/>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Facility</w:t>
            </w:r>
          </w:p>
        </w:tc>
        <w:tc>
          <w:tcPr>
            <w:tcW w:w="16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Square Footage</w:t>
            </w: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580" w:type="dxa"/>
            <w:vAlign w:val="bottom"/>
            <w:tcBorders>
              <w:top w:val="single" w:sz="8" w:color="auto"/>
            </w:tcBorders>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500" w:type="dxa"/>
            <w:vAlign w:val="bottom"/>
            <w:gridSpan w:val="4"/>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Distribution center and corporate office</w:t>
            </w:r>
          </w:p>
        </w:tc>
        <w:tc>
          <w:tcPr>
            <w:tcW w:w="1540" w:type="dxa"/>
            <w:vAlign w:val="bottom"/>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242,000</w:t>
            </w:r>
          </w:p>
        </w:tc>
        <w:tc>
          <w:tcPr>
            <w:tcW w:w="8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2</w:t>
            </w:r>
          </w:p>
        </w:tc>
        <w:tc>
          <w:tcPr>
            <w:tcW w:w="74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Maintenance facilities</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15,142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2</w:t>
            </w:r>
          </w:p>
        </w:tc>
        <w:tc>
          <w:tcPr>
            <w:tcW w:w="740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Transit warehouses</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86,135</w:t>
            </w:r>
          </w:p>
        </w:tc>
        <w:tc>
          <w:tcPr>
            <w:tcW w:w="80" w:type="dxa"/>
            <w:vAlign w:val="bottom"/>
            <w:shd w:val="clear" w:color="auto" w:fill="CCEEFF"/>
          </w:tcPr>
          <w:p>
            <w:pPr>
              <w:spacing w:after="0"/>
              <w:rPr>
                <w:sz w:val="18"/>
                <w:szCs w:val="18"/>
                <w:color w:val="auto"/>
              </w:rPr>
            </w:pPr>
          </w:p>
        </w:tc>
      </w:tr>
    </w:tbl>
    <w:p>
      <w:pPr>
        <w:spacing w:after="0" w:line="198" w:lineRule="exact"/>
        <w:rPr>
          <w:sz w:val="20"/>
          <w:szCs w:val="20"/>
          <w:color w:val="auto"/>
        </w:rPr>
      </w:pPr>
    </w:p>
    <w:p>
      <w:pPr>
        <w:jc w:val="both"/>
        <w:ind w:left="500"/>
        <w:spacing w:after="0" w:line="282" w:lineRule="auto"/>
        <w:rPr>
          <w:sz w:val="20"/>
          <w:szCs w:val="20"/>
          <w:color w:val="auto"/>
        </w:rPr>
      </w:pPr>
      <w:r>
        <w:rPr>
          <w:rFonts w:ascii="Times New Roman" w:cs="Times New Roman" w:eastAsia="Times New Roman" w:hAnsi="Times New Roman"/>
          <w:sz w:val="18"/>
          <w:szCs w:val="18"/>
          <w:color w:val="auto"/>
        </w:rPr>
        <w:t>In addition to the owned facilities listed above, we also lease warehouse space in nine locations across the United States with an aggregate square footage of 896,429.</w:t>
      </w:r>
    </w:p>
    <w:p>
      <w:pPr>
        <w:spacing w:after="0" w:line="162"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u w:val="single" w:color="auto"/>
          <w:color w:val="auto"/>
        </w:rPr>
        <w:t>Other Real Estate Owned:</w:t>
      </w:r>
    </w:p>
    <w:p>
      <w:pPr>
        <w:spacing w:after="0" w:line="225" w:lineRule="exact"/>
        <w:rPr>
          <w:sz w:val="20"/>
          <w:szCs w:val="20"/>
          <w:color w:val="auto"/>
        </w:rPr>
      </w:pPr>
    </w:p>
    <w:p>
      <w:pPr>
        <w:jc w:val="both"/>
        <w:ind w:left="500" w:right="20"/>
        <w:spacing w:after="0" w:line="282" w:lineRule="auto"/>
        <w:rPr>
          <w:sz w:val="20"/>
          <w:szCs w:val="20"/>
          <w:color w:val="auto"/>
        </w:rPr>
      </w:pPr>
      <w:r>
        <w:rPr>
          <w:rFonts w:ascii="Times New Roman" w:cs="Times New Roman" w:eastAsia="Times New Roman" w:hAnsi="Times New Roman"/>
          <w:sz w:val="18"/>
          <w:szCs w:val="18"/>
          <w:color w:val="auto"/>
        </w:rPr>
        <w:t>We hold investments in retail store property that we previously leased to licensees and now lease to others. Such properties consist of two locations with aggregate square footage of 41,021 and net book value of $1,655 at November 24, 2018.</w:t>
      </w:r>
    </w:p>
    <w:p>
      <w:pPr>
        <w:spacing w:after="0" w:line="162" w:lineRule="exact"/>
        <w:rPr>
          <w:sz w:val="20"/>
          <w:szCs w:val="20"/>
          <w:color w:val="auto"/>
        </w:rPr>
      </w:pPr>
    </w:p>
    <w:p>
      <w:pPr>
        <w:jc w:val="both"/>
        <w:ind w:left="500" w:right="20"/>
        <w:spacing w:after="0" w:line="282" w:lineRule="auto"/>
        <w:rPr>
          <w:sz w:val="20"/>
          <w:szCs w:val="20"/>
          <w:color w:val="auto"/>
        </w:rPr>
      </w:pPr>
      <w:r>
        <w:rPr>
          <w:rFonts w:ascii="Times New Roman" w:cs="Times New Roman" w:eastAsia="Times New Roman" w:hAnsi="Times New Roman"/>
          <w:sz w:val="18"/>
          <w:szCs w:val="18"/>
          <w:color w:val="auto"/>
        </w:rPr>
        <w:t>See Note 16 to the Consolidated Financial Statements included under Item 8 of this Annual Report for more information with respect to our operating lease obligations.</w:t>
      </w:r>
    </w:p>
    <w:p>
      <w:pPr>
        <w:spacing w:after="0" w:line="158"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8"/>
          <w:szCs w:val="18"/>
          <w:color w:val="auto"/>
        </w:rPr>
        <w:t>LEGAL PROCEEDINGS</w:t>
      </w:r>
    </w:p>
    <w:p>
      <w:pPr>
        <w:spacing w:after="0" w:line="22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37"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color w:val="auto"/>
        </w:rPr>
        <w:t>MINE SAFETY DISCLOSURES</w:t>
      </w:r>
    </w:p>
    <w:p>
      <w:pPr>
        <w:spacing w:after="0" w:line="22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EXECUTIVE OFFICERS OF THE REGISTRANT</w:t>
      </w:r>
    </w:p>
    <w:p>
      <w:pPr>
        <w:spacing w:after="0" w:line="225" w:lineRule="exact"/>
        <w:rPr>
          <w:sz w:val="20"/>
          <w:szCs w:val="20"/>
          <w:color w:val="auto"/>
        </w:rPr>
      </w:pPr>
    </w:p>
    <w:p>
      <w:pPr>
        <w:jc w:val="both"/>
        <w:ind w:left="500"/>
        <w:spacing w:after="0" w:line="266" w:lineRule="auto"/>
        <w:rPr>
          <w:sz w:val="20"/>
          <w:szCs w:val="20"/>
          <w:color w:val="auto"/>
        </w:rPr>
      </w:pPr>
      <w:r>
        <w:rPr>
          <w:rFonts w:ascii="Times New Roman" w:cs="Times New Roman" w:eastAsia="Times New Roman" w:hAnsi="Times New Roman"/>
          <w:sz w:val="18"/>
          <w:szCs w:val="18"/>
          <w:color w:val="auto"/>
        </w:rPr>
        <w:t>David C. Baker, 58, joined the Company in 2005 as Director, Store Operations. From 2006 to 2015 he served as Vice President – Corporate Retail, and currently serves as Senior Vice President, Corporate Retail. Prior to joining Bassett, Mr. Baker managed Bassett stores for licensees from 1999 to 2005 after having previously managed stores for other furniture retail chains including Haverty’s and Rhodes Furniture.</w:t>
      </w:r>
    </w:p>
    <w:p>
      <w:pPr>
        <w:spacing w:after="0" w:line="176" w:lineRule="exact"/>
        <w:rPr>
          <w:sz w:val="20"/>
          <w:szCs w:val="20"/>
          <w:color w:val="auto"/>
        </w:rPr>
      </w:pPr>
    </w:p>
    <w:p>
      <w:pPr>
        <w:jc w:val="both"/>
        <w:ind w:left="500"/>
        <w:spacing w:after="0" w:line="266" w:lineRule="auto"/>
        <w:rPr>
          <w:sz w:val="20"/>
          <w:szCs w:val="20"/>
          <w:color w:val="auto"/>
        </w:rPr>
      </w:pPr>
      <w:r>
        <w:rPr>
          <w:rFonts w:ascii="Times New Roman" w:cs="Times New Roman" w:eastAsia="Times New Roman" w:hAnsi="Times New Roman"/>
          <w:sz w:val="18"/>
          <w:szCs w:val="18"/>
          <w:color w:val="auto"/>
        </w:rPr>
        <w:t>John E. Bassett III, 60, has been with the Company since 1981 and served in various wood manufacturing and product sourcing capacities, including Vice President, Wood Manufacturing; Vice-President, Global Sourcing from 2001 to 2007 and Vice President, Wood in 2008. He was appointed Senior Vice President, Wood in 2009.</w:t>
      </w:r>
    </w:p>
    <w:p>
      <w:pPr>
        <w:spacing w:after="0" w:line="176" w:lineRule="exact"/>
        <w:rPr>
          <w:sz w:val="20"/>
          <w:szCs w:val="20"/>
          <w:color w:val="auto"/>
        </w:rPr>
      </w:pPr>
    </w:p>
    <w:p>
      <w:pPr>
        <w:jc w:val="both"/>
        <w:ind w:left="500"/>
        <w:spacing w:after="0" w:line="266" w:lineRule="auto"/>
        <w:rPr>
          <w:sz w:val="20"/>
          <w:szCs w:val="20"/>
          <w:color w:val="auto"/>
        </w:rPr>
      </w:pPr>
      <w:r>
        <w:rPr>
          <w:rFonts w:ascii="Times New Roman" w:cs="Times New Roman" w:eastAsia="Times New Roman" w:hAnsi="Times New Roman"/>
          <w:sz w:val="18"/>
          <w:szCs w:val="18"/>
          <w:color w:val="auto"/>
        </w:rPr>
        <w:t>Bruce R. Cohenour, 60, has been with the Company since 2011, starting as Senior Vice President of Upholstery Merchandising and serving as Senior Vice President of Sales and Merchandising since January 2013. Prior to joining Bassett, Mr. Cohenour was with Hooker Furniture Corp. from 2007 through 2010, last serving as President of the Case Goods Division.</w:t>
      </w:r>
    </w:p>
    <w:p>
      <w:pPr>
        <w:spacing w:after="0" w:line="176" w:lineRule="exact"/>
        <w:rPr>
          <w:sz w:val="20"/>
          <w:szCs w:val="20"/>
          <w:color w:val="auto"/>
        </w:rPr>
      </w:pPr>
    </w:p>
    <w:p>
      <w:pPr>
        <w:jc w:val="both"/>
        <w:ind w:left="500"/>
        <w:spacing w:after="0" w:line="266" w:lineRule="auto"/>
        <w:rPr>
          <w:sz w:val="20"/>
          <w:szCs w:val="20"/>
          <w:color w:val="auto"/>
        </w:rPr>
      </w:pPr>
      <w:r>
        <w:rPr>
          <w:rFonts w:ascii="Times New Roman" w:cs="Times New Roman" w:eastAsia="Times New Roman" w:hAnsi="Times New Roman"/>
          <w:sz w:val="18"/>
          <w:szCs w:val="18"/>
          <w:color w:val="auto"/>
        </w:rPr>
        <w:t>J. Michael Daniel, 57, joined the Company in 2007 as Corporate Controller. From April 2009 through December 2009, he served as Corporate Controller and Interim Chief Financial Officer. In January 2010, he was appointed Vice President and Chief Accounting Officer. In January 2013, he was promoted to Senior Vice President and Chief Financial Officer.</w:t>
      </w:r>
    </w:p>
    <w:p>
      <w:pPr>
        <w:spacing w:after="0" w:line="176" w:lineRule="exact"/>
        <w:rPr>
          <w:sz w:val="20"/>
          <w:szCs w:val="20"/>
          <w:color w:val="auto"/>
        </w:rPr>
      </w:pPr>
    </w:p>
    <w:p>
      <w:pPr>
        <w:jc w:val="both"/>
        <w:ind w:left="500"/>
        <w:spacing w:after="0" w:line="266" w:lineRule="auto"/>
        <w:rPr>
          <w:sz w:val="20"/>
          <w:szCs w:val="20"/>
          <w:color w:val="auto"/>
        </w:rPr>
      </w:pPr>
      <w:r>
        <w:rPr>
          <w:rFonts w:ascii="Times New Roman" w:cs="Times New Roman" w:eastAsia="Times New Roman" w:hAnsi="Times New Roman"/>
          <w:sz w:val="18"/>
          <w:szCs w:val="18"/>
          <w:color w:val="auto"/>
        </w:rPr>
        <w:t>Jack L. Hawn, 65, has been with the Company since 2015 as Senior Vice President, Bassett and President, Zenith. His company, Zenith Transportation, Inc., was majority owner of Zenith (Zenith Freight Lines, LLC) from 1999 until its interest in Zenith was acquired by the Company in 2015. He has served as President of Zenith since its formation in 1999.</w:t>
      </w:r>
    </w:p>
    <w:p>
      <w:pPr>
        <w:spacing w:after="0" w:line="176"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Jay R. Hervey, Esq., 59, has served as the General Counsel, Vice President and Secretary for the Company since 1997.</w:t>
      </w:r>
    </w:p>
    <w:p>
      <w:pPr>
        <w:spacing w:after="0" w:line="225" w:lineRule="exact"/>
        <w:rPr>
          <w:sz w:val="20"/>
          <w:szCs w:val="20"/>
          <w:color w:val="auto"/>
        </w:rPr>
      </w:pPr>
    </w:p>
    <w:p>
      <w:pPr>
        <w:jc w:val="both"/>
        <w:ind w:left="500"/>
        <w:spacing w:after="0" w:line="282" w:lineRule="auto"/>
        <w:rPr>
          <w:sz w:val="20"/>
          <w:szCs w:val="20"/>
          <w:color w:val="auto"/>
        </w:rPr>
      </w:pPr>
      <w:r>
        <w:rPr>
          <w:rFonts w:ascii="Times New Roman" w:cs="Times New Roman" w:eastAsia="Times New Roman" w:hAnsi="Times New Roman"/>
          <w:sz w:val="18"/>
          <w:szCs w:val="18"/>
          <w:color w:val="auto"/>
        </w:rPr>
        <w:t>Mark S. Jordan, 65, joined the Company in 1999 as Plant Manager. In 2001, he was promoted to Vice President of Upholstery Manufacturing and in 2002 he was promoted to Vice President and General Manager-Upholstery. He has served as Senior Vice President of Upholstery since 2009.</w:t>
      </w:r>
    </w:p>
    <w:p>
      <w:pPr>
        <w:spacing w:after="0" w:line="162" w:lineRule="exact"/>
        <w:rPr>
          <w:sz w:val="20"/>
          <w:szCs w:val="20"/>
          <w:color w:val="auto"/>
        </w:rPr>
      </w:pPr>
    </w:p>
    <w:p>
      <w:pPr>
        <w:jc w:val="both"/>
        <w:ind w:left="500" w:right="20"/>
        <w:spacing w:after="0" w:line="282" w:lineRule="auto"/>
        <w:rPr>
          <w:sz w:val="20"/>
          <w:szCs w:val="20"/>
          <w:color w:val="auto"/>
        </w:rPr>
      </w:pPr>
      <w:r>
        <w:rPr>
          <w:rFonts w:ascii="Times New Roman" w:cs="Times New Roman" w:eastAsia="Times New Roman" w:hAnsi="Times New Roman"/>
          <w:sz w:val="18"/>
          <w:szCs w:val="18"/>
          <w:color w:val="auto"/>
        </w:rPr>
        <w:t>Robert H. Spilman, Jr., 62, has been with the Company since 1984. Since 2000, he has served as Chief Executive Officer and President, and in 2016 also became the Chairman of the Board of Directors.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PART II</w:t>
      </w:r>
    </w:p>
    <w:p>
      <w:pPr>
        <w:spacing w:after="0" w:line="225" w:lineRule="exact"/>
        <w:rPr>
          <w:sz w:val="20"/>
          <w:szCs w:val="20"/>
          <w:color w:val="auto"/>
        </w:rPr>
      </w:pPr>
    </w:p>
    <w:p>
      <w:pPr>
        <w:ind w:left="980" w:right="100" w:hanging="971"/>
        <w:spacing w:after="0" w:line="282" w:lineRule="auto"/>
        <w:tabs>
          <w:tab w:leader="none" w:pos="96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8"/>
          <w:szCs w:val="18"/>
          <w:color w:val="auto"/>
        </w:rPr>
        <w:t>MARKET FOR REGISTRANT’S COMMON EQUITY, RELATED STOCKHOLDER MATTERS AND ISSUER PURCHASES OF EQUITY SECURITIES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Information:</w:t>
      </w:r>
    </w:p>
    <w:p>
      <w:pPr>
        <w:spacing w:after="0" w:line="229"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Bassett’s common stock trades on the NASDAQ global select market system under the symbol “BSET.” We had approximately 3,200 beneficial stockholders at January 10,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Issuer Purchases of Equity Securities: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authorized to repurchase Company stock under a plan which was originally announced in 1998. On October 3, 2018, the Board of Directors increased the remaining limit of the repurchase plan to $20 million. The repurchase program does not include a specific time table or price targets and may be suspended or terminated at any time. Shares may be purchased through open market or privately negotiated transactions at the discretion of management based on its evaluation of prevailing market conditions and other factors. The following table summarizes the stock repurchase activity for the three months ended November 24, 2018 and the approximate dollar value of shares that may yet be purchased pursuant to our stock repurchase program:</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Issuer Purchases of Equity Securities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(dollar amounts in thousands, except share and per share data)</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Total Number of Shares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Approximate Dollar Value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3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Purchased as Part of</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of Shares that May Yet Be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Shares</w:t>
            </w:r>
          </w:p>
        </w:tc>
        <w:tc>
          <w:tcPr>
            <w:tcW w:w="120" w:type="dxa"/>
            <w:vAlign w:val="bottom"/>
          </w:tcPr>
          <w:p>
            <w:pPr>
              <w:spacing w:after="0"/>
              <w:rPr>
                <w:sz w:val="18"/>
                <w:szCs w:val="18"/>
                <w:color w:val="auto"/>
              </w:rPr>
            </w:pPr>
          </w:p>
        </w:tc>
        <w:tc>
          <w:tcPr>
            <w:tcW w:w="12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6"/>
              </w:rPr>
              <w:t>Average</w:t>
            </w:r>
          </w:p>
        </w:tc>
        <w:tc>
          <w:tcPr>
            <w:tcW w:w="23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Publicly Announced Plans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Purchased Under the Plans</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3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Purchased</w:t>
            </w:r>
          </w:p>
        </w:tc>
        <w:tc>
          <w:tcPr>
            <w:tcW w:w="120" w:type="dxa"/>
            <w:vAlign w:val="bottom"/>
          </w:tcPr>
          <w:p>
            <w:pPr>
              <w:spacing w:after="0"/>
              <w:rPr>
                <w:sz w:val="20"/>
                <w:szCs w:val="20"/>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Price Paid</w:t>
            </w:r>
          </w:p>
        </w:tc>
        <w:tc>
          <w:tcPr>
            <w:tcW w:w="23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or Programs</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or Programs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3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2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August 26 - September 29, 2018</w:t>
            </w:r>
          </w:p>
        </w:tc>
        <w:tc>
          <w:tcPr>
            <w:tcW w:w="13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38,000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21.90</w:t>
            </w:r>
          </w:p>
        </w:tc>
        <w:tc>
          <w:tcPr>
            <w:tcW w:w="238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38,000</w:t>
            </w:r>
          </w:p>
        </w:tc>
        <w:tc>
          <w:tcPr>
            <w:tcW w:w="3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7,773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September 30 - October 27, 2018</w:t>
            </w:r>
          </w:p>
        </w:tc>
        <w:tc>
          <w:tcPr>
            <w:tcW w:w="13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86,000</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21.16</w:t>
            </w:r>
          </w:p>
        </w:tc>
        <w:tc>
          <w:tcPr>
            <w:tcW w:w="238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86,000</w:t>
            </w:r>
          </w:p>
        </w:tc>
        <w:tc>
          <w:tcPr>
            <w:tcW w:w="3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2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18,430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October 28 - November 24, 2018</w:t>
            </w:r>
          </w:p>
        </w:tc>
        <w:tc>
          <w:tcPr>
            <w:tcW w:w="13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22,400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19.90</w:t>
            </w:r>
          </w:p>
        </w:tc>
        <w:tc>
          <w:tcPr>
            <w:tcW w:w="238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22,400</w:t>
            </w:r>
          </w:p>
        </w:tc>
        <w:tc>
          <w:tcPr>
            <w:tcW w:w="3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17,984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11</w:t>
            </w:r>
          </w:p>
        </w:tc>
        <w:tc>
          <w:tcPr>
            <w:tcW w:w="2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64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3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14" w:name="page15"/>
    <w:bookmarkEnd w:id="14"/>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color w:val="auto"/>
        </w:rPr>
        <w:t>SELECTED FINANCIAL DATA</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selected financial data set forth below for the fiscal years indicated were derived from our audited consolidated financial statements. The information should be read in conjunction with our consolidated financial statements (including the notes thereto) and “Management’s Discussion and Analysis of Financial Condition and Results of Operations” appearing elsewhere in, or incorporated by reference into, this report.</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1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0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2015</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6"/>
        </w:trPr>
        <w:tc>
          <w:tcPr>
            <w:tcW w:w="20" w:type="dxa"/>
            <w:vAlign w:val="bottom"/>
            <w:vMerge w:val="restart"/>
          </w:tcPr>
          <w:p>
            <w:pPr>
              <w:spacing w:after="0"/>
              <w:rPr>
                <w:sz w:val="24"/>
                <w:szCs w:val="24"/>
                <w:color w:val="auto"/>
              </w:rPr>
            </w:pPr>
          </w:p>
        </w:tc>
        <w:tc>
          <w:tcPr>
            <w:tcW w:w="30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456,855</w:t>
            </w:r>
          </w:p>
        </w:tc>
        <w:tc>
          <w:tcPr>
            <w:tcW w:w="3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452,503</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432,038</w:t>
            </w:r>
          </w:p>
        </w:tc>
        <w:tc>
          <w:tcPr>
            <w:tcW w:w="3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430,927</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(1)</w:t>
            </w: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340,738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Operating income</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14,084</w:t>
            </w:r>
          </w:p>
        </w:tc>
        <w:tc>
          <w:tcPr>
            <w:tcW w:w="3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27,018</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28,193</w:t>
            </w:r>
          </w:p>
        </w:tc>
        <w:tc>
          <w:tcPr>
            <w:tcW w:w="3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25,989</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(2)</w:t>
            </w:r>
          </w:p>
        </w:tc>
        <w:tc>
          <w:tcPr>
            <w:tcW w:w="3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15,131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 (loss), net</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3"/>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(1,878)</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858</w:t>
            </w: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3"/>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(2,416)(4)</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5,879</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(4)</w:t>
            </w: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12,206</w:t>
            </w:r>
          </w:p>
        </w:tc>
        <w:tc>
          <w:tcPr>
            <w:tcW w:w="3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27,876</w:t>
            </w:r>
          </w:p>
        </w:tc>
        <w:tc>
          <w:tcPr>
            <w:tcW w:w="300" w:type="dxa"/>
            <w:vAlign w:val="bottom"/>
          </w:tcPr>
          <w:p>
            <w:pPr>
              <w:spacing w:after="0"/>
              <w:rPr>
                <w:sz w:val="18"/>
                <w:szCs w:val="18"/>
                <w:color w:val="auto"/>
              </w:rPr>
            </w:pP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25,777</w:t>
            </w:r>
          </w:p>
        </w:tc>
        <w:tc>
          <w:tcPr>
            <w:tcW w:w="36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31,868</w:t>
            </w:r>
          </w:p>
        </w:tc>
        <w:tc>
          <w:tcPr>
            <w:tcW w:w="280" w:type="dxa"/>
            <w:vAlign w:val="bottom"/>
          </w:tcPr>
          <w:p>
            <w:pPr>
              <w:spacing w:after="0"/>
              <w:rPr>
                <w:sz w:val="18"/>
                <w:szCs w:val="18"/>
                <w:color w:val="auto"/>
              </w:rPr>
            </w:pPr>
          </w:p>
        </w:tc>
        <w:tc>
          <w:tcPr>
            <w:tcW w:w="3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14,607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3,988</w:t>
            </w:r>
          </w:p>
        </w:tc>
        <w:tc>
          <w:tcPr>
            <w:tcW w:w="3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9,620</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9,948</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11,435</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8,218</w:t>
            </w:r>
          </w:p>
        </w:tc>
        <w:tc>
          <w:tcPr>
            <w:tcW w:w="3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18,256</w:t>
            </w:r>
          </w:p>
        </w:tc>
        <w:tc>
          <w:tcPr>
            <w:tcW w:w="300" w:type="dxa"/>
            <w:vAlign w:val="bottom"/>
          </w:tcPr>
          <w:p>
            <w:pPr>
              <w:spacing w:after="0"/>
              <w:rPr>
                <w:sz w:val="18"/>
                <w:szCs w:val="18"/>
                <w:color w:val="auto"/>
              </w:rPr>
            </w:pP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15,829</w:t>
            </w:r>
          </w:p>
        </w:tc>
        <w:tc>
          <w:tcPr>
            <w:tcW w:w="36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20,433</w:t>
            </w:r>
          </w:p>
        </w:tc>
        <w:tc>
          <w:tcPr>
            <w:tcW w:w="280" w:type="dxa"/>
            <w:vAlign w:val="bottom"/>
          </w:tcPr>
          <w:p>
            <w:pPr>
              <w:spacing w:after="0"/>
              <w:rPr>
                <w:sz w:val="18"/>
                <w:szCs w:val="18"/>
                <w:color w:val="auto"/>
              </w:rPr>
            </w:pPr>
          </w:p>
        </w:tc>
        <w:tc>
          <w:tcPr>
            <w:tcW w:w="3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9,299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0.77</w:t>
            </w: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1.70</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1.46</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1.88</w:t>
            </w:r>
          </w:p>
        </w:tc>
        <w:tc>
          <w:tcPr>
            <w:tcW w:w="28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Cash dividends declared</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5,041</w:t>
            </w:r>
          </w:p>
        </w:tc>
        <w:tc>
          <w:tcPr>
            <w:tcW w:w="3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8,266</w:t>
            </w:r>
          </w:p>
        </w:tc>
        <w:tc>
          <w:tcPr>
            <w:tcW w:w="300" w:type="dxa"/>
            <w:vAlign w:val="bottom"/>
          </w:tcPr>
          <w:p>
            <w:pPr>
              <w:spacing w:after="0"/>
              <w:rPr>
                <w:sz w:val="18"/>
                <w:szCs w:val="18"/>
                <w:color w:val="auto"/>
              </w:rPr>
            </w:pP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7,345</w:t>
            </w:r>
          </w:p>
        </w:tc>
        <w:tc>
          <w:tcPr>
            <w:tcW w:w="36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5,868</w:t>
            </w:r>
          </w:p>
        </w:tc>
        <w:tc>
          <w:tcPr>
            <w:tcW w:w="280" w:type="dxa"/>
            <w:vAlign w:val="bottom"/>
          </w:tcPr>
          <w:p>
            <w:pPr>
              <w:spacing w:after="0"/>
              <w:rPr>
                <w:sz w:val="18"/>
                <w:szCs w:val="18"/>
                <w:color w:val="auto"/>
              </w:rPr>
            </w:pPr>
          </w:p>
        </w:tc>
        <w:tc>
          <w:tcPr>
            <w:tcW w:w="3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dividends per share</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0.47</w:t>
            </w: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0.77</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0.68</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0.54</w:t>
            </w:r>
          </w:p>
        </w:tc>
        <w:tc>
          <w:tcPr>
            <w:tcW w:w="28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291,641</w:t>
            </w:r>
          </w:p>
        </w:tc>
        <w:tc>
          <w:tcPr>
            <w:tcW w:w="3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293,748</w:t>
            </w:r>
          </w:p>
        </w:tc>
        <w:tc>
          <w:tcPr>
            <w:tcW w:w="300" w:type="dxa"/>
            <w:vAlign w:val="bottom"/>
          </w:tcPr>
          <w:p>
            <w:pPr>
              <w:spacing w:after="0"/>
              <w:rPr>
                <w:sz w:val="18"/>
                <w:szCs w:val="18"/>
                <w:color w:val="auto"/>
              </w:rPr>
            </w:pP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278,267</w:t>
            </w:r>
          </w:p>
        </w:tc>
        <w:tc>
          <w:tcPr>
            <w:tcW w:w="36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282,543</w:t>
            </w:r>
          </w:p>
        </w:tc>
        <w:tc>
          <w:tcPr>
            <w:tcW w:w="280" w:type="dxa"/>
            <w:vAlign w:val="bottom"/>
          </w:tcPr>
          <w:p>
            <w:pPr>
              <w:spacing w:after="0"/>
              <w:rPr>
                <w:sz w:val="18"/>
                <w:szCs w:val="18"/>
                <w:color w:val="auto"/>
              </w:rPr>
            </w:pPr>
          </w:p>
        </w:tc>
        <w:tc>
          <w:tcPr>
            <w:tcW w:w="3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240,746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Long-term debt</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329</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3,821</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8,500</w:t>
            </w:r>
          </w:p>
        </w:tc>
        <w:tc>
          <w:tcPr>
            <w:tcW w:w="28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Current ratio</w:t>
            </w:r>
          </w:p>
        </w:tc>
        <w:tc>
          <w:tcPr>
            <w:tcW w:w="10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1.82 to 1</w:t>
            </w: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1.91 to 1</w:t>
            </w: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1.83 to 1</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1.84 to 1</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1.95 to 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Book value per share</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18.08</w:t>
            </w: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17.83</w:t>
            </w:r>
          </w:p>
        </w:tc>
        <w:tc>
          <w:tcPr>
            <w:tcW w:w="3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16.85</w:t>
            </w:r>
          </w:p>
        </w:tc>
        <w:tc>
          <w:tcPr>
            <w:tcW w:w="3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16.25</w:t>
            </w:r>
          </w:p>
        </w:tc>
        <w:tc>
          <w:tcPr>
            <w:tcW w:w="28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14.95</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660" w:right="620" w:hanging="328"/>
        <w:spacing w:after="0" w:line="261"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Fiscal 2018, 2017, 2016 and 2015 included logistical services revenue from Zenith in the amount of $54,386, $54,406, $54,842 and $43,522, respectively, since the acquisition of Zenith on February 2, 2015.</w:t>
      </w:r>
    </w:p>
    <w:p>
      <w:pPr>
        <w:ind w:left="660" w:right="180" w:hanging="328"/>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Fiscal 2018 operating income includes restructuring and asset impairment charges and lease exit costs totaling $770. Fiscal 2017 operating income includes a gain of $1,220 resulting from the sale of our retail store in Las Vegas, Nevada. Fiscal 2016 operating income includes the benefit of a $1,428 award received from the settlement of class action litigation. Fiscal 2015 included restructuring and asset impairment charges and lease exit costs totaling $974. See Note 15 to the Consolidated Financial Statements for additional information related to each of these items.</w:t>
      </w:r>
    </w:p>
    <w:p>
      <w:pPr>
        <w:spacing w:after="0" w:line="1" w:lineRule="exact"/>
        <w:rPr>
          <w:rFonts w:ascii="Times New Roman" w:cs="Times New Roman" w:eastAsia="Times New Roman" w:hAnsi="Times New Roman"/>
          <w:sz w:val="18"/>
          <w:szCs w:val="18"/>
          <w:color w:val="auto"/>
        </w:rPr>
      </w:pPr>
    </w:p>
    <w:p>
      <w:pPr>
        <w:ind w:left="660" w:right="320" w:hanging="328"/>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Fiscal 2017 includes $4,221 of gains resulting from the sale of investments (see Note 9 to the Consolidated Financial Statements), an impairment charge of $1,084 retail real estate held for investment (see Note 2 to the Consolidated Financial Statements).</w:t>
      </w:r>
    </w:p>
    <w:p>
      <w:pPr>
        <w:ind w:left="660" w:right="520" w:hanging="328"/>
        <w:spacing w:after="0" w:line="250"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Fiscal 2015 includes a remeasurement gain of $7,212 arising from our acquisition of Zenith. Fiscal 2015 and 2014 include $240 and $1,156 of income received from the Continued Dumping and Subsidy Offset Act (“CDSOA”), respectively.</w:t>
      </w:r>
    </w:p>
    <w:p>
      <w:pPr>
        <w:ind w:left="660" w:right="180" w:hanging="328"/>
        <w:spacing w:after="0" w:line="261"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Fiscal 2018 income tax expense includes a charge of $1,331 resulting from the remeasurement of our deferred tax assets following the reduction of federal income tax rates with the enactment of the Tax Cuts and Jobs Act (see Note 14 to the Consolidated Financial Statements).</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15" w:name="page16"/>
    <w:bookmarkEnd w:id="15"/>
    <w:p>
      <w:pPr>
        <w:ind w:left="980" w:right="1520" w:hanging="3696"/>
        <w:spacing w:after="0" w:line="282" w:lineRule="auto"/>
        <w:tabs>
          <w:tab w:leader="none" w:pos="96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8"/>
          <w:szCs w:val="18"/>
          <w:color w:val="auto"/>
        </w:rPr>
        <w:t>MANAGEMENT’S DISCUSSION AND ANALYSIS OF FINANCIAL CONDITION AND RESULTS OF OPERATIONS (Amounts in thousands except share and per share data)</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116-year history has instilled the principles of quality, value, and integrity in everything we do, while simultaneously providing us with the expertise to respond to ever-changing consumer tastes and meet the demands of a global economy.</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With 97 BHF stores at November 24, 2018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BHF stores feature custom order furniture, free in-home design visits (“home makeovers”), and coordinated decorating accessories. Our philosophy is based on building strong long-term relationships with each customer. Sales people are referred to as “Design Consultants” and are trained to evaluate customer needs and provide comprehensive solutions for their home decor. Until a rigorous training and design certification program is completed, Design Consultants are not authorized to perform in-home design services for our customers.</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factories in Newton, North Carolina and Grand Prairie, Texas that manufacture custom upholstered furniture, a factory in Martinsville, Virginia that primarily assembles and finishes our custom casual dining offerings and a factory in Bassett, Virginia that assembles and finishes our “Bench Made” line of custom, solid hardwood furniture.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and China. Over 70% of the products we currently sell are manufactured in the United States.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own Zenith Freight Lines, LLC (“Zenith”) which provides logistical services to Bassett along with other furniture manufacturers and retailers. Zenith delivers best-of-class shipping and logistical support services that are uniquely tailored to the needs of Bassett and the furniture industry. Approximately 65% of Zenith’s revenue is generated from services provided to non-Bassett customers.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for $15,556 in cash. Lane Venture is a manufacturer and distributor of premium outdoor furniture, and is now being operated as a component of our wholesale segment. This acquisition marks our entry into the market for outdoor furniture and we believe that Lane Venture will provide a foundation for us to become a significant participant in this category. We plan to distribute this brand outside of our Bassett store network with plans to introduce a Bassett-branded line in the stores in the near future. See Note 3 to our consolidated financial statements for additional details regarding this acquisition.</w:t>
      </w:r>
    </w:p>
    <w:p>
      <w:pPr>
        <w:spacing w:after="0" w:line="1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At November 24, 2018, our BHF store network included 65 Company-owned stores and 32 licensee-owned stores. During fiscal 2018, we opened new stores in Chandler, Arizona; Summerlin, Nevada; Oklahoma City, Oklahoma; El Paso, Texas; and Frisco, Texas and completed the repositioning of one store in the Houston, Texas market. In addition, licensees opened new stores in La Jolla, California and Daly City, California. We also opened a new 16,000 square foot clearance center in Middletown, New York in the third quarter of 2018. Because the nature of this store will differ significantly from the other stores in the BHF network, offering only clearance merchandise at reduced price points and without design consulting services, we will not include this location in our reporting of comparable store results in the future. During fiscal 2018 we closed one underperforming store in San Antonio, Texas.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16" w:name="page17"/>
    <w:bookmarkEnd w:id="16"/>
    <w:p>
      <w:pPr>
        <w:jc w:val="both"/>
        <w:spacing w:after="0" w:line="282" w:lineRule="auto"/>
        <w:rPr>
          <w:sz w:val="20"/>
          <w:szCs w:val="20"/>
          <w:color w:val="auto"/>
        </w:rPr>
      </w:pPr>
      <w:r>
        <w:rPr>
          <w:rFonts w:ascii="Times New Roman" w:cs="Times New Roman" w:eastAsia="Times New Roman" w:hAnsi="Times New Roman"/>
          <w:sz w:val="18"/>
          <w:szCs w:val="18"/>
          <w:color w:val="auto"/>
        </w:rPr>
        <w:t>We continue to execute our strategy of growing the Company through opening new stores, repositioning stores to improved locations within a market and closing underperforming stores. The following table shows planned store openings where leases have been executed:</w:t>
      </w:r>
    </w:p>
    <w:p>
      <w:pPr>
        <w:spacing w:after="0" w:line="162" w:lineRule="exact"/>
        <w:rPr>
          <w:sz w:val="20"/>
          <w:szCs w:val="20"/>
          <w:color w:val="auto"/>
        </w:rPr>
      </w:pPr>
    </w:p>
    <w:tbl>
      <w:tblPr>
        <w:tblLayout w:type="fixed"/>
        <w:tblInd w:w="162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000" w:type="dxa"/>
            <w:vAlign w:val="bottom"/>
          </w:tcPr>
          <w:p>
            <w:pPr>
              <w:jc w:val="center"/>
              <w:ind w:left="390"/>
              <w:spacing w:after="0"/>
              <w:rPr>
                <w:sz w:val="20"/>
                <w:szCs w:val="20"/>
                <w:color w:val="auto"/>
              </w:rPr>
            </w:pPr>
            <w:r>
              <w:rPr>
                <w:rFonts w:ascii="Times New Roman" w:cs="Times New Roman" w:eastAsia="Times New Roman" w:hAnsi="Times New Roman"/>
                <w:sz w:val="18"/>
                <w:szCs w:val="18"/>
                <w:color w:val="auto"/>
              </w:rPr>
              <w:t>Size</w:t>
            </w:r>
          </w:p>
        </w:tc>
        <w:tc>
          <w:tcPr>
            <w:tcW w:w="760" w:type="dxa"/>
            <w:vAlign w:val="bottom"/>
          </w:tcPr>
          <w:p>
            <w:pPr>
              <w:spacing w:after="0"/>
              <w:rPr>
                <w:sz w:val="19"/>
                <w:szCs w:val="19"/>
                <w:color w:val="auto"/>
              </w:rPr>
            </w:pPr>
          </w:p>
        </w:tc>
        <w:tc>
          <w:tcPr>
            <w:tcW w:w="128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Planned</w:t>
            </w:r>
          </w:p>
        </w:tc>
        <w:tc>
          <w:tcPr>
            <w:tcW w:w="0" w:type="dxa"/>
            <w:vAlign w:val="bottom"/>
          </w:tcPr>
          <w:p>
            <w:pPr>
              <w:spacing w:after="0"/>
              <w:rPr>
                <w:sz w:val="1"/>
                <w:szCs w:val="1"/>
                <w:color w:val="auto"/>
              </w:rPr>
            </w:pPr>
          </w:p>
        </w:tc>
      </w:tr>
      <w:tr>
        <w:trPr>
          <w:trHeight w:val="234"/>
        </w:trPr>
        <w:tc>
          <w:tcPr>
            <w:tcW w:w="51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Location</w:t>
            </w:r>
          </w:p>
        </w:tc>
        <w:tc>
          <w:tcPr>
            <w:tcW w:w="156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1"/>
              </w:rPr>
              <w:t>Type</w:t>
            </w:r>
          </w:p>
        </w:tc>
        <w:tc>
          <w:tcPr>
            <w:tcW w:w="1000" w:type="dxa"/>
            <w:vAlign w:val="bottom"/>
          </w:tcPr>
          <w:p>
            <w:pPr>
              <w:jc w:val="center"/>
              <w:ind w:left="390"/>
              <w:spacing w:after="0"/>
              <w:rPr>
                <w:sz w:val="20"/>
                <w:szCs w:val="20"/>
                <w:color w:val="auto"/>
              </w:rPr>
            </w:pPr>
            <w:r>
              <w:rPr>
                <w:rFonts w:ascii="Times New Roman" w:cs="Times New Roman" w:eastAsia="Times New Roman" w:hAnsi="Times New Roman"/>
                <w:sz w:val="18"/>
                <w:szCs w:val="18"/>
                <w:color w:val="auto"/>
              </w:rPr>
              <w:t>Sq. Ft.</w:t>
            </w:r>
          </w:p>
        </w:tc>
        <w:tc>
          <w:tcPr>
            <w:tcW w:w="760" w:type="dxa"/>
            <w:vAlign w:val="bottom"/>
          </w:tcPr>
          <w:p>
            <w:pPr>
              <w:spacing w:after="0"/>
              <w:rPr>
                <w:sz w:val="20"/>
                <w:szCs w:val="20"/>
                <w:color w:val="auto"/>
              </w:rPr>
            </w:pPr>
          </w:p>
        </w:tc>
        <w:tc>
          <w:tcPr>
            <w:tcW w:w="12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Opening</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i w:val="1"/>
                <w:iCs w:val="1"/>
                <w:color w:val="auto"/>
              </w:rPr>
              <w:t>New Stores:</w:t>
            </w:r>
          </w:p>
        </w:tc>
        <w:tc>
          <w:tcPr>
            <w:tcW w:w="156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Coral Gables, FL</w:t>
            </w:r>
          </w:p>
        </w:tc>
        <w:tc>
          <w:tcPr>
            <w:tcW w:w="156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tcPr>
          <w:p>
            <w:pPr>
              <w:spacing w:after="0"/>
              <w:rPr>
                <w:sz w:val="18"/>
                <w:szCs w:val="18"/>
                <w:color w:val="auto"/>
              </w:rPr>
            </w:pPr>
          </w:p>
        </w:tc>
        <w:tc>
          <w:tcPr>
            <w:tcW w:w="7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6"/>
              </w:rPr>
              <w:t>10,000</w:t>
            </w:r>
          </w:p>
        </w:tc>
        <w:tc>
          <w:tcPr>
            <w:tcW w:w="12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Q1 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Boise, ID</w:t>
            </w:r>
          </w:p>
        </w:tc>
        <w:tc>
          <w:tcPr>
            <w:tcW w:w="1560" w:type="dxa"/>
            <w:vAlign w:val="bottom"/>
            <w:shd w:val="clear" w:color="auto" w:fill="CCEEFF"/>
          </w:tcPr>
          <w:p>
            <w:pPr>
              <w:jc w:val="center"/>
              <w:ind w:right="90"/>
              <w:spacing w:after="0"/>
              <w:rPr>
                <w:sz w:val="20"/>
                <w:szCs w:val="20"/>
                <w:color w:val="auto"/>
              </w:rPr>
            </w:pPr>
            <w:r>
              <w:rPr>
                <w:rFonts w:ascii="Times New Roman" w:cs="Times New Roman" w:eastAsia="Times New Roman" w:hAnsi="Times New Roman"/>
                <w:sz w:val="18"/>
                <w:szCs w:val="18"/>
                <w:color w:val="auto"/>
              </w:rPr>
              <w:t>Licensed</w:t>
            </w: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6"/>
              </w:rPr>
              <w:t>11,000</w:t>
            </w:r>
          </w:p>
        </w:tc>
        <w:tc>
          <w:tcPr>
            <w:tcW w:w="12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Q1 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Columbus, OH</w:t>
            </w:r>
          </w:p>
        </w:tc>
        <w:tc>
          <w:tcPr>
            <w:tcW w:w="156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tcPr>
          <w:p>
            <w:pPr>
              <w:spacing w:after="0"/>
              <w:rPr>
                <w:sz w:val="18"/>
                <w:szCs w:val="18"/>
                <w:color w:val="auto"/>
              </w:rPr>
            </w:pPr>
          </w:p>
        </w:tc>
        <w:tc>
          <w:tcPr>
            <w:tcW w:w="7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6"/>
              </w:rPr>
              <w:t>11,000</w:t>
            </w:r>
          </w:p>
        </w:tc>
        <w:tc>
          <w:tcPr>
            <w:tcW w:w="12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Q1 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Tucson, AZ</w:t>
            </w:r>
          </w:p>
        </w:tc>
        <w:tc>
          <w:tcPr>
            <w:tcW w:w="1560" w:type="dxa"/>
            <w:vAlign w:val="bottom"/>
            <w:shd w:val="clear" w:color="auto" w:fill="CCEEFF"/>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9,000</w:t>
            </w:r>
          </w:p>
        </w:tc>
        <w:tc>
          <w:tcPr>
            <w:tcW w:w="12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Q1 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Estero, FL</w:t>
            </w:r>
          </w:p>
        </w:tc>
        <w:tc>
          <w:tcPr>
            <w:tcW w:w="156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tcPr>
          <w:p>
            <w:pPr>
              <w:spacing w:after="0"/>
              <w:rPr>
                <w:sz w:val="18"/>
                <w:szCs w:val="18"/>
                <w:color w:val="auto"/>
              </w:rPr>
            </w:pPr>
          </w:p>
        </w:tc>
        <w:tc>
          <w:tcPr>
            <w:tcW w:w="7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6"/>
              </w:rPr>
              <w:t>15,000</w:t>
            </w:r>
          </w:p>
        </w:tc>
        <w:tc>
          <w:tcPr>
            <w:tcW w:w="12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Q1 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Sarasota, FL</w:t>
            </w:r>
          </w:p>
        </w:tc>
        <w:tc>
          <w:tcPr>
            <w:tcW w:w="1560" w:type="dxa"/>
            <w:vAlign w:val="bottom"/>
            <w:shd w:val="clear" w:color="auto" w:fill="CCEEFF"/>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8,000</w:t>
            </w:r>
          </w:p>
        </w:tc>
        <w:tc>
          <w:tcPr>
            <w:tcW w:w="12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Q2 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Princeton, NJ</w:t>
            </w:r>
          </w:p>
        </w:tc>
        <w:tc>
          <w:tcPr>
            <w:tcW w:w="156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tcPr>
          <w:p>
            <w:pPr>
              <w:spacing w:after="0"/>
              <w:rPr>
                <w:sz w:val="18"/>
                <w:szCs w:val="18"/>
                <w:color w:val="auto"/>
              </w:rPr>
            </w:pPr>
          </w:p>
        </w:tc>
        <w:tc>
          <w:tcPr>
            <w:tcW w:w="7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6"/>
              </w:rPr>
              <w:t>13,000</w:t>
            </w:r>
          </w:p>
        </w:tc>
        <w:tc>
          <w:tcPr>
            <w:tcW w:w="12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Q3 2019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8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Repositionings:</w:t>
            </w:r>
          </w:p>
        </w:tc>
        <w:tc>
          <w:tcPr>
            <w:tcW w:w="15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Friendswood, TX to Baybrook Mall area in Friendswood, TX</w:t>
            </w:r>
          </w:p>
        </w:tc>
        <w:tc>
          <w:tcPr>
            <w:tcW w:w="1560" w:type="dxa"/>
            <w:vAlign w:val="bottom"/>
            <w:shd w:val="clear" w:color="auto" w:fill="CCEEFF"/>
          </w:tcPr>
          <w:p>
            <w:pPr>
              <w:jc w:val="center"/>
              <w:ind w:right="110"/>
              <w:spacing w:after="0"/>
              <w:rPr>
                <w:sz w:val="20"/>
                <w:szCs w:val="20"/>
                <w:color w:val="auto"/>
              </w:rPr>
            </w:pPr>
            <w:r>
              <w:rPr>
                <w:rFonts w:ascii="Times New Roman" w:cs="Times New Roman" w:eastAsia="Times New Roman" w:hAnsi="Times New Roman"/>
                <w:sz w:val="18"/>
                <w:szCs w:val="18"/>
                <w:color w:val="auto"/>
                <w:w w:val="99"/>
              </w:rPr>
              <w:t>Corporate</w:t>
            </w: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6"/>
              </w:rPr>
              <w:t>16,000</w:t>
            </w:r>
          </w:p>
        </w:tc>
        <w:tc>
          <w:tcPr>
            <w:tcW w:w="128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Q1 2019</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Following the planned openings shown above, we expect to significantly reduce the pace of the BHF network expansion and focus on maximizing profitable sales volume through the existing stores.</w:t>
      </w:r>
    </w:p>
    <w:p>
      <w:pPr>
        <w:spacing w:after="0" w:line="162"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As with any retail operation, prior to opening a new store we incur such expenses as rent, training costs and other payroll related costs. These costs generally range between $200 to $400 per store depending on the overall rent costs for the location and the period between the time when we take physical possession of the store space and the time of the store opening. Generally, rent payments during a buildout period between delivery of possession and opening of a new store are deferred and therefore straight line rent expense recognized during that time does not require cash. Inherent in our retail business model, we also incur losses in the two to three months of operation following a new store opening. Like other furniture retailers, we do not recognize a sale until the furniture is delivered to our customer. Because our retail business model does not involve maintaining a stock of retail inventory that would result in quick delivery and because of the custom nature of many of our furniture offerings, delivery to our customers usually occurs about 30 days after an order is placed. We generally require a deposit at the time of order and collect the remaining balance when the furniture is delivered, at which time the sale is recognized. Coupled with the previously discussed store pre-opening costs, total start-up losses can range from $400 to $600 per store. While our retail expansion is initially costly, we believe our site selection and new store presentation will generally result in locations that operate at or above a retail break-even level within a reasonable period of time following store opening. Factors affecting the length of time required to achieve this goal on a store-by-store basis may include the level of brand recognition, the degree of local competition and the depth of penetration in a particular market. Even as new stores ramp up to break-even, we do realize additional wholesale sales volume that leverages the fixed costs in our wholesale business.</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2018, we invested in our digital effort to improve the customers’ journey from the time they begin on our website to the final step of delivering the goods to their homes. Today’s customers expect their digital experiences and communications to be personalized and highly-relevant, and catered to match their specific needs and preferences. We have laid the foundation to becoming more connected to our customers and to use the data and insights collected during the customer journey to create a more compelling customized customer experience beginning in 2019.</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2018, we also invested significantly in developing data driven marketing processes to fuel our future growth. In collaboration with external specialists, we are developing an enterprise data reporting tool to support fully integrated media optimization across broadcast, print and digital media. We also invested in implementing several new digital marketing channels, using a methodical test, measure, optimize approach to ensure maximum return on investment. These included social media advertising, product information optimization and syndication for shopping marketplaces, and home furniture/décor influential partnerships.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color w:val="auto"/>
        </w:rPr>
        <w:t>Analysis of Operations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Net sales revenue, cost of furniture and accessories sold, selling, general and administrative (“SG&amp;A”) expense, new store pre-opening costs, other charges, and income from operations were as follows for the years ended November 24, 2018, November 25, 2017 and November 26, 2016:</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50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6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40" w:type="dxa"/>
            <w:vAlign w:val="bottom"/>
            <w:gridSpan w:val="3"/>
          </w:tcPr>
          <w:p>
            <w:pPr>
              <w:jc w:val="right"/>
              <w:ind w:right="52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40" w:type="dxa"/>
            <w:vAlign w:val="bottom"/>
          </w:tcPr>
          <w:p>
            <w:pPr>
              <w:spacing w:after="0"/>
              <w:rPr>
                <w:sz w:val="18"/>
                <w:szCs w:val="18"/>
                <w:color w:val="auto"/>
              </w:rPr>
            </w:pPr>
          </w:p>
        </w:tc>
        <w:tc>
          <w:tcPr>
            <w:tcW w:w="134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2016</w:t>
            </w:r>
          </w:p>
        </w:tc>
        <w:tc>
          <w:tcPr>
            <w:tcW w:w="48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20" w:type="dxa"/>
            <w:vAlign w:val="bottom"/>
            <w:tcBorders>
              <w:top w:val="single" w:sz="8" w:color="auto"/>
              <w:bottom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60" w:type="dxa"/>
            <w:vAlign w:val="bottom"/>
          </w:tcPr>
          <w:p>
            <w:pPr>
              <w:spacing w:after="0"/>
              <w:rPr>
                <w:sz w:val="19"/>
                <w:szCs w:val="19"/>
                <w:color w:val="auto"/>
              </w:rPr>
            </w:pPr>
          </w:p>
        </w:tc>
        <w:tc>
          <w:tcPr>
            <w:tcW w:w="860" w:type="dxa"/>
            <w:vAlign w:val="bottom"/>
            <w:tcBorders>
              <w:top w:val="single" w:sz="8" w:color="auto"/>
              <w:bottom w:val="single" w:sz="8" w:color="auto"/>
            </w:tcBorders>
            <w:gridSpan w:val="2"/>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99"/>
              </w:rPr>
              <w:t>402,469</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88.1%</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398,097</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88.0%</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377,196</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87.3%</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4,372</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20,901</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8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54,386</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11.9%</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54,406</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12.0%</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54,842</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12.7%</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0.0%</w:t>
            </w:r>
          </w:p>
        </w:tc>
        <w:tc>
          <w:tcPr>
            <w:tcW w:w="14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(436)</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net sales revenue</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99"/>
              </w:rPr>
              <w:t>456,855</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452,503</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432,038</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spacing w:after="0"/>
              <w:rPr>
                <w:sz w:val="18"/>
                <w:szCs w:val="18"/>
                <w:color w:val="auto"/>
              </w:rPr>
            </w:pPr>
          </w:p>
        </w:tc>
        <w:tc>
          <w:tcPr>
            <w:tcW w:w="7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4,352</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w:t>
            </w:r>
          </w:p>
        </w:tc>
        <w:tc>
          <w:tcPr>
            <w:tcW w:w="140" w:type="dxa"/>
            <w:vAlign w:val="bottom"/>
          </w:tcPr>
          <w:p>
            <w:pPr>
              <w:spacing w:after="0"/>
              <w:rPr>
                <w:sz w:val="18"/>
                <w:szCs w:val="18"/>
                <w:color w:val="auto"/>
              </w:rPr>
            </w:pPr>
          </w:p>
        </w:tc>
        <w:tc>
          <w:tcPr>
            <w:tcW w:w="7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20,465</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280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Cost of furniture and accessories</w:t>
            </w: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sold</w:t>
            </w:r>
          </w:p>
        </w:tc>
        <w:tc>
          <w:tcPr>
            <w:tcW w:w="100" w:type="dxa"/>
            <w:vAlign w:val="bottom"/>
          </w:tcPr>
          <w:p>
            <w:pPr>
              <w:spacing w:after="0"/>
              <w:rPr>
                <w:sz w:val="20"/>
                <w:szCs w:val="20"/>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99"/>
              </w:rPr>
              <w:t>179,581</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39.3%</w:t>
            </w:r>
          </w:p>
        </w:tc>
        <w:tc>
          <w:tcPr>
            <w:tcW w:w="100" w:type="dxa"/>
            <w:vAlign w:val="bottom"/>
          </w:tcPr>
          <w:p>
            <w:pPr>
              <w:spacing w:after="0"/>
              <w:rPr>
                <w:sz w:val="20"/>
                <w:szCs w:val="20"/>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177,579</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39.2%</w:t>
            </w:r>
          </w:p>
        </w:tc>
        <w:tc>
          <w:tcPr>
            <w:tcW w:w="100" w:type="dxa"/>
            <w:vAlign w:val="bottom"/>
          </w:tcPr>
          <w:p>
            <w:pPr>
              <w:spacing w:after="0"/>
              <w:rPr>
                <w:sz w:val="20"/>
                <w:szCs w:val="20"/>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167,519</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38.8%</w:t>
            </w:r>
          </w:p>
        </w:tc>
        <w:tc>
          <w:tcPr>
            <w:tcW w:w="100" w:type="dxa"/>
            <w:vAlign w:val="bottom"/>
          </w:tcPr>
          <w:p>
            <w:pPr>
              <w:spacing w:after="0"/>
              <w:rPr>
                <w:sz w:val="20"/>
                <w:szCs w:val="20"/>
                <w:color w:val="auto"/>
              </w:rPr>
            </w:pPr>
          </w:p>
        </w:tc>
        <w:tc>
          <w:tcPr>
            <w:tcW w:w="7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2,002</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w:t>
            </w:r>
          </w:p>
        </w:tc>
        <w:tc>
          <w:tcPr>
            <w:tcW w:w="140" w:type="dxa"/>
            <w:vAlign w:val="bottom"/>
          </w:tcPr>
          <w:p>
            <w:pPr>
              <w:spacing w:after="0"/>
              <w:rPr>
                <w:sz w:val="20"/>
                <w:szCs w:val="20"/>
                <w:color w:val="auto"/>
              </w:rPr>
            </w:pPr>
          </w:p>
        </w:tc>
        <w:tc>
          <w:tcPr>
            <w:tcW w:w="7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10,060</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260,339</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57.0%</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245,493</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54.3%</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235,178</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54.4%</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14,846</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6.0%</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10,315</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2,081</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2,413</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1,148</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0.4%</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-13.8%</w:t>
            </w:r>
          </w:p>
        </w:tc>
        <w:tc>
          <w:tcPr>
            <w:tcW w:w="140" w:type="dxa"/>
            <w:vAlign w:val="bottom"/>
          </w:tcPr>
          <w:p>
            <w:pPr>
              <w:spacing w:after="0"/>
              <w:rPr>
                <w:sz w:val="18"/>
                <w:szCs w:val="18"/>
                <w:color w:val="auto"/>
              </w:rPr>
            </w:pPr>
          </w:p>
        </w:tc>
        <w:tc>
          <w:tcPr>
            <w:tcW w:w="7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1,265</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110.2%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charges</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770</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0.2%</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0.0%</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770</w:t>
            </w:r>
          </w:p>
        </w:tc>
        <w:tc>
          <w:tcPr>
            <w:tcW w:w="920" w:type="dxa"/>
            <w:vAlign w:val="bottom"/>
            <w:tcBorders>
              <w:right w:val="single" w:sz="8" w:color="CCEEFF"/>
            </w:tcBorders>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NM</w:t>
            </w:r>
          </w:p>
        </w:tc>
        <w:tc>
          <w:tcPr>
            <w:tcW w:w="14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NM</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14,084</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3.1%</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27,018</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28,193</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6.5%</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(12,934)</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-47.9%</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(1,175)</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consolidated net sales by segment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9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3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80" w:type="dxa"/>
            <w:vAlign w:val="bottom"/>
            <w:gridSpan w:val="3"/>
          </w:tcPr>
          <w:p>
            <w:pPr>
              <w:jc w:val="right"/>
              <w:ind w:right="80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20" w:type="dxa"/>
            <w:vAlign w:val="bottom"/>
          </w:tcPr>
          <w:p>
            <w:pPr>
              <w:spacing w:after="0"/>
              <w:rPr>
                <w:sz w:val="18"/>
                <w:szCs w:val="18"/>
                <w:color w:val="auto"/>
              </w:rPr>
            </w:pPr>
          </w:p>
        </w:tc>
        <w:tc>
          <w:tcPr>
            <w:tcW w:w="1900" w:type="dxa"/>
            <w:vAlign w:val="bottom"/>
            <w:gridSpan w:val="2"/>
          </w:tcPr>
          <w:p>
            <w:pPr>
              <w:ind w:left="40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r>
      <w:tr>
        <w:trPr>
          <w:trHeight w:val="223"/>
        </w:trPr>
        <w:tc>
          <w:tcPr>
            <w:tcW w:w="35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920" w:type="dxa"/>
            <w:vAlign w:val="bottom"/>
            <w:tcBorders>
              <w:top w:val="single" w:sz="8" w:color="auto"/>
              <w:bottom w:val="single" w:sz="8" w:color="auto"/>
            </w:tcBorders>
          </w:tcPr>
          <w:p>
            <w:pPr>
              <w:jc w:val="right"/>
              <w:ind w:right="72"/>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900" w:type="dxa"/>
            <w:vAlign w:val="bottom"/>
            <w:tcBorders>
              <w:top w:val="single" w:sz="8" w:color="auto"/>
              <w:bottom w:val="single" w:sz="8" w:color="auto"/>
            </w:tcBorders>
          </w:tcPr>
          <w:p>
            <w:pPr>
              <w:ind w:left="160"/>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160" w:type="dxa"/>
            <w:vAlign w:val="bottom"/>
          </w:tcPr>
          <w:p>
            <w:pPr>
              <w:spacing w:after="0"/>
              <w:rPr>
                <w:sz w:val="19"/>
                <w:szCs w:val="19"/>
                <w:color w:val="auto"/>
              </w:rPr>
            </w:pPr>
          </w:p>
        </w:tc>
      </w:tr>
      <w:tr>
        <w:trPr>
          <w:trHeight w:val="210"/>
        </w:trPr>
        <w:tc>
          <w:tcPr>
            <w:tcW w:w="3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Sales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35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Wholesale</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255,958</w:t>
            </w:r>
          </w:p>
        </w:tc>
        <w:tc>
          <w:tcPr>
            <w:tcW w:w="220" w:type="dxa"/>
            <w:vAlign w:val="bottom"/>
          </w:tcPr>
          <w:p>
            <w:pPr>
              <w:spacing w:after="0"/>
              <w:rPr>
                <w:sz w:val="18"/>
                <w:szCs w:val="18"/>
                <w:color w:val="auto"/>
              </w:rPr>
            </w:pPr>
          </w:p>
        </w:tc>
        <w:tc>
          <w:tcPr>
            <w:tcW w:w="1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249,193</w:t>
            </w:r>
          </w:p>
        </w:tc>
        <w:tc>
          <w:tcPr>
            <w:tcW w:w="140" w:type="dxa"/>
            <w:vAlign w:val="bottom"/>
          </w:tcPr>
          <w:p>
            <w:pPr>
              <w:spacing w:after="0"/>
              <w:rPr>
                <w:sz w:val="18"/>
                <w:szCs w:val="18"/>
                <w:color w:val="auto"/>
              </w:rPr>
            </w:pPr>
          </w:p>
        </w:tc>
        <w:tc>
          <w:tcPr>
            <w:tcW w:w="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240,346</w:t>
            </w:r>
          </w:p>
        </w:tc>
        <w:tc>
          <w:tcPr>
            <w:tcW w:w="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6,765</w:t>
            </w:r>
          </w:p>
        </w:tc>
        <w:tc>
          <w:tcPr>
            <w:tcW w:w="12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2.7%</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8,847</w:t>
            </w: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w:t>
            </w:r>
          </w:p>
        </w:tc>
      </w:tr>
      <w:tr>
        <w:trPr>
          <w:trHeight w:val="216"/>
        </w:trPr>
        <w:tc>
          <w:tcPr>
            <w:tcW w:w="35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Retail</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268,883</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268,264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254,667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619</w:t>
            </w:r>
          </w:p>
        </w:tc>
        <w:tc>
          <w:tcPr>
            <w:tcW w:w="12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0.2%</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13,597</w:t>
            </w:r>
          </w:p>
        </w:tc>
        <w:tc>
          <w:tcPr>
            <w:tcW w:w="10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5.3%</w:t>
            </w:r>
          </w:p>
        </w:tc>
      </w:tr>
      <w:tr>
        <w:trPr>
          <w:trHeight w:val="216"/>
        </w:trPr>
        <w:tc>
          <w:tcPr>
            <w:tcW w:w="35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Logistical services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82,866</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83,030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83,236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(164)</w:t>
            </w:r>
          </w:p>
        </w:tc>
        <w:tc>
          <w:tcPr>
            <w:tcW w:w="12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-0.2%</w:t>
            </w:r>
          </w:p>
        </w:tc>
        <w:tc>
          <w:tcPr>
            <w:tcW w:w="12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(206)</w:t>
            </w: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-0.2%</w:t>
            </w:r>
          </w:p>
        </w:tc>
      </w:tr>
      <w:tr>
        <w:trPr>
          <w:trHeight w:val="216"/>
        </w:trPr>
        <w:tc>
          <w:tcPr>
            <w:tcW w:w="35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Inter-company eliminations: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35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18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(122,372)</w:t>
            </w:r>
          </w:p>
        </w:tc>
        <w:tc>
          <w:tcPr>
            <w:tcW w:w="180" w:type="dxa"/>
            <w:vAlign w:val="bottom"/>
          </w:tcPr>
          <w:p>
            <w:pPr>
              <w:spacing w:after="0"/>
              <w:rPr>
                <w:sz w:val="18"/>
                <w:szCs w:val="18"/>
                <w:color w:val="auto"/>
              </w:rPr>
            </w:pP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(119,360)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(117,817)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(3,012)</w:t>
            </w:r>
          </w:p>
        </w:tc>
        <w:tc>
          <w:tcPr>
            <w:tcW w:w="12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(1,543)</w:t>
            </w: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w:t>
            </w:r>
          </w:p>
        </w:tc>
      </w:tr>
      <w:tr>
        <w:trPr>
          <w:trHeight w:val="230"/>
        </w:trPr>
        <w:tc>
          <w:tcPr>
            <w:tcW w:w="3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Logistical services</w:t>
            </w:r>
          </w:p>
        </w:tc>
        <w:tc>
          <w:tcPr>
            <w:tcW w:w="18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(28,480)</w:t>
            </w:r>
          </w:p>
        </w:tc>
        <w:tc>
          <w:tcPr>
            <w:tcW w:w="18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(28,624)</w:t>
            </w: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(28,394)</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144</w:t>
            </w:r>
          </w:p>
        </w:tc>
        <w:tc>
          <w:tcPr>
            <w:tcW w:w="12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(230)</w:t>
            </w:r>
          </w:p>
        </w:tc>
        <w:tc>
          <w:tcPr>
            <w:tcW w:w="10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0.8%</w:t>
            </w:r>
          </w:p>
        </w:tc>
      </w:tr>
      <w:tr>
        <w:trPr>
          <w:trHeight w:val="20"/>
        </w:trPr>
        <w:tc>
          <w:tcPr>
            <w:tcW w:w="35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10"/>
        </w:trPr>
        <w:tc>
          <w:tcPr>
            <w:tcW w:w="3560" w:type="dxa"/>
            <w:vAlign w:val="bottom"/>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456,855</w:t>
            </w:r>
          </w:p>
        </w:tc>
        <w:tc>
          <w:tcPr>
            <w:tcW w:w="220" w:type="dxa"/>
            <w:vAlign w:val="bottom"/>
          </w:tcPr>
          <w:p>
            <w:pPr>
              <w:spacing w:after="0"/>
              <w:rPr>
                <w:sz w:val="18"/>
                <w:szCs w:val="18"/>
                <w:color w:val="auto"/>
              </w:rPr>
            </w:pPr>
          </w:p>
        </w:tc>
        <w:tc>
          <w:tcPr>
            <w:tcW w:w="1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452,503</w:t>
            </w:r>
          </w:p>
        </w:tc>
        <w:tc>
          <w:tcPr>
            <w:tcW w:w="140" w:type="dxa"/>
            <w:vAlign w:val="bottom"/>
          </w:tcPr>
          <w:p>
            <w:pPr>
              <w:spacing w:after="0"/>
              <w:rPr>
                <w:sz w:val="18"/>
                <w:szCs w:val="18"/>
                <w:color w:val="auto"/>
              </w:rPr>
            </w:pPr>
          </w:p>
        </w:tc>
        <w:tc>
          <w:tcPr>
            <w:tcW w:w="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432,038</w:t>
            </w:r>
          </w:p>
        </w:tc>
        <w:tc>
          <w:tcPr>
            <w:tcW w:w="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4,352</w:t>
            </w:r>
          </w:p>
        </w:tc>
        <w:tc>
          <w:tcPr>
            <w:tcW w:w="1200" w:type="dxa"/>
            <w:vAlign w:val="bottom"/>
            <w:gridSpan w:val="2"/>
          </w:tcPr>
          <w:p>
            <w:pPr>
              <w:jc w:val="right"/>
              <w:ind w:right="120"/>
              <w:spacing w:after="0" w:line="210" w:lineRule="exact"/>
              <w:rPr>
                <w:sz w:val="20"/>
                <w:szCs w:val="20"/>
                <w:color w:val="auto"/>
              </w:rPr>
            </w:pPr>
            <w:r>
              <w:rPr>
                <w:rFonts w:ascii="Times New Roman" w:cs="Times New Roman" w:eastAsia="Times New Roman" w:hAnsi="Times New Roman"/>
                <w:sz w:val="14"/>
                <w:szCs w:val="14"/>
                <w:color w:val="auto"/>
              </w:rPr>
              <w:t>1.0</w:t>
            </w:r>
            <w:r>
              <w:rPr>
                <w:rFonts w:ascii="Times New Roman" w:cs="Times New Roman" w:eastAsia="Times New Roman" w:hAnsi="Times New Roman"/>
                <w:sz w:val="24"/>
                <w:szCs w:val="24"/>
                <w:color w:val="auto"/>
                <w:vertAlign w:val="subscript"/>
              </w:rPr>
              <w:t>%</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20,465</w:t>
            </w:r>
          </w:p>
        </w:tc>
        <w:tc>
          <w:tcPr>
            <w:tcW w:w="10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4.7%</w:t>
            </w:r>
          </w:p>
        </w:tc>
      </w:tr>
      <w:tr>
        <w:trPr>
          <w:trHeight w:val="20"/>
        </w:trPr>
        <w:tc>
          <w:tcPr>
            <w:tcW w:w="3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198" w:lineRule="exact"/>
        <w:rPr>
          <w:sz w:val="20"/>
          <w:szCs w:val="20"/>
          <w:color w:val="auto"/>
        </w:rPr>
      </w:pPr>
    </w:p>
    <w:p>
      <w:pPr>
        <w:ind w:right="320"/>
        <w:spacing w:after="0" w:line="282" w:lineRule="auto"/>
        <w:rPr>
          <w:sz w:val="20"/>
          <w:szCs w:val="20"/>
          <w:color w:val="auto"/>
        </w:rPr>
      </w:pPr>
      <w:r>
        <w:rPr>
          <w:rFonts w:ascii="Times New Roman" w:cs="Times New Roman" w:eastAsia="Times New Roman" w:hAnsi="Times New Roman"/>
          <w:sz w:val="18"/>
          <w:szCs w:val="18"/>
          <w:color w:val="auto"/>
        </w:rPr>
        <w:t>Refer to the segment information which follows for a discussion of the significant factors and trends affecting our results of operations for fiscal 2018 and 2017 as compared with the prior year periods.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Certain other items affecting comparability between periods are discussed below in “Other Items Affecting Net Income”.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color w:val="auto"/>
        </w:rPr>
        <w:t>Segment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strategically aligned our business into three reportable segments as described below:</w:t>
      </w:r>
    </w:p>
    <w:p>
      <w:pPr>
        <w:spacing w:after="0" w:line="221" w:lineRule="exact"/>
        <w:rPr>
          <w:sz w:val="20"/>
          <w:szCs w:val="20"/>
          <w:color w:val="auto"/>
        </w:rPr>
      </w:pPr>
    </w:p>
    <w:p>
      <w:pPr>
        <w:jc w:val="both"/>
        <w:ind w:left="66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to a network of Bassett stores (licensee-owned stores and Company-owned stores) and independent furniture retailers. Our wholesale segment includes our wood and upholstery operations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Our wholesale segment also includes our holdings of short-term investments and retail real estate previously leased as licensee stores. The earnings and costs associated with these assets are included in other loss, net, in our consolidated statements of income.</w:t>
      </w:r>
    </w:p>
    <w:p>
      <w:pPr>
        <w:spacing w:after="0" w:line="183" w:lineRule="exact"/>
        <w:rPr>
          <w:sz w:val="20"/>
          <w:szCs w:val="20"/>
          <w:color w:val="auto"/>
        </w:rPr>
      </w:pPr>
    </w:p>
    <w:p>
      <w:pPr>
        <w:jc w:val="both"/>
        <w:ind w:left="66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Retail – Company-owned stores. </w:t>
      </w:r>
      <w:r>
        <w:rPr>
          <w:rFonts w:ascii="Times New Roman" w:cs="Times New Roman" w:eastAsia="Times New Roman" w:hAnsi="Times New Roman"/>
          <w:sz w:val="18"/>
          <w:szCs w:val="18"/>
          <w:color w:val="auto"/>
        </w:rPr>
        <w:t>Our retail segment consists of Company-owned stores and includes the revenues, expenses, assets and liabilities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real estate) and capital expenditures directly related to these stores and the Company-owned distribution network utilized to deliver products to our retail customers.</w:t>
      </w:r>
    </w:p>
    <w:p>
      <w:pPr>
        <w:spacing w:after="0" w:line="171" w:lineRule="exact"/>
        <w:rPr>
          <w:sz w:val="20"/>
          <w:szCs w:val="20"/>
          <w:color w:val="auto"/>
        </w:rPr>
      </w:pPr>
    </w:p>
    <w:p>
      <w:pPr>
        <w:jc w:val="both"/>
        <w:ind w:left="66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Logistical services. </w:t>
      </w:r>
      <w:r>
        <w:rPr>
          <w:rFonts w:ascii="Times New Roman" w:cs="Times New Roman" w:eastAsia="Times New Roman" w:hAnsi="Times New Roman"/>
          <w:sz w:val="18"/>
          <w:szCs w:val="18"/>
          <w:color w:val="auto"/>
        </w:rPr>
        <w:t>With our acquisition of Zenith on February 2, 2015, we created the logistical services operating segment which reflects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operations of Zenith. In addition to providing shipping and warehousing services for the Company, the revenue from which is eliminated upon consolidation, Zenith also provides similar services to other customers, primarily in the furniture industry. Revenue from the performance of these services to other customers is included in logistics revenue in our consolidated statement of income. Zenith’s operating costs are included in selling, general and administrative expenses.</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During the fourth quarter of fiscal 2018, we substantially completed transferring operational control of home delivery services for BHF stores from Zenith to our retail segment, including the transfer of the assets and many of the employees used in providing that service. Accordingly, the revenues for the logistical services segment for all periods presented have been restated to no longer include the intercompany revenues and related costs for those services. Concurrently with the transfer of home delivery operations to retail, Zenith also ceased providing such services to third party customers. Revenues from Zenith’s home delivery services formerly provided to third party customers and the associated costs thereof continue to be reported in the logistical services segment. The impact upon segment operating income (loss) from the restatement was not material. Zenith continues to provide other intercompany shipping and warehousing services to Bassett which are eliminated in consolidation.</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color w:val="auto"/>
        </w:rPr>
        <w:t>The following tables illustrate the effects of various intercompany eliminations on income (loss) from operations in the consolidation of our segment results: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3640" w:type="dxa"/>
            <w:vAlign w:val="bottom"/>
            <w:tcBorders>
              <w:bottom w:val="single" w:sz="8" w:color="auto"/>
            </w:tcBorders>
            <w:gridSpan w:val="5"/>
          </w:tcPr>
          <w:p>
            <w:pPr>
              <w:jc w:val="right"/>
              <w:ind w:right="650"/>
              <w:spacing w:after="0"/>
              <w:rPr>
                <w:sz w:val="20"/>
                <w:szCs w:val="20"/>
                <w:color w:val="auto"/>
              </w:rPr>
            </w:pPr>
            <w:r>
              <w:rPr>
                <w:rFonts w:ascii="Times New Roman" w:cs="Times New Roman" w:eastAsia="Times New Roman" w:hAnsi="Times New Roman"/>
                <w:sz w:val="18"/>
                <w:szCs w:val="18"/>
                <w:color w:val="auto"/>
              </w:rPr>
              <w:t>Year Ended November 24, 2018</w:t>
            </w:r>
          </w:p>
        </w:tc>
        <w:tc>
          <w:tcPr>
            <w:tcW w:w="26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35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color w:val="auto"/>
              </w:rPr>
              <w:t>Retail</w:t>
            </w: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Logistics</w:t>
            </w:r>
          </w:p>
        </w:tc>
        <w:tc>
          <w:tcPr>
            <w:tcW w:w="1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99"/>
              </w:rPr>
              <w:t>Eliminations</w:t>
            </w:r>
          </w:p>
        </w:tc>
        <w:tc>
          <w:tcPr>
            <w:tcW w:w="2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3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255,958</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268,883</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(122,372)</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w:t>
            </w:r>
          </w:p>
        </w:tc>
        <w:tc>
          <w:tcPr>
            <w:tcW w:w="3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402,469</w:t>
            </w:r>
          </w:p>
        </w:tc>
        <w:tc>
          <w:tcPr>
            <w:tcW w:w="80" w:type="dxa"/>
            <w:vAlign w:val="bottom"/>
          </w:tcPr>
          <w:p>
            <w:pPr>
              <w:spacing w:after="0"/>
              <w:rPr>
                <w:sz w:val="18"/>
                <w:szCs w:val="18"/>
                <w:color w:val="auto"/>
              </w:rPr>
            </w:pPr>
          </w:p>
        </w:tc>
      </w:tr>
      <w:tr>
        <w:trPr>
          <w:trHeight w:val="216"/>
        </w:trPr>
        <w:tc>
          <w:tcPr>
            <w:tcW w:w="3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Logistics</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82,866</w:t>
            </w:r>
          </w:p>
        </w:tc>
        <w:tc>
          <w:tcPr>
            <w:tcW w:w="1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(28,480)</w:t>
            </w:r>
          </w:p>
        </w:tc>
        <w:tc>
          <w:tcPr>
            <w:tcW w:w="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w:t>
            </w:r>
          </w:p>
        </w:tc>
        <w:tc>
          <w:tcPr>
            <w:tcW w:w="3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54,386</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5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sales revenue</w:t>
            </w:r>
          </w:p>
        </w:tc>
        <w:tc>
          <w:tcPr>
            <w:tcW w:w="1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255,958</w:t>
            </w:r>
          </w:p>
        </w:tc>
        <w:tc>
          <w:tcPr>
            <w:tcW w:w="3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268,883</w:t>
            </w:r>
          </w:p>
        </w:tc>
        <w:tc>
          <w:tcPr>
            <w:tcW w:w="2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82,866</w:t>
            </w: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(150,852)</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456,855</w:t>
            </w:r>
          </w:p>
        </w:tc>
        <w:tc>
          <w:tcPr>
            <w:tcW w:w="80" w:type="dxa"/>
            <w:vAlign w:val="bottom"/>
          </w:tcPr>
          <w:p>
            <w:pPr>
              <w:spacing w:after="0"/>
              <w:rPr>
                <w:sz w:val="18"/>
                <w:szCs w:val="18"/>
                <w:color w:val="auto"/>
              </w:rPr>
            </w:pPr>
          </w:p>
        </w:tc>
      </w:tr>
      <w:tr>
        <w:trPr>
          <w:trHeight w:val="216"/>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171,272</w:t>
            </w: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130,591</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(122,282)</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(3)</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179,581</w:t>
            </w:r>
          </w:p>
        </w:tc>
        <w:tc>
          <w:tcPr>
            <w:tcW w:w="80" w:type="dxa"/>
            <w:vAlign w:val="bottom"/>
            <w:shd w:val="clear" w:color="auto" w:fill="CCEEFF"/>
          </w:tcPr>
          <w:p>
            <w:pPr>
              <w:spacing w:after="0"/>
              <w:rPr>
                <w:sz w:val="18"/>
                <w:szCs w:val="18"/>
                <w:color w:val="auto"/>
              </w:rPr>
            </w:pPr>
          </w:p>
        </w:tc>
      </w:tr>
      <w:tr>
        <w:trPr>
          <w:trHeight w:val="216"/>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72,412</w:t>
            </w:r>
          </w:p>
        </w:tc>
        <w:tc>
          <w:tcPr>
            <w:tcW w:w="3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136,523</w:t>
            </w:r>
          </w:p>
        </w:tc>
        <w:tc>
          <w:tcPr>
            <w:tcW w:w="2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81,468</w:t>
            </w: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(30,064)</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(4)</w:t>
            </w:r>
          </w:p>
        </w:tc>
        <w:tc>
          <w:tcPr>
            <w:tcW w:w="3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260,339</w:t>
            </w:r>
          </w:p>
        </w:tc>
        <w:tc>
          <w:tcPr>
            <w:tcW w:w="80" w:type="dxa"/>
            <w:vAlign w:val="bottom"/>
          </w:tcPr>
          <w:p>
            <w:pPr>
              <w:spacing w:after="0"/>
              <w:rPr>
                <w:sz w:val="18"/>
                <w:szCs w:val="18"/>
                <w:color w:val="auto"/>
              </w:rPr>
            </w:pPr>
          </w:p>
        </w:tc>
      </w:tr>
      <w:tr>
        <w:trPr>
          <w:trHeight w:val="216"/>
        </w:trPr>
        <w:tc>
          <w:tcPr>
            <w:tcW w:w="3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2,081</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2,081</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Income (loss) from operations (5)</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12,274</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1,398</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1,494</w:t>
            </w:r>
          </w:p>
        </w:tc>
        <w:tc>
          <w:tcPr>
            <w:tcW w:w="260" w:type="dxa"/>
            <w:vAlign w:val="bottom"/>
          </w:tcPr>
          <w:p>
            <w:pPr>
              <w:spacing w:after="0"/>
              <w:rPr>
                <w:sz w:val="18"/>
                <w:szCs w:val="18"/>
                <w:color w:val="auto"/>
              </w:rPr>
            </w:pPr>
          </w:p>
        </w:tc>
        <w:tc>
          <w:tcPr>
            <w:tcW w:w="3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14,854</w:t>
            </w:r>
          </w:p>
        </w:tc>
        <w:tc>
          <w:tcPr>
            <w:tcW w:w="80" w:type="dxa"/>
            <w:vAlign w:val="bottom"/>
          </w:tcPr>
          <w:p>
            <w:pPr>
              <w:spacing w:after="0"/>
              <w:rPr>
                <w:sz w:val="18"/>
                <w:szCs w:val="18"/>
                <w:color w:val="auto"/>
              </w:rPr>
            </w:pPr>
          </w:p>
        </w:tc>
      </w:tr>
      <w:tr>
        <w:trPr>
          <w:trHeight w:val="20"/>
        </w:trPr>
        <w:tc>
          <w:tcPr>
            <w:tcW w:w="3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640" w:type="dxa"/>
            <w:vAlign w:val="bottom"/>
            <w:tcBorders>
              <w:top w:val="single" w:sz="8" w:color="auto"/>
              <w:bottom w:val="single" w:sz="8" w:color="auto"/>
            </w:tcBorders>
            <w:gridSpan w:val="5"/>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40"/>
        </w:trPr>
        <w:tc>
          <w:tcPr>
            <w:tcW w:w="35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gridSpan w:val="5"/>
          </w:tcPr>
          <w:p>
            <w:pPr>
              <w:jc w:val="right"/>
              <w:ind w:right="650"/>
              <w:spacing w:after="0"/>
              <w:rPr>
                <w:sz w:val="20"/>
                <w:szCs w:val="20"/>
                <w:color w:val="auto"/>
              </w:rPr>
            </w:pPr>
            <w:r>
              <w:rPr>
                <w:rFonts w:ascii="Times New Roman" w:cs="Times New Roman" w:eastAsia="Times New Roman" w:hAnsi="Times New Roman"/>
                <w:sz w:val="18"/>
                <w:szCs w:val="18"/>
                <w:color w:val="auto"/>
              </w:rPr>
              <w:t>Year Ended November 25, 2017</w:t>
            </w:r>
          </w:p>
        </w:tc>
        <w:tc>
          <w:tcPr>
            <w:tcW w:w="2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0"/>
        </w:trPr>
        <w:tc>
          <w:tcPr>
            <w:tcW w:w="35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color w:val="auto"/>
              </w:rPr>
              <w:t>Retail</w:t>
            </w: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Logistics</w:t>
            </w:r>
          </w:p>
        </w:tc>
        <w:tc>
          <w:tcPr>
            <w:tcW w:w="1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99"/>
              </w:rPr>
              <w:t>Eliminations</w:t>
            </w:r>
          </w:p>
        </w:tc>
        <w:tc>
          <w:tcPr>
            <w:tcW w:w="2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3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249,193</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268,264</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(119,360)</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w:t>
            </w:r>
          </w:p>
        </w:tc>
        <w:tc>
          <w:tcPr>
            <w:tcW w:w="3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398,097</w:t>
            </w:r>
          </w:p>
        </w:tc>
        <w:tc>
          <w:tcPr>
            <w:tcW w:w="80" w:type="dxa"/>
            <w:vAlign w:val="bottom"/>
          </w:tcPr>
          <w:p>
            <w:pPr>
              <w:spacing w:after="0"/>
              <w:rPr>
                <w:sz w:val="18"/>
                <w:szCs w:val="18"/>
                <w:color w:val="auto"/>
              </w:rPr>
            </w:pPr>
          </w:p>
        </w:tc>
      </w:tr>
      <w:tr>
        <w:trPr>
          <w:trHeight w:val="216"/>
        </w:trPr>
        <w:tc>
          <w:tcPr>
            <w:tcW w:w="3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Logistics</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83,030</w:t>
            </w:r>
          </w:p>
        </w:tc>
        <w:tc>
          <w:tcPr>
            <w:tcW w:w="1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(28,624)</w:t>
            </w:r>
          </w:p>
        </w:tc>
        <w:tc>
          <w:tcPr>
            <w:tcW w:w="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w:t>
            </w:r>
          </w:p>
        </w:tc>
        <w:tc>
          <w:tcPr>
            <w:tcW w:w="3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54,406</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5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sales revenue</w:t>
            </w:r>
          </w:p>
        </w:tc>
        <w:tc>
          <w:tcPr>
            <w:tcW w:w="1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249,193</w:t>
            </w:r>
          </w:p>
        </w:tc>
        <w:tc>
          <w:tcPr>
            <w:tcW w:w="3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268,264</w:t>
            </w:r>
          </w:p>
        </w:tc>
        <w:tc>
          <w:tcPr>
            <w:tcW w:w="2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83,030</w:t>
            </w: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(147,984)</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452,503</w:t>
            </w:r>
          </w:p>
        </w:tc>
        <w:tc>
          <w:tcPr>
            <w:tcW w:w="80" w:type="dxa"/>
            <w:vAlign w:val="bottom"/>
          </w:tcPr>
          <w:p>
            <w:pPr>
              <w:spacing w:after="0"/>
              <w:rPr>
                <w:sz w:val="18"/>
                <w:szCs w:val="18"/>
                <w:color w:val="auto"/>
              </w:rPr>
            </w:pPr>
          </w:p>
        </w:tc>
      </w:tr>
      <w:tr>
        <w:trPr>
          <w:trHeight w:val="216"/>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164,028</w:t>
            </w: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132,463</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(118,912)</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(3)</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177,579</w:t>
            </w:r>
          </w:p>
        </w:tc>
        <w:tc>
          <w:tcPr>
            <w:tcW w:w="80" w:type="dxa"/>
            <w:vAlign w:val="bottom"/>
            <w:shd w:val="clear" w:color="auto" w:fill="CCEEFF"/>
          </w:tcPr>
          <w:p>
            <w:pPr>
              <w:spacing w:after="0"/>
              <w:rPr>
                <w:sz w:val="18"/>
                <w:szCs w:val="18"/>
                <w:color w:val="auto"/>
              </w:rPr>
            </w:pPr>
          </w:p>
        </w:tc>
      </w:tr>
      <w:tr>
        <w:trPr>
          <w:trHeight w:val="216"/>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66,044</w:t>
            </w:r>
          </w:p>
        </w:tc>
        <w:tc>
          <w:tcPr>
            <w:tcW w:w="3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129,898</w:t>
            </w:r>
          </w:p>
        </w:tc>
        <w:tc>
          <w:tcPr>
            <w:tcW w:w="2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80,068</w:t>
            </w: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(30,517)</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(4)</w:t>
            </w:r>
          </w:p>
        </w:tc>
        <w:tc>
          <w:tcPr>
            <w:tcW w:w="3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245,493</w:t>
            </w:r>
          </w:p>
        </w:tc>
        <w:tc>
          <w:tcPr>
            <w:tcW w:w="80" w:type="dxa"/>
            <w:vAlign w:val="bottom"/>
          </w:tcPr>
          <w:p>
            <w:pPr>
              <w:spacing w:after="0"/>
              <w:rPr>
                <w:sz w:val="18"/>
                <w:szCs w:val="18"/>
                <w:color w:val="auto"/>
              </w:rPr>
            </w:pPr>
          </w:p>
        </w:tc>
      </w:tr>
      <w:tr>
        <w:trPr>
          <w:trHeight w:val="216"/>
        </w:trPr>
        <w:tc>
          <w:tcPr>
            <w:tcW w:w="3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2,413</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2,413</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19,121</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3,490</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2,962</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1,445</w:t>
            </w:r>
          </w:p>
        </w:tc>
        <w:tc>
          <w:tcPr>
            <w:tcW w:w="260" w:type="dxa"/>
            <w:vAlign w:val="bottom"/>
          </w:tcPr>
          <w:p>
            <w:pPr>
              <w:spacing w:after="0"/>
              <w:rPr>
                <w:sz w:val="18"/>
                <w:szCs w:val="18"/>
                <w:color w:val="auto"/>
              </w:rPr>
            </w:pPr>
          </w:p>
        </w:tc>
        <w:tc>
          <w:tcPr>
            <w:tcW w:w="3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27,018</w:t>
            </w:r>
          </w:p>
        </w:tc>
        <w:tc>
          <w:tcPr>
            <w:tcW w:w="80" w:type="dxa"/>
            <w:vAlign w:val="bottom"/>
          </w:tcPr>
          <w:p>
            <w:pPr>
              <w:spacing w:after="0"/>
              <w:rPr>
                <w:sz w:val="18"/>
                <w:szCs w:val="18"/>
                <w:color w:val="auto"/>
              </w:rPr>
            </w:pPr>
          </w:p>
        </w:tc>
      </w:tr>
      <w:tr>
        <w:trPr>
          <w:trHeight w:val="20"/>
        </w:trPr>
        <w:tc>
          <w:tcPr>
            <w:tcW w:w="3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640" w:type="dxa"/>
            <w:vAlign w:val="bottom"/>
            <w:tcBorders>
              <w:top w:val="single" w:sz="8" w:color="auto"/>
              <w:bottom w:val="single" w:sz="8" w:color="auto"/>
            </w:tcBorders>
            <w:gridSpan w:val="5"/>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40"/>
        </w:trPr>
        <w:tc>
          <w:tcPr>
            <w:tcW w:w="35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gridSpan w:val="5"/>
          </w:tcPr>
          <w:p>
            <w:pPr>
              <w:jc w:val="right"/>
              <w:ind w:right="650"/>
              <w:spacing w:after="0"/>
              <w:rPr>
                <w:sz w:val="20"/>
                <w:szCs w:val="20"/>
                <w:color w:val="auto"/>
              </w:rPr>
            </w:pPr>
            <w:r>
              <w:rPr>
                <w:rFonts w:ascii="Times New Roman" w:cs="Times New Roman" w:eastAsia="Times New Roman" w:hAnsi="Times New Roman"/>
                <w:sz w:val="18"/>
                <w:szCs w:val="18"/>
                <w:color w:val="auto"/>
              </w:rPr>
              <w:t>Year Ended November 26, 2016</w:t>
            </w:r>
          </w:p>
        </w:tc>
        <w:tc>
          <w:tcPr>
            <w:tcW w:w="2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0"/>
        </w:trPr>
        <w:tc>
          <w:tcPr>
            <w:tcW w:w="35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color w:val="auto"/>
              </w:rPr>
              <w:t>Retail</w:t>
            </w: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Logistics</w:t>
            </w:r>
          </w:p>
        </w:tc>
        <w:tc>
          <w:tcPr>
            <w:tcW w:w="1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99"/>
              </w:rPr>
              <w:t>Eliminations</w:t>
            </w:r>
          </w:p>
        </w:tc>
        <w:tc>
          <w:tcPr>
            <w:tcW w:w="2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35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240,346</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254,667</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(117,817)</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w:t>
            </w:r>
          </w:p>
        </w:tc>
        <w:tc>
          <w:tcPr>
            <w:tcW w:w="3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377,196</w:t>
            </w:r>
          </w:p>
        </w:tc>
        <w:tc>
          <w:tcPr>
            <w:tcW w:w="80" w:type="dxa"/>
            <w:vAlign w:val="bottom"/>
          </w:tcPr>
          <w:p>
            <w:pPr>
              <w:spacing w:after="0"/>
              <w:rPr>
                <w:sz w:val="18"/>
                <w:szCs w:val="18"/>
                <w:color w:val="auto"/>
              </w:rPr>
            </w:pPr>
          </w:p>
        </w:tc>
      </w:tr>
      <w:tr>
        <w:trPr>
          <w:trHeight w:val="216"/>
        </w:trPr>
        <w:tc>
          <w:tcPr>
            <w:tcW w:w="35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Logistics</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83,236</w:t>
            </w:r>
          </w:p>
        </w:tc>
        <w:tc>
          <w:tcPr>
            <w:tcW w:w="1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(28,394)</w:t>
            </w:r>
          </w:p>
        </w:tc>
        <w:tc>
          <w:tcPr>
            <w:tcW w:w="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w:t>
            </w:r>
          </w:p>
        </w:tc>
        <w:tc>
          <w:tcPr>
            <w:tcW w:w="3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54,842</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5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sales revenue</w:t>
            </w:r>
          </w:p>
        </w:tc>
        <w:tc>
          <w:tcPr>
            <w:tcW w:w="1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240,346</w:t>
            </w:r>
          </w:p>
        </w:tc>
        <w:tc>
          <w:tcPr>
            <w:tcW w:w="3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254,667</w:t>
            </w:r>
          </w:p>
        </w:tc>
        <w:tc>
          <w:tcPr>
            <w:tcW w:w="2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83,236</w:t>
            </w: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(146,211)</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432,038</w:t>
            </w:r>
          </w:p>
        </w:tc>
        <w:tc>
          <w:tcPr>
            <w:tcW w:w="80" w:type="dxa"/>
            <w:vAlign w:val="bottom"/>
          </w:tcPr>
          <w:p>
            <w:pPr>
              <w:spacing w:after="0"/>
              <w:rPr>
                <w:sz w:val="18"/>
                <w:szCs w:val="18"/>
                <w:color w:val="auto"/>
              </w:rPr>
            </w:pPr>
          </w:p>
        </w:tc>
      </w:tr>
      <w:tr>
        <w:trPr>
          <w:trHeight w:val="216"/>
        </w:trPr>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156,894</w:t>
            </w:r>
          </w:p>
        </w:tc>
        <w:tc>
          <w:tcPr>
            <w:tcW w:w="3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128,208</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(117,583)</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(3)</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167,519</w:t>
            </w:r>
          </w:p>
        </w:tc>
        <w:tc>
          <w:tcPr>
            <w:tcW w:w="80" w:type="dxa"/>
            <w:vAlign w:val="bottom"/>
            <w:shd w:val="clear" w:color="auto" w:fill="CCEEFF"/>
          </w:tcPr>
          <w:p>
            <w:pPr>
              <w:spacing w:after="0"/>
              <w:rPr>
                <w:sz w:val="18"/>
                <w:szCs w:val="18"/>
                <w:color w:val="auto"/>
              </w:rPr>
            </w:pPr>
          </w:p>
        </w:tc>
      </w:tr>
      <w:tr>
        <w:trPr>
          <w:trHeight w:val="216"/>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64,780</w:t>
            </w:r>
          </w:p>
        </w:tc>
        <w:tc>
          <w:tcPr>
            <w:tcW w:w="34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120,978</w:t>
            </w:r>
          </w:p>
        </w:tc>
        <w:tc>
          <w:tcPr>
            <w:tcW w:w="2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79,725</w:t>
            </w:r>
          </w:p>
        </w:tc>
        <w:tc>
          <w:tcPr>
            <w:tcW w:w="1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(30,305)</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(4)</w:t>
            </w:r>
          </w:p>
        </w:tc>
        <w:tc>
          <w:tcPr>
            <w:tcW w:w="3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235,178</w:t>
            </w:r>
          </w:p>
        </w:tc>
        <w:tc>
          <w:tcPr>
            <w:tcW w:w="80" w:type="dxa"/>
            <w:vAlign w:val="bottom"/>
          </w:tcPr>
          <w:p>
            <w:pPr>
              <w:spacing w:after="0"/>
              <w:rPr>
                <w:sz w:val="18"/>
                <w:szCs w:val="18"/>
                <w:color w:val="auto"/>
              </w:rPr>
            </w:pPr>
          </w:p>
        </w:tc>
      </w:tr>
      <w:tr>
        <w:trPr>
          <w:trHeight w:val="216"/>
        </w:trPr>
        <w:tc>
          <w:tcPr>
            <w:tcW w:w="3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1,148</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1,148</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18,672</w:t>
            </w:r>
          </w:p>
        </w:tc>
        <w:tc>
          <w:tcPr>
            <w:tcW w:w="3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4,333</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3,511</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1,677</w:t>
            </w:r>
          </w:p>
        </w:tc>
        <w:tc>
          <w:tcPr>
            <w:tcW w:w="26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28,193</w:t>
            </w:r>
          </w:p>
        </w:tc>
        <w:tc>
          <w:tcPr>
            <w:tcW w:w="80" w:type="dxa"/>
            <w:vAlign w:val="bottom"/>
          </w:tcPr>
          <w:p>
            <w:pPr>
              <w:spacing w:after="0"/>
              <w:rPr>
                <w:sz w:val="18"/>
                <w:szCs w:val="18"/>
                <w:color w:val="auto"/>
              </w:rPr>
            </w:pPr>
          </w:p>
        </w:tc>
      </w:tr>
      <w:tr>
        <w:trPr>
          <w:trHeight w:val="20"/>
        </w:trPr>
        <w:tc>
          <w:tcPr>
            <w:tcW w:w="3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hanging="332"/>
        <w:spacing w:after="0"/>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sales from our wholesale segment to our Company-owned BHF stores.</w:t>
      </w:r>
    </w:p>
    <w:p>
      <w:pPr>
        <w:spacing w:after="0" w:line="27"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logistical services billed to our wholesale segment.</w:t>
      </w:r>
    </w:p>
    <w:p>
      <w:pPr>
        <w:spacing w:after="0" w:line="9" w:lineRule="exact"/>
        <w:rPr>
          <w:rFonts w:ascii="Times New Roman" w:cs="Times New Roman" w:eastAsia="Times New Roman" w:hAnsi="Times New Roman"/>
          <w:sz w:val="18"/>
          <w:szCs w:val="18"/>
          <w:color w:val="auto"/>
        </w:rPr>
      </w:pPr>
    </w:p>
    <w:p>
      <w:pPr>
        <w:ind w:left="340" w:right="380" w:hanging="332"/>
        <w:spacing w:after="0" w:line="250" w:lineRule="auto"/>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purchases by our Company-owned BHF stores from our wholesale segment, as well as the change for the period in the elimination of intercompany profit in ending retail inventory.</w:t>
      </w:r>
    </w:p>
    <w:p>
      <w:pPr>
        <w:ind w:left="340" w:hanging="332"/>
        <w:spacing w:after="0" w:line="261" w:lineRule="auto"/>
        <w:tabs>
          <w:tab w:leader="none" w:pos="3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rent paid by our retail stores occupying Company-owned real estate and logistical services expense incurred from Zenith by our wholesale segment.</w:t>
      </w:r>
    </w:p>
    <w:p>
      <w:pPr>
        <w:spacing w:after="0" w:line="207"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230"/>
              <w:spacing w:after="0"/>
              <w:rPr>
                <w:sz w:val="20"/>
                <w:szCs w:val="20"/>
                <w:color w:val="auto"/>
              </w:rPr>
            </w:pPr>
            <w:r>
              <w:rPr>
                <w:rFonts w:ascii="Times New Roman" w:cs="Times New Roman" w:eastAsia="Times New Roman" w:hAnsi="Times New Roman"/>
                <w:sz w:val="18"/>
                <w:szCs w:val="18"/>
                <w:color w:val="auto"/>
                <w:w w:val="98"/>
              </w:rPr>
              <w:t>Year Ended</w:t>
            </w:r>
          </w:p>
        </w:tc>
        <w:tc>
          <w:tcPr>
            <w:tcW w:w="2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2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20" w:type="dxa"/>
            <w:vAlign w:val="bottom"/>
          </w:tcPr>
          <w:p>
            <w:pPr>
              <w:jc w:val="right"/>
              <w:ind w:right="310"/>
              <w:spacing w:after="0" w:line="191" w:lineRule="exact"/>
              <w:rPr>
                <w:sz w:val="20"/>
                <w:szCs w:val="20"/>
                <w:color w:val="auto"/>
              </w:rPr>
            </w:pPr>
            <w:r>
              <w:rPr>
                <w:rFonts w:ascii="Times New Roman" w:cs="Times New Roman" w:eastAsia="Times New Roman" w:hAnsi="Times New Roman"/>
                <w:sz w:val="18"/>
                <w:szCs w:val="18"/>
                <w:color w:val="auto"/>
              </w:rPr>
              <w:t>November 24,</w:t>
            </w:r>
          </w:p>
        </w:tc>
        <w:tc>
          <w:tcPr>
            <w:tcW w:w="240" w:type="dxa"/>
            <w:vAlign w:val="bottom"/>
          </w:tcPr>
          <w:p>
            <w:pPr>
              <w:spacing w:after="0"/>
              <w:rPr>
                <w:sz w:val="16"/>
                <w:szCs w:val="16"/>
                <w:color w:val="auto"/>
              </w:rPr>
            </w:pPr>
          </w:p>
        </w:tc>
        <w:tc>
          <w:tcPr>
            <w:tcW w:w="1480" w:type="dxa"/>
            <w:vAlign w:val="bottom"/>
          </w:tcPr>
          <w:p>
            <w:pPr>
              <w:jc w:val="center"/>
              <w:ind w:right="210"/>
              <w:spacing w:after="0" w:line="191" w:lineRule="exact"/>
              <w:rPr>
                <w:sz w:val="20"/>
                <w:szCs w:val="20"/>
                <w:color w:val="auto"/>
              </w:rPr>
            </w:pPr>
            <w:r>
              <w:rPr>
                <w:rFonts w:ascii="Times New Roman" w:cs="Times New Roman" w:eastAsia="Times New Roman" w:hAnsi="Times New Roman"/>
                <w:sz w:val="18"/>
                <w:szCs w:val="18"/>
                <w:color w:val="auto"/>
                <w:w w:val="99"/>
              </w:rPr>
              <w:t>November 25,</w:t>
            </w:r>
          </w:p>
        </w:tc>
        <w:tc>
          <w:tcPr>
            <w:tcW w:w="220" w:type="dxa"/>
            <w:vAlign w:val="bottom"/>
          </w:tcPr>
          <w:p>
            <w:pPr>
              <w:spacing w:after="0"/>
              <w:rPr>
                <w:sz w:val="16"/>
                <w:szCs w:val="16"/>
                <w:color w:val="auto"/>
              </w:rPr>
            </w:pPr>
          </w:p>
        </w:tc>
        <w:tc>
          <w:tcPr>
            <w:tcW w:w="1380" w:type="dxa"/>
            <w:vAlign w:val="bottom"/>
          </w:tcPr>
          <w:p>
            <w:pPr>
              <w:jc w:val="center"/>
              <w:ind w:right="70"/>
              <w:spacing w:after="0" w:line="191" w:lineRule="exact"/>
              <w:rPr>
                <w:sz w:val="20"/>
                <w:szCs w:val="20"/>
                <w:color w:val="auto"/>
              </w:rPr>
            </w:pPr>
            <w:r>
              <w:rPr>
                <w:rFonts w:ascii="Times New Roman" w:cs="Times New Roman" w:eastAsia="Times New Roman" w:hAnsi="Times New Roman"/>
                <w:sz w:val="18"/>
                <w:szCs w:val="18"/>
                <w:color w:val="auto"/>
                <w:w w:val="99"/>
              </w:rPr>
              <w:t>November 26,</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630"/>
              <w:spacing w:after="0"/>
              <w:rPr>
                <w:sz w:val="20"/>
                <w:szCs w:val="20"/>
                <w:color w:val="auto"/>
              </w:rPr>
            </w:pPr>
            <w:r>
              <w:rPr>
                <w:rFonts w:ascii="Times New Roman" w:cs="Times New Roman" w:eastAsia="Times New Roman" w:hAnsi="Times New Roman"/>
                <w:sz w:val="18"/>
                <w:szCs w:val="18"/>
                <w:color w:val="auto"/>
              </w:rPr>
              <w:t>2018</w:t>
            </w: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190"/>
              <w:spacing w:after="0"/>
              <w:rPr>
                <w:sz w:val="20"/>
                <w:szCs w:val="20"/>
                <w:color w:val="auto"/>
              </w:rPr>
            </w:pPr>
            <w:r>
              <w:rPr>
                <w:rFonts w:ascii="Times New Roman" w:cs="Times New Roman" w:eastAsia="Times New Roman" w:hAnsi="Times New Roman"/>
                <w:sz w:val="18"/>
                <w:szCs w:val="18"/>
                <w:color w:val="auto"/>
                <w:w w:val="99"/>
              </w:rPr>
              <w:t>2017</w:t>
            </w:r>
          </w:p>
        </w:tc>
        <w:tc>
          <w:tcPr>
            <w:tcW w:w="2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color w:val="auto"/>
              </w:rPr>
              <w:t>2016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Intercompany logistical services</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(28,480)</w:t>
            </w:r>
          </w:p>
        </w:tc>
        <w:tc>
          <w:tcPr>
            <w:tcW w:w="2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(28,624)</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(28,394)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80" w:type="dxa"/>
            <w:vAlign w:val="bottom"/>
          </w:tcPr>
          <w:p>
            <w:pPr>
              <w:spacing w:after="0"/>
              <w:rPr>
                <w:sz w:val="20"/>
                <w:szCs w:val="20"/>
                <w:color w:val="auto"/>
              </w:rPr>
            </w:pPr>
            <w:r>
              <w:rPr>
                <w:rFonts w:ascii="Times New Roman" w:cs="Times New Roman" w:eastAsia="Times New Roman" w:hAnsi="Times New Roman"/>
                <w:sz w:val="18"/>
                <w:szCs w:val="18"/>
                <w:color w:val="auto"/>
              </w:rPr>
              <w:t>Intercompany rents</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(1,584)</w:t>
            </w: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(1,893)</w:t>
            </w:r>
          </w:p>
        </w:tc>
        <w:tc>
          <w:tcPr>
            <w:tcW w:w="22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(1,911)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Total SG&amp;A expense elimination</w:t>
            </w:r>
          </w:p>
        </w:tc>
        <w:tc>
          <w:tcPr>
            <w:tcW w:w="7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(30,064)</w:t>
            </w:r>
          </w:p>
        </w:tc>
        <w:tc>
          <w:tcPr>
            <w:tcW w:w="2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(30,517)</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(30,305)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4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ind w:left="5620" w:right="3240" w:hanging="5612"/>
        <w:spacing w:after="0" w:line="532" w:lineRule="auto"/>
        <w:tabs>
          <w:tab w:leader="none" w:pos="32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Excludes the effects of asset impairment chargesand lease exit costs which are not allocated to our segments.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-90170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580" w:right="25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i w:val="1"/>
          <w:iCs w:val="1"/>
          <w:color w:val="auto"/>
        </w:rPr>
        <w:t>Wholesale Segment</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Net sales, gross profit, SG&amp;A expense and operating income from operations for our Wholesale Segment were as follows for the years ended November 24, 2018, November 25, 2017 and November 26, 2016:</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44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6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3"/>
          </w:tcPr>
          <w:p>
            <w:pPr>
              <w:jc w:val="right"/>
              <w:ind w:right="52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60" w:type="dxa"/>
            <w:vAlign w:val="bottom"/>
          </w:tcPr>
          <w:p>
            <w:pPr>
              <w:spacing w:after="0"/>
              <w:rPr>
                <w:sz w:val="18"/>
                <w:szCs w:val="18"/>
                <w:color w:val="auto"/>
              </w:rPr>
            </w:pP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2016</w:t>
            </w:r>
          </w:p>
        </w:tc>
        <w:tc>
          <w:tcPr>
            <w:tcW w:w="48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20" w:type="dxa"/>
            <w:vAlign w:val="bottom"/>
            <w:tcBorders>
              <w:top w:val="single" w:sz="8" w:color="auto"/>
              <w:bottom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60" w:type="dxa"/>
            <w:vAlign w:val="bottom"/>
          </w:tcPr>
          <w:p>
            <w:pPr>
              <w:spacing w:after="0"/>
              <w:rPr>
                <w:sz w:val="19"/>
                <w:szCs w:val="19"/>
                <w:color w:val="auto"/>
              </w:rPr>
            </w:pPr>
          </w:p>
        </w:tc>
        <w:tc>
          <w:tcPr>
            <w:tcW w:w="860" w:type="dxa"/>
            <w:vAlign w:val="bottom"/>
            <w:tcBorders>
              <w:top w:val="single" w:sz="8" w:color="auto"/>
              <w:bottom w:val="single" w:sz="8" w:color="auto"/>
            </w:tcBorders>
            <w:gridSpan w:val="2"/>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20" w:type="dxa"/>
            <w:vAlign w:val="bottom"/>
            <w:tcBorders>
              <w:top w:val="single" w:sz="8" w:color="auto"/>
              <w:bottom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w w:val="94"/>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255,958</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249,193</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240,346</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6,765</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8,847</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8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0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84,686</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33.1%</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85,165</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34.2%</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83,452</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34.7%</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(479)</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-0.6%</w:t>
            </w:r>
          </w:p>
        </w:tc>
        <w:tc>
          <w:tcPr>
            <w:tcW w:w="160" w:type="dxa"/>
            <w:vAlign w:val="bottom"/>
          </w:tcPr>
          <w:p>
            <w:pPr>
              <w:spacing w:after="0"/>
              <w:rPr>
                <w:sz w:val="18"/>
                <w:szCs w:val="18"/>
                <w:color w:val="auto"/>
              </w:rPr>
            </w:pPr>
          </w:p>
        </w:tc>
        <w:tc>
          <w:tcPr>
            <w:tcW w:w="7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1,713</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72,412</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28.3%</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66,044</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26.5%</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64,780</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27.0%</w:t>
            </w:r>
          </w:p>
        </w:tc>
        <w:tc>
          <w:tcPr>
            <w:tcW w:w="160" w:type="dxa"/>
            <w:vAlign w:val="bottom"/>
            <w:shd w:val="clear" w:color="auto" w:fill="CCEEFF"/>
          </w:tcPr>
          <w:p>
            <w:pPr>
              <w:spacing w:after="0"/>
              <w:rPr>
                <w:sz w:val="19"/>
                <w:szCs w:val="19"/>
                <w:color w:val="auto"/>
              </w:rPr>
            </w:pPr>
          </w:p>
        </w:tc>
        <w:tc>
          <w:tcPr>
            <w:tcW w:w="6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6,368</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9.6%</w:t>
            </w: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1,264</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12,274</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19,121</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7.7%</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18,672</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7.8%</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-35.8%</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449</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0"/>
        </w:trPr>
        <w:tc>
          <w:tcPr>
            <w:tcW w:w="2820" w:type="dxa"/>
            <w:vAlign w:val="bottom"/>
            <w:gridSpan w:val="2"/>
          </w:tcPr>
          <w:p>
            <w:pPr>
              <w:spacing w:after="0" w:line="20" w:lineRule="exact"/>
              <w:rPr>
                <w:sz w:val="1"/>
                <w:szCs w:val="1"/>
                <w:color w:val="auto"/>
              </w:rPr>
            </w:pPr>
          </w:p>
        </w:tc>
        <w:tc>
          <w:tcPr>
            <w:tcW w:w="1460" w:type="dxa"/>
            <w:vAlign w:val="bottom"/>
            <w:tcBorders>
              <w:top w:val="single" w:sz="8" w:color="auto"/>
              <w:bottom w:val="single" w:sz="8" w:color="auto"/>
            </w:tcBorders>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300" w:type="dxa"/>
            <w:vAlign w:val="bottom"/>
            <w:gridSpan w:val="10"/>
          </w:tcPr>
          <w:p>
            <w:pPr>
              <w:spacing w:after="0"/>
              <w:rPr>
                <w:sz w:val="20"/>
                <w:szCs w:val="20"/>
                <w:color w:val="auto"/>
              </w:rPr>
            </w:pPr>
            <w:r>
              <w:rPr>
                <w:rFonts w:ascii="Times New Roman" w:cs="Times New Roman" w:eastAsia="Times New Roman" w:hAnsi="Times New Roman"/>
                <w:sz w:val="18"/>
                <w:szCs w:val="18"/>
                <w:color w:val="auto"/>
              </w:rPr>
              <w:t>Wholesale shipments by category for the last three fiscal years are summarized below:</w:t>
            </w: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6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3"/>
          </w:tcPr>
          <w:p>
            <w:pPr>
              <w:jc w:val="right"/>
              <w:ind w:right="52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60" w:type="dxa"/>
            <w:vAlign w:val="bottom"/>
          </w:tcPr>
          <w:p>
            <w:pPr>
              <w:spacing w:after="0"/>
              <w:rPr>
                <w:sz w:val="18"/>
                <w:szCs w:val="18"/>
                <w:color w:val="auto"/>
              </w:rPr>
            </w:pP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2016</w:t>
            </w:r>
          </w:p>
        </w:tc>
        <w:tc>
          <w:tcPr>
            <w:tcW w:w="48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820" w:type="dxa"/>
            <w:vAlign w:val="bottom"/>
            <w:tcBorders>
              <w:top w:val="single" w:sz="8" w:color="auto"/>
              <w:bottom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60" w:type="dxa"/>
            <w:vAlign w:val="bottom"/>
          </w:tcPr>
          <w:p>
            <w:pPr>
              <w:spacing w:after="0"/>
              <w:rPr>
                <w:sz w:val="19"/>
                <w:szCs w:val="19"/>
                <w:color w:val="auto"/>
              </w:rPr>
            </w:pPr>
          </w:p>
        </w:tc>
        <w:tc>
          <w:tcPr>
            <w:tcW w:w="860" w:type="dxa"/>
            <w:vAlign w:val="bottom"/>
            <w:tcBorders>
              <w:top w:val="single" w:sz="8" w:color="auto"/>
              <w:bottom w:val="single" w:sz="8" w:color="auto"/>
            </w:tcBorders>
            <w:gridSpan w:val="2"/>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20" w:type="dxa"/>
            <w:vAlign w:val="bottom"/>
            <w:tcBorders>
              <w:top w:val="single" w:sz="8" w:color="auto"/>
              <w:bottom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w w:val="94"/>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Upholstery</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141,321</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55.2%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136,366</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54.7%</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127,989</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53.3%</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4,955</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8,377</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21,589</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8.4%</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22,528</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9.0%</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21,038</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8.8%</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(939)</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-4.2%</w:t>
            </w:r>
          </w:p>
        </w:tc>
        <w:tc>
          <w:tcPr>
            <w:tcW w:w="160" w:type="dxa"/>
            <w:vAlign w:val="bottom"/>
          </w:tcPr>
          <w:p>
            <w:pPr>
              <w:spacing w:after="0"/>
              <w:rPr>
                <w:sz w:val="18"/>
                <w:szCs w:val="18"/>
                <w:color w:val="auto"/>
              </w:rPr>
            </w:pPr>
          </w:p>
        </w:tc>
        <w:tc>
          <w:tcPr>
            <w:tcW w:w="7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1,490</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46,074</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18.0%</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43,793</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17.6%</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36,517</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15.2%</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2,281</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5.2%</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7,276</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42,875</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16.8%</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42,874</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17.2%</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52,246</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21.7%</w:t>
            </w:r>
          </w:p>
        </w:tc>
        <w:tc>
          <w:tcPr>
            <w:tcW w:w="160" w:type="dxa"/>
            <w:vAlign w:val="bottom"/>
          </w:tcPr>
          <w:p>
            <w:pPr>
              <w:spacing w:after="0"/>
              <w:rPr>
                <w:sz w:val="18"/>
                <w:szCs w:val="18"/>
                <w:color w:val="auto"/>
              </w:rPr>
            </w:pPr>
          </w:p>
        </w:tc>
        <w:tc>
          <w:tcPr>
            <w:tcW w:w="6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0.0%</w:t>
            </w:r>
          </w:p>
        </w:tc>
        <w:tc>
          <w:tcPr>
            <w:tcW w:w="160" w:type="dxa"/>
            <w:vAlign w:val="bottom"/>
          </w:tcPr>
          <w:p>
            <w:pPr>
              <w:spacing w:after="0"/>
              <w:rPr>
                <w:sz w:val="18"/>
                <w:szCs w:val="18"/>
                <w:color w:val="auto"/>
              </w:rPr>
            </w:pPr>
          </w:p>
        </w:tc>
        <w:tc>
          <w:tcPr>
            <w:tcW w:w="7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(9,372)</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4,099</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3,632</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2,556</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1.1%</w:t>
            </w:r>
          </w:p>
        </w:tc>
        <w:tc>
          <w:tcPr>
            <w:tcW w:w="160" w:type="dxa"/>
            <w:vAlign w:val="bottom"/>
            <w:shd w:val="clear" w:color="auto" w:fill="CCEEFF"/>
          </w:tcPr>
          <w:p>
            <w:pPr>
              <w:spacing w:after="0"/>
              <w:rPr>
                <w:sz w:val="19"/>
                <w:szCs w:val="19"/>
                <w:color w:val="auto"/>
              </w:rPr>
            </w:pPr>
          </w:p>
        </w:tc>
        <w:tc>
          <w:tcPr>
            <w:tcW w:w="6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467</w:t>
            </w:r>
          </w:p>
        </w:tc>
        <w:tc>
          <w:tcPr>
            <w:tcW w:w="9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12.9%</w:t>
            </w: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1,076</w:t>
            </w:r>
          </w:p>
        </w:tc>
        <w:tc>
          <w:tcPr>
            <w:tcW w:w="7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8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99"/>
              </w:rPr>
              <w:t>255,958</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249,193</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240,346</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6,765</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2.7%</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8,847</w:t>
            </w:r>
          </w:p>
        </w:tc>
        <w:tc>
          <w:tcPr>
            <w:tcW w:w="7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Fiscal 2018 as Compared to Fiscal 2017</w:t>
      </w:r>
    </w:p>
    <w:p>
      <w:pPr>
        <w:spacing w:after="0" w:line="227"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7"/>
          <w:szCs w:val="17"/>
          <w:color w:val="auto"/>
        </w:rPr>
        <w:t>The increase in net sales was driven by the addition of $9,546 of revenue for Lane Venture, acquired during the first quarter of 2018, along with a 1.8% increase in furniture shipments to the open market (outside the BHF network and excluding shipments from Lane Venture), partially offset by a 2.8% decrease in furniture shipments to the BHF network as compared to the prior year period. A much smaller component of our wholesale revenues, shipments of wholesale accessories, increased 12.9% over the prior year period. Gross margins for the wholesale segment were 33.1% for fiscal 2018 compared to 34.2% for the prior year. This decrease was primarily driven by lower margins in the Bassett Custom Upholstery operations, excluding Lane Venture, due to higher materials costs coupled with lower absorption of fixed costs due to lower volumes. In June 2018, we implemented targeted price increases to our Custom Upholstery line to mitigate the effects of the cost increases and began seeing the benefit on margins in July 2018. Wholesale SG&amp;A increased as a percentage of sales over the prior year period primarily driven by planned higher digital marketing and other brand development costs, partially offset by decreased incentive compensation. In addition, we incurred $256 of one-time acquisition costs along with other startup costs associated with the Lane Venture operation.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Fiscal 2017 as Compared to Fiscal 2016</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sales increase in 2017 was driven by a 2.7% increase in furniture shipments to the BHF store network along with a 3.9% increase in furniture shipments to the open market (outside the BHF store network) as compared to the prior year period. A much smaller component of our wholesale revenues, shipments of wholesale accessories, increased 42% over the prior year period. The decrease in gross margins from fiscal 2016 was primarily due to the $1,428 settlement of the Polyurethane Foam Antitrust Litigation in 2016. Excluding the benefit of the settlement, the gross margin for fiscal 2016 would have been 34.1%. This increase was primarily due to improved margins in the Bassett Custom Upholstery operations from favorable pricing strategies and improved manufacturing efficiencies. The decrease in SG&amp;A as a percentage of sales compared with 2016 was primarily due to greater leverage of fixed costs from higher sales volumes, partially offset by increased spending on the website and digital strategy development.</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i w:val="1"/>
          <w:iCs w:val="1"/>
          <w:color w:val="auto"/>
        </w:rPr>
        <w:t>Wholesale Backlog</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dollar value of our wholesale backlog, representing orders received but not yet delivered to dealers and Company stores as of November 24, 2018,</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25, 2017, and November 26, 2016 was as follows:</w:t>
      </w:r>
    </w:p>
    <w:p>
      <w:pPr>
        <w:spacing w:after="0" w:line="203"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3020" w:type="dxa"/>
            <w:vAlign w:val="bottom"/>
          </w:tcPr>
          <w:p>
            <w:pPr>
              <w:spacing w:after="0"/>
              <w:rPr>
                <w:sz w:val="20"/>
                <w:szCs w:val="20"/>
                <w:color w:val="auto"/>
              </w:rPr>
            </w:pPr>
          </w:p>
        </w:tc>
        <w:tc>
          <w:tcPr>
            <w:tcW w:w="20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6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6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0"/>
                <w:szCs w:val="20"/>
                <w:color w:val="auto"/>
              </w:rPr>
            </w:pPr>
          </w:p>
        </w:tc>
      </w:tr>
      <w:tr>
        <w:trPr>
          <w:trHeight w:val="210"/>
        </w:trPr>
        <w:tc>
          <w:tcPr>
            <w:tcW w:w="30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36"/>
        </w:trPr>
        <w:tc>
          <w:tcPr>
            <w:tcW w:w="3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Year end wholesale backlog</w:t>
            </w:r>
          </w:p>
        </w:tc>
        <w:tc>
          <w:tcPr>
            <w:tcW w:w="100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25,810</w:t>
            </w:r>
          </w:p>
        </w:tc>
        <w:tc>
          <w:tcPr>
            <w:tcW w:w="110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22,239</w:t>
            </w:r>
          </w:p>
        </w:tc>
        <w:tc>
          <w:tcPr>
            <w:tcW w:w="42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22,130</w:t>
            </w:r>
          </w:p>
        </w:tc>
      </w:tr>
      <w:tr>
        <w:trPr>
          <w:trHeight w:val="20"/>
        </w:trPr>
        <w:tc>
          <w:tcPr>
            <w:tcW w:w="302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10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Retail Segment – Company Owned Stores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sales, gross profit, SG&amp;A expense, new store pre-opening costs and operating income for our Retail Segment were as follows for the years ended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24, 2018, November 25, 2017 and November 26, 2016:</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700" w:type="dxa"/>
            <w:vAlign w:val="bottom"/>
            <w:gridSpan w:val="4"/>
            <w:vMerge w:val="restart"/>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740" w:type="dxa"/>
            <w:vAlign w:val="bottom"/>
            <w:gridSpan w:val="4"/>
            <w:vMerge w:val="restart"/>
          </w:tcPr>
          <w:p>
            <w:pPr>
              <w:jc w:val="right"/>
              <w:ind w:right="55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58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700" w:type="dxa"/>
            <w:vAlign w:val="bottom"/>
            <w:gridSpan w:val="4"/>
            <w:vMerge w:val="continue"/>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740" w:type="dxa"/>
            <w:vAlign w:val="bottom"/>
            <w:gridSpan w:val="4"/>
            <w:vMerge w:val="continue"/>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3"/>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00" w:type="dxa"/>
            <w:vAlign w:val="bottom"/>
          </w:tcPr>
          <w:p>
            <w:pPr>
              <w:spacing w:after="0"/>
              <w:rPr>
                <w:sz w:val="18"/>
                <w:szCs w:val="18"/>
                <w:color w:val="auto"/>
              </w:rPr>
            </w:pPr>
          </w:p>
        </w:tc>
        <w:tc>
          <w:tcPr>
            <w:tcW w:w="1300" w:type="dxa"/>
            <w:vAlign w:val="bottom"/>
            <w:gridSpan w:val="2"/>
          </w:tcPr>
          <w:p>
            <w:pPr>
              <w:ind w:left="12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top w:val="single" w:sz="8" w:color="auto"/>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2016</w:t>
            </w:r>
          </w:p>
        </w:tc>
        <w:tc>
          <w:tcPr>
            <w:tcW w:w="480" w:type="dxa"/>
            <w:vAlign w:val="bottom"/>
            <w:tcBorders>
              <w:top w:val="single" w:sz="8" w:color="auto"/>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Borders>
              <w:top w:val="single" w:sz="8" w:color="auto"/>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80" w:type="dxa"/>
            <w:vAlign w:val="bottom"/>
          </w:tcPr>
          <w:p>
            <w:pPr>
              <w:spacing w:after="0"/>
              <w:rPr>
                <w:sz w:val="19"/>
                <w:szCs w:val="19"/>
                <w:color w:val="auto"/>
              </w:rPr>
            </w:pPr>
          </w:p>
        </w:tc>
        <w:tc>
          <w:tcPr>
            <w:tcW w:w="820" w:type="dxa"/>
            <w:vAlign w:val="bottom"/>
            <w:tcBorders>
              <w:top w:val="single" w:sz="8" w:color="auto"/>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5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4"/>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9"/>
              </w:rPr>
              <w:t>268,883</w:t>
            </w:r>
          </w:p>
        </w:tc>
        <w:tc>
          <w:tcPr>
            <w:tcW w:w="7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9"/>
              </w:rPr>
              <w:t>268,264</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268,264</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254,667</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619</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0.2%</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96"/>
              </w:rPr>
              <w:t>13,597</w:t>
            </w: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2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9"/>
              </w:rPr>
              <w:t>138,292</w:t>
            </w:r>
          </w:p>
        </w:tc>
        <w:tc>
          <w:tcPr>
            <w:tcW w:w="7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51.4%</w:t>
            </w:r>
          </w:p>
        </w:tc>
        <w:tc>
          <w:tcPr>
            <w:tcW w:w="100" w:type="dxa"/>
            <w:vAlign w:val="bottom"/>
          </w:tcPr>
          <w:p>
            <w:pPr>
              <w:spacing w:after="0"/>
              <w:rPr>
                <w:sz w:val="18"/>
                <w:szCs w:val="18"/>
                <w:color w:val="auto"/>
              </w:rPr>
            </w:pPr>
          </w:p>
        </w:tc>
        <w:tc>
          <w:tcPr>
            <w:tcW w:w="8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9"/>
              </w:rPr>
              <w:t>135,801</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50.6%</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135,801</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50.6%</w:t>
            </w:r>
          </w:p>
        </w:tc>
        <w:tc>
          <w:tcPr>
            <w:tcW w:w="10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126,459</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49.7%</w:t>
            </w:r>
          </w:p>
        </w:tc>
        <w:tc>
          <w:tcPr>
            <w:tcW w:w="100" w:type="dxa"/>
            <w:vAlign w:val="bottom"/>
          </w:tcPr>
          <w:p>
            <w:pPr>
              <w:spacing w:after="0"/>
              <w:rPr>
                <w:sz w:val="18"/>
                <w:szCs w:val="18"/>
                <w:color w:val="auto"/>
              </w:rPr>
            </w:pPr>
          </w:p>
        </w:tc>
        <w:tc>
          <w:tcPr>
            <w:tcW w:w="6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2,491</w:t>
            </w: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Pr>
          <w:p>
            <w:pPr>
              <w:spacing w:after="0"/>
              <w:rPr>
                <w:sz w:val="18"/>
                <w:szCs w:val="18"/>
                <w:color w:val="auto"/>
              </w:rPr>
            </w:pPr>
          </w:p>
        </w:tc>
        <w:tc>
          <w:tcPr>
            <w:tcW w:w="7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9,342</w:t>
            </w:r>
          </w:p>
        </w:tc>
        <w:tc>
          <w:tcPr>
            <w:tcW w:w="7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9"/>
              </w:rPr>
              <w:t>136,523</w:t>
            </w:r>
          </w:p>
        </w:tc>
        <w:tc>
          <w:tcPr>
            <w:tcW w:w="7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50.8%</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9"/>
              </w:rPr>
              <w:t>129,898</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48.4%</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129,898</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48.4%</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99"/>
              </w:rPr>
              <w:t>120,978</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47.5%</w:t>
            </w: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6,625</w:t>
            </w: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5.1%</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8,920</w:t>
            </w: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7.4%</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2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New store pre-</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color w:val="auto"/>
              </w:rPr>
              <w:t>2,081</w:t>
            </w:r>
          </w:p>
        </w:tc>
        <w:tc>
          <w:tcPr>
            <w:tcW w:w="74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0.8%</w:t>
            </w:r>
          </w:p>
        </w:tc>
        <w:tc>
          <w:tcPr>
            <w:tcW w:w="100" w:type="dxa"/>
            <w:vAlign w:val="bottom"/>
          </w:tcPr>
          <w:p>
            <w:pPr>
              <w:spacing w:after="0"/>
              <w:rPr>
                <w:sz w:val="17"/>
                <w:szCs w:val="17"/>
                <w:color w:val="auto"/>
              </w:rPr>
            </w:pPr>
          </w:p>
        </w:tc>
        <w:tc>
          <w:tcPr>
            <w:tcW w:w="86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color w:val="auto"/>
              </w:rPr>
              <w:t>2,413</w:t>
            </w:r>
          </w:p>
        </w:tc>
        <w:tc>
          <w:tcPr>
            <w:tcW w:w="74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0.9%</w:t>
            </w:r>
          </w:p>
        </w:tc>
        <w:tc>
          <w:tcPr>
            <w:tcW w:w="100" w:type="dxa"/>
            <w:vAlign w:val="bottom"/>
          </w:tcPr>
          <w:p>
            <w:pPr>
              <w:spacing w:after="0"/>
              <w:rPr>
                <w:sz w:val="17"/>
                <w:szCs w:val="17"/>
                <w:color w:val="auto"/>
              </w:rPr>
            </w:pPr>
          </w:p>
        </w:tc>
        <w:tc>
          <w:tcPr>
            <w:tcW w:w="900" w:type="dxa"/>
            <w:vAlign w:val="bottom"/>
            <w:vMerge w:val="restart"/>
          </w:tcPr>
          <w:p>
            <w:pPr>
              <w:jc w:val="right"/>
              <w:ind w:right="210"/>
              <w:spacing w:after="0"/>
              <w:rPr>
                <w:sz w:val="20"/>
                <w:szCs w:val="20"/>
                <w:color w:val="auto"/>
              </w:rPr>
            </w:pPr>
            <w:r>
              <w:rPr>
                <w:rFonts w:ascii="Times New Roman" w:cs="Times New Roman" w:eastAsia="Times New Roman" w:hAnsi="Times New Roman"/>
                <w:sz w:val="18"/>
                <w:szCs w:val="18"/>
                <w:color w:val="auto"/>
              </w:rPr>
              <w:t>2,413</w:t>
            </w:r>
          </w:p>
        </w:tc>
        <w:tc>
          <w:tcPr>
            <w:tcW w:w="74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0.9%</w:t>
            </w:r>
          </w:p>
        </w:tc>
        <w:tc>
          <w:tcPr>
            <w:tcW w:w="100" w:type="dxa"/>
            <w:vAlign w:val="bottom"/>
          </w:tcPr>
          <w:p>
            <w:pPr>
              <w:spacing w:after="0"/>
              <w:rPr>
                <w:sz w:val="17"/>
                <w:szCs w:val="17"/>
                <w:color w:val="auto"/>
              </w:rPr>
            </w:pPr>
          </w:p>
        </w:tc>
        <w:tc>
          <w:tcPr>
            <w:tcW w:w="900" w:type="dxa"/>
            <w:vAlign w:val="bottom"/>
            <w:vMerge w:val="restart"/>
          </w:tcPr>
          <w:p>
            <w:pPr>
              <w:jc w:val="right"/>
              <w:ind w:right="210"/>
              <w:spacing w:after="0"/>
              <w:rPr>
                <w:sz w:val="20"/>
                <w:szCs w:val="20"/>
                <w:color w:val="auto"/>
              </w:rPr>
            </w:pPr>
            <w:r>
              <w:rPr>
                <w:rFonts w:ascii="Times New Roman" w:cs="Times New Roman" w:eastAsia="Times New Roman" w:hAnsi="Times New Roman"/>
                <w:sz w:val="18"/>
                <w:szCs w:val="18"/>
                <w:color w:val="auto"/>
              </w:rPr>
              <w:t>1,148</w:t>
            </w:r>
          </w:p>
        </w:tc>
        <w:tc>
          <w:tcPr>
            <w:tcW w:w="74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tcPr>
          <w:p>
            <w:pPr>
              <w:spacing w:after="0"/>
              <w:rPr>
                <w:sz w:val="17"/>
                <w:szCs w:val="17"/>
                <w:color w:val="auto"/>
              </w:rPr>
            </w:pPr>
          </w:p>
        </w:tc>
        <w:tc>
          <w:tcPr>
            <w:tcW w:w="6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94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-13.8%</w:t>
            </w:r>
          </w:p>
        </w:tc>
        <w:tc>
          <w:tcPr>
            <w:tcW w:w="100" w:type="dxa"/>
            <w:vAlign w:val="bottom"/>
          </w:tcPr>
          <w:p>
            <w:pPr>
              <w:spacing w:after="0"/>
              <w:rPr>
                <w:sz w:val="17"/>
                <w:szCs w:val="17"/>
                <w:color w:val="auto"/>
              </w:rPr>
            </w:pPr>
          </w:p>
        </w:tc>
        <w:tc>
          <w:tcPr>
            <w:tcW w:w="72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color w:val="auto"/>
              </w:rPr>
              <w:t>1,265</w:t>
            </w:r>
          </w:p>
        </w:tc>
        <w:tc>
          <w:tcPr>
            <w:tcW w:w="7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110.2%</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2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opening costs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vMerge w:val="continue"/>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vMerge w:val="continue"/>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vMerge w:val="continue"/>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vMerge w:val="continue"/>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94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vMerge w:val="continue"/>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20" w:type="dxa"/>
            <w:vAlign w:val="bottom"/>
            <w:vMerge w:val="continue"/>
          </w:tcPr>
          <w:p>
            <w:pPr>
              <w:spacing w:after="0"/>
              <w:rPr>
                <w:sz w:val="16"/>
                <w:szCs w:val="16"/>
                <w:color w:val="auto"/>
              </w:rPr>
            </w:pPr>
          </w:p>
        </w:tc>
        <w:tc>
          <w:tcPr>
            <w:tcW w:w="1220" w:type="dxa"/>
            <w:vAlign w:val="bottom"/>
            <w:shd w:val="clear" w:color="auto" w:fill="CCEEFF"/>
          </w:tcPr>
          <w:p>
            <w:pPr>
              <w:spacing w:after="0" w:line="191" w:lineRule="exact"/>
              <w:rPr>
                <w:sz w:val="20"/>
                <w:szCs w:val="20"/>
                <w:color w:val="auto"/>
              </w:rPr>
            </w:pPr>
            <w:r>
              <w:rPr>
                <w:rFonts w:ascii="Times New Roman" w:cs="Times New Roman" w:eastAsia="Times New Roman" w:hAnsi="Times New Roman"/>
                <w:sz w:val="18"/>
                <w:szCs w:val="18"/>
                <w:color w:val="auto"/>
              </w:rPr>
              <w:t>Income from</w:t>
            </w:r>
          </w:p>
        </w:tc>
        <w:tc>
          <w:tcPr>
            <w:tcW w:w="18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vMerge w:val="restart"/>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(312)</w:t>
            </w:r>
          </w:p>
        </w:tc>
        <w:tc>
          <w:tcPr>
            <w:tcW w:w="74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vMerge w:val="restart"/>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3,490</w:t>
            </w:r>
          </w:p>
        </w:tc>
        <w:tc>
          <w:tcPr>
            <w:tcW w:w="7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vMerge w:val="restart"/>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3,490</w:t>
            </w:r>
          </w:p>
        </w:tc>
        <w:tc>
          <w:tcPr>
            <w:tcW w:w="7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vMerge w:val="restart"/>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4,333</w:t>
            </w:r>
          </w:p>
        </w:tc>
        <w:tc>
          <w:tcPr>
            <w:tcW w:w="7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(3,802)</w:t>
            </w:r>
          </w:p>
        </w:tc>
        <w:tc>
          <w:tcPr>
            <w:tcW w:w="9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-108.9%</w:t>
            </w:r>
          </w:p>
        </w:tc>
        <w:tc>
          <w:tcPr>
            <w:tcW w:w="10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vMerge w:val="restart"/>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(843)</w:t>
            </w:r>
          </w:p>
        </w:tc>
        <w:tc>
          <w:tcPr>
            <w:tcW w:w="74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-19.5%</w:t>
            </w: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1220" w:type="dxa"/>
            <w:vAlign w:val="bottom"/>
            <w:shd w:val="clear" w:color="auto" w:fill="CCEEFF"/>
          </w:tcPr>
          <w:p>
            <w:pPr>
              <w:ind w:left="160"/>
              <w:spacing w:after="0" w:line="194" w:lineRule="exact"/>
              <w:rPr>
                <w:sz w:val="20"/>
                <w:szCs w:val="20"/>
                <w:color w:val="auto"/>
              </w:rPr>
            </w:pPr>
            <w:r>
              <w:rPr>
                <w:rFonts w:ascii="Times New Roman" w:cs="Times New Roman" w:eastAsia="Times New Roman" w:hAnsi="Times New Roman"/>
                <w:sz w:val="18"/>
                <w:szCs w:val="18"/>
                <w:color w:val="auto"/>
              </w:rPr>
              <w:t>operations</w:t>
            </w:r>
          </w:p>
        </w:tc>
        <w:tc>
          <w:tcPr>
            <w:tcW w:w="180" w:type="dxa"/>
            <w:vAlign w:val="bottom"/>
            <w:gridSpan w:val="2"/>
            <w:vMerge w:val="continue"/>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620" w:type="dxa"/>
            <w:vAlign w:val="bottom"/>
            <w:vMerge w:val="continue"/>
            <w:shd w:val="clear" w:color="auto" w:fill="CCEEFF"/>
          </w:tcPr>
          <w:p>
            <w:pPr>
              <w:spacing w:after="0"/>
              <w:rPr>
                <w:sz w:val="18"/>
                <w:szCs w:val="18"/>
                <w:color w:val="auto"/>
              </w:rPr>
            </w:pPr>
          </w:p>
        </w:tc>
        <w:tc>
          <w:tcPr>
            <w:tcW w:w="940" w:type="dxa"/>
            <w:vAlign w:val="bottom"/>
            <w:gridSpan w:val="2"/>
            <w:vMerge w:val="continue"/>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720" w:type="dxa"/>
            <w:vAlign w:val="bottom"/>
            <w:vMerge w:val="continue"/>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tables present operating results on a comparable store basis for each comparative set of periods. Table A compares the results of the 53 stores that were open and operating for all of 2018 and 2017. Table B compares the results of the 52 stores that were open and operating for all of 2017 and 2016.</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Comparable Store Results: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80" w:type="dxa"/>
            <w:vAlign w:val="bottom"/>
            <w:gridSpan w:val="7"/>
            <w:vMerge w:val="restart"/>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Table A: 2018 vs 2017 (53 Stores)</w:t>
            </w:r>
          </w:p>
        </w:tc>
        <w:tc>
          <w:tcPr>
            <w:tcW w:w="100" w:type="dxa"/>
            <w:vAlign w:val="bottom"/>
          </w:tcPr>
          <w:p>
            <w:pPr>
              <w:spacing w:after="0"/>
              <w:rPr>
                <w:sz w:val="20"/>
                <w:szCs w:val="20"/>
                <w:color w:val="auto"/>
              </w:rPr>
            </w:pPr>
          </w:p>
        </w:tc>
        <w:tc>
          <w:tcPr>
            <w:tcW w:w="3380" w:type="dxa"/>
            <w:vAlign w:val="bottom"/>
            <w:gridSpan w:val="7"/>
            <w:vMerge w:val="restart"/>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Table B: 2017 vs 2016 (52 Stores)</w:t>
            </w:r>
          </w:p>
        </w:tc>
        <w:tc>
          <w:tcPr>
            <w:tcW w:w="3160" w:type="dxa"/>
            <w:vAlign w:val="bottom"/>
            <w:gridSpan w:val="7"/>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80" w:type="dxa"/>
            <w:vAlign w:val="bottom"/>
            <w:gridSpan w:val="7"/>
            <w:vMerge w:val="continue"/>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gridSpan w:val="7"/>
            <w:vMerge w:val="continue"/>
          </w:tcPr>
          <w:p>
            <w:pPr>
              <w:spacing w:after="0"/>
              <w:rPr>
                <w:sz w:val="18"/>
                <w:szCs w:val="18"/>
                <w:color w:val="auto"/>
              </w:rPr>
            </w:pPr>
          </w:p>
        </w:tc>
        <w:tc>
          <w:tcPr>
            <w:tcW w:w="1640" w:type="dxa"/>
            <w:vAlign w:val="bottom"/>
            <w:tcBorders>
              <w:top w:val="single" w:sz="8" w:color="auto"/>
            </w:tcBorders>
            <w:gridSpan w:val="3"/>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top w:val="single" w:sz="8" w:color="auto"/>
              <w:bottom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top w:val="single" w:sz="8" w:color="auto"/>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48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2016</w:t>
            </w:r>
          </w:p>
        </w:tc>
        <w:tc>
          <w:tcPr>
            <w:tcW w:w="480" w:type="dxa"/>
            <w:vAlign w:val="bottom"/>
            <w:tcBorders>
              <w:top w:val="single" w:sz="8" w:color="auto"/>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99"/>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60" w:type="dxa"/>
            <w:vAlign w:val="bottom"/>
          </w:tcPr>
          <w:p>
            <w:pPr>
              <w:spacing w:after="0"/>
              <w:rPr>
                <w:sz w:val="19"/>
                <w:szCs w:val="19"/>
                <w:color w:val="auto"/>
              </w:rPr>
            </w:pPr>
          </w:p>
        </w:tc>
        <w:tc>
          <w:tcPr>
            <w:tcW w:w="680" w:type="dxa"/>
            <w:vAlign w:val="bottom"/>
            <w:tcBorders>
              <w:top w:val="single" w:sz="8" w:color="auto"/>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9"/>
              </w:rPr>
              <w:t>235,868</w:t>
            </w: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5"/>
              </w:rPr>
              <w:t>239,633</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233,823</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229,530</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 (3,765)</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w:t>
            </w: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4,293</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38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100" w:type="dxa"/>
            <w:vAlign w:val="bottom"/>
          </w:tcPr>
          <w:p>
            <w:pPr>
              <w:spacing w:after="0"/>
              <w:rPr>
                <w:sz w:val="18"/>
                <w:szCs w:val="18"/>
                <w:color w:val="auto"/>
              </w:rPr>
            </w:pPr>
          </w:p>
        </w:tc>
        <w:tc>
          <w:tcPr>
            <w:tcW w:w="8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9"/>
              </w:rPr>
              <w:t>121,399</w:t>
            </w: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120" w:type="dxa"/>
            <w:vAlign w:val="bottom"/>
          </w:tcPr>
          <w:p>
            <w:pPr>
              <w:spacing w:after="0"/>
              <w:rPr>
                <w:sz w:val="18"/>
                <w:szCs w:val="18"/>
                <w:color w:val="auto"/>
              </w:rPr>
            </w:pPr>
          </w:p>
        </w:tc>
        <w:tc>
          <w:tcPr>
            <w:tcW w:w="84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95"/>
              </w:rPr>
              <w:t>122,710</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51.2%</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99"/>
              </w:rPr>
              <w:t>119,546</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51.1%</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w w:val="99"/>
              </w:rPr>
              <w:t>115,103</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50.1%</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(1,311)</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w:t>
            </w:r>
          </w:p>
        </w:tc>
        <w:tc>
          <w:tcPr>
            <w:tcW w:w="120" w:type="dxa"/>
            <w:vAlign w:val="bottom"/>
          </w:tcPr>
          <w:p>
            <w:pPr>
              <w:spacing w:after="0"/>
              <w:rPr>
                <w:sz w:val="18"/>
                <w:szCs w:val="18"/>
                <w:color w:val="auto"/>
              </w:rPr>
            </w:pPr>
          </w:p>
        </w:tc>
        <w:tc>
          <w:tcPr>
            <w:tcW w:w="5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4,443</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9"/>
              </w:rPr>
              <w:t>115,094</w:t>
            </w: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48.8%</w:t>
            </w:r>
          </w:p>
        </w:tc>
        <w:tc>
          <w:tcPr>
            <w:tcW w:w="12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95"/>
              </w:rPr>
              <w:t>115,161</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48.1%</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112,428</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48.1%</w:t>
            </w: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w w:val="99"/>
              </w:rPr>
              <w:t>108,328</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47.2%</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-0.1%</w:t>
            </w:r>
          </w:p>
        </w:tc>
        <w:tc>
          <w:tcPr>
            <w:tcW w:w="12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4,100</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20" w:type="dxa"/>
            <w:vAlign w:val="bottom"/>
            <w:vMerge w:val="continue"/>
          </w:tcPr>
          <w:p>
            <w:pPr>
              <w:spacing w:after="0"/>
              <w:rPr>
                <w:sz w:val="16"/>
                <w:szCs w:val="16"/>
                <w:color w:val="auto"/>
              </w:rPr>
            </w:pPr>
          </w:p>
        </w:tc>
        <w:tc>
          <w:tcPr>
            <w:tcW w:w="13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Income from</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color w:val="auto"/>
              </w:rPr>
              <w:t>6,305</w:t>
            </w:r>
          </w:p>
        </w:tc>
        <w:tc>
          <w:tcPr>
            <w:tcW w:w="7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2.7%</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color w:val="auto"/>
              </w:rPr>
              <w:t>7,549</w:t>
            </w:r>
          </w:p>
        </w:tc>
        <w:tc>
          <w:tcPr>
            <w:tcW w:w="74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3.2%</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vMerge w:val="restart"/>
          </w:tcPr>
          <w:p>
            <w:pPr>
              <w:jc w:val="right"/>
              <w:ind w:right="190"/>
              <w:spacing w:after="0"/>
              <w:rPr>
                <w:sz w:val="20"/>
                <w:szCs w:val="20"/>
                <w:color w:val="auto"/>
              </w:rPr>
            </w:pPr>
            <w:r>
              <w:rPr>
                <w:rFonts w:ascii="Times New Roman" w:cs="Times New Roman" w:eastAsia="Times New Roman" w:hAnsi="Times New Roman"/>
                <w:sz w:val="18"/>
                <w:szCs w:val="18"/>
                <w:color w:val="auto"/>
              </w:rPr>
              <w:t>7,118</w:t>
            </w:r>
          </w:p>
        </w:tc>
        <w:tc>
          <w:tcPr>
            <w:tcW w:w="7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vMerge w:val="restart"/>
          </w:tcPr>
          <w:p>
            <w:pPr>
              <w:jc w:val="right"/>
              <w:ind w:right="190"/>
              <w:spacing w:after="0"/>
              <w:rPr>
                <w:sz w:val="20"/>
                <w:szCs w:val="20"/>
                <w:color w:val="auto"/>
              </w:rPr>
            </w:pPr>
            <w:r>
              <w:rPr>
                <w:rFonts w:ascii="Times New Roman" w:cs="Times New Roman" w:eastAsia="Times New Roman" w:hAnsi="Times New Roman"/>
                <w:sz w:val="18"/>
                <w:szCs w:val="18"/>
                <w:color w:val="auto"/>
              </w:rPr>
              <w:t>6,775</w:t>
            </w:r>
          </w:p>
        </w:tc>
        <w:tc>
          <w:tcPr>
            <w:tcW w:w="7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3.0%</w:t>
            </w: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93"/>
              </w:rPr>
              <w:t>$ (1,244)</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-16.5%</w:t>
            </w:r>
          </w:p>
        </w:tc>
        <w:tc>
          <w:tcPr>
            <w:tcW w:w="1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343</w:t>
            </w:r>
          </w:p>
        </w:tc>
        <w:tc>
          <w:tcPr>
            <w:tcW w:w="8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5.1%</w:t>
            </w: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1380" w:type="dxa"/>
            <w:vAlign w:val="bottom"/>
          </w:tcPr>
          <w:p>
            <w:pPr>
              <w:ind w:left="160"/>
              <w:spacing w:after="0" w:line="194" w:lineRule="exact"/>
              <w:rPr>
                <w:sz w:val="20"/>
                <w:szCs w:val="20"/>
                <w:color w:val="auto"/>
              </w:rPr>
            </w:pPr>
            <w:r>
              <w:rPr>
                <w:rFonts w:ascii="Times New Roman" w:cs="Times New Roman" w:eastAsia="Times New Roman" w:hAnsi="Times New Roman"/>
                <w:sz w:val="18"/>
                <w:szCs w:val="18"/>
                <w:color w:val="auto"/>
              </w:rPr>
              <w:t>operations</w:t>
            </w:r>
          </w:p>
        </w:tc>
        <w:tc>
          <w:tcPr>
            <w:tcW w:w="100" w:type="dxa"/>
            <w:vAlign w:val="bottom"/>
            <w:vMerge w:val="continue"/>
          </w:tcPr>
          <w:p>
            <w:pPr>
              <w:spacing w:after="0"/>
              <w:rPr>
                <w:sz w:val="16"/>
                <w:szCs w:val="16"/>
                <w:color w:val="auto"/>
              </w:rPr>
            </w:pPr>
          </w:p>
        </w:tc>
        <w:tc>
          <w:tcPr>
            <w:tcW w:w="860" w:type="dxa"/>
            <w:vAlign w:val="bottom"/>
            <w:vMerge w:val="continue"/>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840" w:type="dxa"/>
            <w:vAlign w:val="bottom"/>
            <w:vMerge w:val="continue"/>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880" w:type="dxa"/>
            <w:vAlign w:val="bottom"/>
            <w:vMerge w:val="continue"/>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880" w:type="dxa"/>
            <w:vAlign w:val="bottom"/>
            <w:vMerge w:val="continue"/>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720" w:type="dxa"/>
            <w:vAlign w:val="bottom"/>
            <w:vMerge w:val="continue"/>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tables present operating results for all other stores which were not comparable year-over-year. Each table includes the results of stores that either opened or closed at some point during the 24 months of each comparative set of periods.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All Other (Non-Comparable) Store Results: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80" w:type="dxa"/>
            <w:vAlign w:val="bottom"/>
            <w:gridSpan w:val="5"/>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2018 vs 2017 All Other Stores</w:t>
            </w: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0" w:type="dxa"/>
            <w:vAlign w:val="bottom"/>
            <w:gridSpan w:val="5"/>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2017 vs 2016 All Other Stores</w:t>
            </w: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180" w:type="dxa"/>
            <w:vAlign w:val="bottom"/>
            <w:gridSpan w:val="6"/>
          </w:tcPr>
          <w:p>
            <w:pPr>
              <w:jc w:val="right"/>
              <w:ind w:right="740"/>
              <w:spacing w:after="0"/>
              <w:rPr>
                <w:sz w:val="20"/>
                <w:szCs w:val="20"/>
                <w:color w:val="auto"/>
              </w:rPr>
            </w:pPr>
            <w:r>
              <w:rPr>
                <w:rFonts w:ascii="Times New Roman" w:cs="Times New Roman" w:eastAsia="Times New Roman" w:hAnsi="Times New Roman"/>
                <w:sz w:val="18"/>
                <w:szCs w:val="18"/>
                <w:b w:val="1"/>
                <w:bCs w:val="1"/>
                <w:color w:val="auto"/>
              </w:rPr>
              <w:t>Change from Prior Year</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80" w:type="dxa"/>
            <w:vAlign w:val="bottom"/>
            <w:gridSpan w:val="5"/>
            <w:vMerge w:val="continue"/>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0" w:type="dxa"/>
            <w:vAlign w:val="bottom"/>
            <w:gridSpan w:val="5"/>
            <w:vMerge w:val="continue"/>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40" w:type="dxa"/>
            <w:vAlign w:val="bottom"/>
            <w:tcBorders>
              <w:top w:val="single" w:sz="8" w:color="auto"/>
            </w:tcBorders>
            <w:gridSpan w:val="3"/>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1380" w:type="dxa"/>
            <w:vAlign w:val="bottom"/>
            <w:tcBorders>
              <w:top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420" w:type="dxa"/>
            <w:vAlign w:val="bottom"/>
            <w:tcBorders>
              <w:top w:val="single" w:sz="8" w:color="auto"/>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42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2016</w:t>
            </w:r>
          </w:p>
        </w:tc>
        <w:tc>
          <w:tcPr>
            <w:tcW w:w="420" w:type="dxa"/>
            <w:vAlign w:val="bottom"/>
            <w:tcBorders>
              <w:top w:val="single" w:sz="8" w:color="auto"/>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w w:val="96"/>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6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99"/>
              </w:rPr>
              <w:t>Dollars</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33,015</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28,631</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7"/>
              </w:rPr>
              <w:t>100.0%</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34,441</w:t>
            </w:r>
          </w:p>
        </w:tc>
        <w:tc>
          <w:tcPr>
            <w:tcW w:w="7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25,137</w:t>
            </w:r>
          </w:p>
        </w:tc>
        <w:tc>
          <w:tcPr>
            <w:tcW w:w="7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7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$ 4,384</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15.3%</w:t>
            </w:r>
          </w:p>
        </w:tc>
        <w:tc>
          <w:tcPr>
            <w:tcW w:w="7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$ 9,304</w:t>
            </w:r>
          </w:p>
        </w:tc>
        <w:tc>
          <w:tcPr>
            <w:tcW w:w="8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37.0%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40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120" w:type="dxa"/>
            <w:vAlign w:val="bottom"/>
          </w:tcPr>
          <w:p>
            <w:pPr>
              <w:spacing w:after="0"/>
              <w:rPr>
                <w:sz w:val="18"/>
                <w:szCs w:val="18"/>
                <w:color w:val="auto"/>
              </w:rPr>
            </w:pPr>
          </w:p>
        </w:tc>
        <w:tc>
          <w:tcPr>
            <w:tcW w:w="82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16,893</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51.2%</w:t>
            </w:r>
          </w:p>
        </w:tc>
        <w:tc>
          <w:tcPr>
            <w:tcW w:w="120" w:type="dxa"/>
            <w:vAlign w:val="bottom"/>
          </w:tcPr>
          <w:p>
            <w:pPr>
              <w:spacing w:after="0"/>
              <w:rPr>
                <w:sz w:val="18"/>
                <w:szCs w:val="18"/>
                <w:color w:val="auto"/>
              </w:rPr>
            </w:pPr>
          </w:p>
        </w:tc>
        <w:tc>
          <w:tcPr>
            <w:tcW w:w="90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13,091</w:t>
            </w:r>
          </w:p>
        </w:tc>
        <w:tc>
          <w:tcPr>
            <w:tcW w:w="6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45.7%</w:t>
            </w:r>
          </w:p>
        </w:tc>
        <w:tc>
          <w:tcPr>
            <w:tcW w:w="140" w:type="dxa"/>
            <w:vAlign w:val="bottom"/>
          </w:tcPr>
          <w:p>
            <w:pPr>
              <w:spacing w:after="0"/>
              <w:rPr>
                <w:sz w:val="18"/>
                <w:szCs w:val="18"/>
                <w:color w:val="auto"/>
              </w:rPr>
            </w:pPr>
          </w:p>
        </w:tc>
        <w:tc>
          <w:tcPr>
            <w:tcW w:w="88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16,255</w:t>
            </w:r>
          </w:p>
        </w:tc>
        <w:tc>
          <w:tcPr>
            <w:tcW w:w="7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47.2%</w:t>
            </w:r>
          </w:p>
        </w:tc>
        <w:tc>
          <w:tcPr>
            <w:tcW w:w="140" w:type="dxa"/>
            <w:vAlign w:val="bottom"/>
          </w:tcPr>
          <w:p>
            <w:pPr>
              <w:spacing w:after="0"/>
              <w:rPr>
                <w:sz w:val="18"/>
                <w:szCs w:val="18"/>
                <w:color w:val="auto"/>
              </w:rPr>
            </w:pPr>
          </w:p>
        </w:tc>
        <w:tc>
          <w:tcPr>
            <w:tcW w:w="88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11,356</w:t>
            </w:r>
          </w:p>
        </w:tc>
        <w:tc>
          <w:tcPr>
            <w:tcW w:w="7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45.2%</w:t>
            </w:r>
          </w:p>
        </w:tc>
        <w:tc>
          <w:tcPr>
            <w:tcW w:w="7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3,802</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29.0%</w:t>
            </w:r>
          </w:p>
        </w:tc>
        <w:tc>
          <w:tcPr>
            <w:tcW w:w="7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4,899</w:t>
            </w:r>
          </w:p>
        </w:tc>
        <w:tc>
          <w:tcPr>
            <w:tcW w:w="8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21,429</w:t>
            </w: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64.9%</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14,737</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51.5%</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17,470</w:t>
            </w:r>
          </w:p>
        </w:tc>
        <w:tc>
          <w:tcPr>
            <w:tcW w:w="7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50.7%</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12,650</w:t>
            </w:r>
          </w:p>
        </w:tc>
        <w:tc>
          <w:tcPr>
            <w:tcW w:w="7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50.3%</w:t>
            </w:r>
          </w:p>
        </w:tc>
        <w:tc>
          <w:tcPr>
            <w:tcW w:w="7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6,692</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45.4%</w:t>
            </w:r>
          </w:p>
        </w:tc>
        <w:tc>
          <w:tcPr>
            <w:tcW w:w="7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4,820</w:t>
            </w:r>
          </w:p>
        </w:tc>
        <w:tc>
          <w:tcPr>
            <w:tcW w:w="8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38.1%</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40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New store pre-</w:t>
            </w:r>
          </w:p>
        </w:tc>
        <w:tc>
          <w:tcPr>
            <w:tcW w:w="120" w:type="dxa"/>
            <w:vAlign w:val="bottom"/>
          </w:tcPr>
          <w:p>
            <w:pPr>
              <w:spacing w:after="0"/>
              <w:rPr>
                <w:sz w:val="17"/>
                <w:szCs w:val="17"/>
                <w:color w:val="auto"/>
              </w:rPr>
            </w:pPr>
          </w:p>
        </w:tc>
        <w:tc>
          <w:tcPr>
            <w:tcW w:w="820" w:type="dxa"/>
            <w:vAlign w:val="bottom"/>
            <w:vMerge w:val="restart"/>
          </w:tcPr>
          <w:p>
            <w:pPr>
              <w:jc w:val="right"/>
              <w:ind w:right="190"/>
              <w:spacing w:after="0"/>
              <w:rPr>
                <w:sz w:val="20"/>
                <w:szCs w:val="20"/>
                <w:color w:val="auto"/>
              </w:rPr>
            </w:pPr>
            <w:r>
              <w:rPr>
                <w:rFonts w:ascii="Times New Roman" w:cs="Times New Roman" w:eastAsia="Times New Roman" w:hAnsi="Times New Roman"/>
                <w:sz w:val="18"/>
                <w:szCs w:val="18"/>
                <w:color w:val="auto"/>
              </w:rPr>
              <w:t>2,081</w:t>
            </w:r>
          </w:p>
        </w:tc>
        <w:tc>
          <w:tcPr>
            <w:tcW w:w="74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6.3%</w:t>
            </w:r>
          </w:p>
        </w:tc>
        <w:tc>
          <w:tcPr>
            <w:tcW w:w="120" w:type="dxa"/>
            <w:vAlign w:val="bottom"/>
          </w:tcPr>
          <w:p>
            <w:pPr>
              <w:spacing w:after="0"/>
              <w:rPr>
                <w:sz w:val="17"/>
                <w:szCs w:val="17"/>
                <w:color w:val="auto"/>
              </w:rPr>
            </w:pPr>
          </w:p>
        </w:tc>
        <w:tc>
          <w:tcPr>
            <w:tcW w:w="900" w:type="dxa"/>
            <w:vAlign w:val="bottom"/>
            <w:vMerge w:val="restart"/>
          </w:tcPr>
          <w:p>
            <w:pPr>
              <w:jc w:val="right"/>
              <w:ind w:right="270"/>
              <w:spacing w:after="0"/>
              <w:rPr>
                <w:sz w:val="20"/>
                <w:szCs w:val="20"/>
                <w:color w:val="auto"/>
              </w:rPr>
            </w:pPr>
            <w:r>
              <w:rPr>
                <w:rFonts w:ascii="Times New Roman" w:cs="Times New Roman" w:eastAsia="Times New Roman" w:hAnsi="Times New Roman"/>
                <w:sz w:val="18"/>
                <w:szCs w:val="18"/>
                <w:color w:val="auto"/>
              </w:rPr>
              <w:t>2,413</w:t>
            </w:r>
          </w:p>
        </w:tc>
        <w:tc>
          <w:tcPr>
            <w:tcW w:w="6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8.4%</w:t>
            </w:r>
          </w:p>
        </w:tc>
        <w:tc>
          <w:tcPr>
            <w:tcW w:w="140" w:type="dxa"/>
            <w:vAlign w:val="bottom"/>
          </w:tcPr>
          <w:p>
            <w:pPr>
              <w:spacing w:after="0"/>
              <w:rPr>
                <w:sz w:val="17"/>
                <w:szCs w:val="17"/>
                <w:color w:val="auto"/>
              </w:rPr>
            </w:pPr>
          </w:p>
        </w:tc>
        <w:tc>
          <w:tcPr>
            <w:tcW w:w="880" w:type="dxa"/>
            <w:vAlign w:val="bottom"/>
            <w:vMerge w:val="restart"/>
          </w:tcPr>
          <w:p>
            <w:pPr>
              <w:jc w:val="right"/>
              <w:ind w:right="250"/>
              <w:spacing w:after="0"/>
              <w:rPr>
                <w:sz w:val="20"/>
                <w:szCs w:val="20"/>
                <w:color w:val="auto"/>
              </w:rPr>
            </w:pPr>
            <w:r>
              <w:rPr>
                <w:rFonts w:ascii="Times New Roman" w:cs="Times New Roman" w:eastAsia="Times New Roman" w:hAnsi="Times New Roman"/>
                <w:sz w:val="18"/>
                <w:szCs w:val="18"/>
                <w:color w:val="auto"/>
              </w:rPr>
              <w:t>2,413</w:t>
            </w:r>
          </w:p>
        </w:tc>
        <w:tc>
          <w:tcPr>
            <w:tcW w:w="7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7.0%</w:t>
            </w:r>
          </w:p>
        </w:tc>
        <w:tc>
          <w:tcPr>
            <w:tcW w:w="140" w:type="dxa"/>
            <w:vAlign w:val="bottom"/>
          </w:tcPr>
          <w:p>
            <w:pPr>
              <w:spacing w:after="0"/>
              <w:rPr>
                <w:sz w:val="17"/>
                <w:szCs w:val="17"/>
                <w:color w:val="auto"/>
              </w:rPr>
            </w:pPr>
          </w:p>
        </w:tc>
        <w:tc>
          <w:tcPr>
            <w:tcW w:w="880" w:type="dxa"/>
            <w:vAlign w:val="bottom"/>
            <w:vMerge w:val="restart"/>
          </w:tcPr>
          <w:p>
            <w:pPr>
              <w:jc w:val="right"/>
              <w:ind w:right="250"/>
              <w:spacing w:after="0"/>
              <w:rPr>
                <w:sz w:val="20"/>
                <w:szCs w:val="20"/>
                <w:color w:val="auto"/>
              </w:rPr>
            </w:pPr>
            <w:r>
              <w:rPr>
                <w:rFonts w:ascii="Times New Roman" w:cs="Times New Roman" w:eastAsia="Times New Roman" w:hAnsi="Times New Roman"/>
                <w:sz w:val="18"/>
                <w:szCs w:val="18"/>
                <w:color w:val="auto"/>
              </w:rPr>
              <w:t>1,148</w:t>
            </w:r>
          </w:p>
        </w:tc>
        <w:tc>
          <w:tcPr>
            <w:tcW w:w="7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4.6%</w:t>
            </w: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9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-13.8%</w:t>
            </w:r>
          </w:p>
        </w:tc>
        <w:tc>
          <w:tcPr>
            <w:tcW w:w="720" w:type="dxa"/>
            <w:vAlign w:val="bottom"/>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1,265</w:t>
            </w:r>
          </w:p>
        </w:tc>
        <w:tc>
          <w:tcPr>
            <w:tcW w:w="8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110.2%</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4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opening costs</w:t>
            </w:r>
          </w:p>
        </w:tc>
        <w:tc>
          <w:tcPr>
            <w:tcW w:w="120" w:type="dxa"/>
            <w:vAlign w:val="bottom"/>
          </w:tcPr>
          <w:p>
            <w:pPr>
              <w:spacing w:after="0"/>
              <w:rPr>
                <w:sz w:val="19"/>
                <w:szCs w:val="19"/>
                <w:color w:val="auto"/>
              </w:rPr>
            </w:pPr>
          </w:p>
        </w:tc>
        <w:tc>
          <w:tcPr>
            <w:tcW w:w="820" w:type="dxa"/>
            <w:vAlign w:val="bottom"/>
            <w:vMerge w:val="continue"/>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vMerge w:val="continue"/>
          </w:tcPr>
          <w:p>
            <w:pPr>
              <w:spacing w:after="0"/>
              <w:rPr>
                <w:sz w:val="19"/>
                <w:szCs w:val="19"/>
                <w:color w:val="auto"/>
              </w:rPr>
            </w:pPr>
          </w:p>
        </w:tc>
        <w:tc>
          <w:tcPr>
            <w:tcW w:w="680" w:type="dxa"/>
            <w:vAlign w:val="bottom"/>
            <w:gridSpan w:val="2"/>
            <w:vMerge w:val="continue"/>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vMerge w:val="continue"/>
          </w:tcPr>
          <w:p>
            <w:pPr>
              <w:spacing w:after="0"/>
              <w:rPr>
                <w:sz w:val="19"/>
                <w:szCs w:val="19"/>
                <w:color w:val="auto"/>
              </w:rPr>
            </w:pPr>
          </w:p>
        </w:tc>
        <w:tc>
          <w:tcPr>
            <w:tcW w:w="700" w:type="dxa"/>
            <w:vAlign w:val="bottom"/>
            <w:gridSpan w:val="2"/>
            <w:vMerge w:val="continue"/>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vMerge w:val="continue"/>
          </w:tcPr>
          <w:p>
            <w:pPr>
              <w:spacing w:after="0"/>
              <w:rPr>
                <w:sz w:val="19"/>
                <w:szCs w:val="19"/>
                <w:color w:val="auto"/>
              </w:rPr>
            </w:pPr>
          </w:p>
        </w:tc>
        <w:tc>
          <w:tcPr>
            <w:tcW w:w="700" w:type="dxa"/>
            <w:vAlign w:val="bottom"/>
            <w:gridSpan w:val="2"/>
            <w:vMerge w:val="continue"/>
          </w:tcPr>
          <w:p>
            <w:pPr>
              <w:spacing w:after="0"/>
              <w:rPr>
                <w:sz w:val="19"/>
                <w:szCs w:val="19"/>
                <w:color w:val="auto"/>
              </w:rPr>
            </w:pPr>
          </w:p>
        </w:tc>
        <w:tc>
          <w:tcPr>
            <w:tcW w:w="720" w:type="dxa"/>
            <w:vAlign w:val="bottom"/>
            <w:vMerge w:val="continue"/>
          </w:tcPr>
          <w:p>
            <w:pPr>
              <w:spacing w:after="0"/>
              <w:rPr>
                <w:sz w:val="19"/>
                <w:szCs w:val="19"/>
                <w:color w:val="auto"/>
              </w:rPr>
            </w:pPr>
          </w:p>
        </w:tc>
        <w:tc>
          <w:tcPr>
            <w:tcW w:w="920" w:type="dxa"/>
            <w:vAlign w:val="bottom"/>
            <w:gridSpan w:val="2"/>
            <w:vMerge w:val="continue"/>
          </w:tcPr>
          <w:p>
            <w:pPr>
              <w:spacing w:after="0"/>
              <w:rPr>
                <w:sz w:val="19"/>
                <w:szCs w:val="19"/>
                <w:color w:val="auto"/>
              </w:rPr>
            </w:pPr>
          </w:p>
        </w:tc>
        <w:tc>
          <w:tcPr>
            <w:tcW w:w="720" w:type="dxa"/>
            <w:vAlign w:val="bottom"/>
            <w:vMerge w:val="continue"/>
          </w:tcPr>
          <w:p>
            <w:pPr>
              <w:spacing w:after="0"/>
              <w:rPr>
                <w:sz w:val="19"/>
                <w:szCs w:val="19"/>
                <w:color w:val="auto"/>
              </w:rPr>
            </w:pPr>
          </w:p>
        </w:tc>
        <w:tc>
          <w:tcPr>
            <w:tcW w:w="8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20" w:type="dxa"/>
            <w:vAlign w:val="bottom"/>
            <w:vMerge w:val="continue"/>
          </w:tcPr>
          <w:p>
            <w:pPr>
              <w:spacing w:after="0"/>
              <w:rPr>
                <w:sz w:val="16"/>
                <w:szCs w:val="16"/>
                <w:color w:val="auto"/>
              </w:rPr>
            </w:pPr>
          </w:p>
        </w:tc>
        <w:tc>
          <w:tcPr>
            <w:tcW w:w="1400" w:type="dxa"/>
            <w:vAlign w:val="bottom"/>
            <w:shd w:val="clear" w:color="auto" w:fill="CCEEFF"/>
          </w:tcPr>
          <w:p>
            <w:pPr>
              <w:spacing w:after="0" w:line="191" w:lineRule="exact"/>
              <w:rPr>
                <w:sz w:val="20"/>
                <w:szCs w:val="20"/>
                <w:color w:val="auto"/>
              </w:rPr>
            </w:pPr>
            <w:r>
              <w:rPr>
                <w:rFonts w:ascii="Times New Roman" w:cs="Times New Roman" w:eastAsia="Times New Roman" w:hAnsi="Times New Roman"/>
                <w:sz w:val="18"/>
                <w:szCs w:val="18"/>
                <w:color w:val="auto"/>
              </w:rPr>
              <w:t>Loss from</w:t>
            </w: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vMerge w:val="restart"/>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(6,617)</w:t>
            </w:r>
          </w:p>
        </w:tc>
        <w:tc>
          <w:tcPr>
            <w:tcW w:w="7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-20.0%</w:t>
            </w: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vMerge w:val="restart"/>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(4,059)</w:t>
            </w:r>
          </w:p>
        </w:tc>
        <w:tc>
          <w:tcPr>
            <w:tcW w:w="6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-14.2%</w:t>
            </w: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vMerge w:val="restart"/>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(3,628)</w:t>
            </w:r>
          </w:p>
        </w:tc>
        <w:tc>
          <w:tcPr>
            <w:tcW w:w="7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-10.5%</w:t>
            </w: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vMerge w:val="restart"/>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(2,442)</w:t>
            </w:r>
          </w:p>
        </w:tc>
        <w:tc>
          <w:tcPr>
            <w:tcW w:w="70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-9.7%</w:t>
            </w: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 (2,558)</w:t>
            </w:r>
          </w:p>
        </w:tc>
        <w:tc>
          <w:tcPr>
            <w:tcW w:w="9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63.0%</w:t>
            </w: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 (1,186)</w:t>
            </w:r>
          </w:p>
        </w:tc>
        <w:tc>
          <w:tcPr>
            <w:tcW w:w="8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48.6%</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400" w:type="dxa"/>
            <w:vAlign w:val="bottom"/>
            <w:shd w:val="clear" w:color="auto" w:fill="CCEEFF"/>
          </w:tcPr>
          <w:p>
            <w:pPr>
              <w:ind w:left="160"/>
              <w:spacing w:after="0" w:line="194" w:lineRule="exact"/>
              <w:rPr>
                <w:sz w:val="20"/>
                <w:szCs w:val="20"/>
                <w:color w:val="auto"/>
              </w:rPr>
            </w:pPr>
            <w:r>
              <w:rPr>
                <w:rFonts w:ascii="Times New Roman" w:cs="Times New Roman" w:eastAsia="Times New Roman" w:hAnsi="Times New Roman"/>
                <w:sz w:val="18"/>
                <w:szCs w:val="18"/>
                <w:color w:val="auto"/>
              </w:rPr>
              <w:t>operations</w:t>
            </w:r>
          </w:p>
        </w:tc>
        <w:tc>
          <w:tcPr>
            <w:tcW w:w="120" w:type="dxa"/>
            <w:vAlign w:val="bottom"/>
            <w:vMerge w:val="continue"/>
            <w:shd w:val="clear" w:color="auto" w:fill="CCEEFF"/>
          </w:tcPr>
          <w:p>
            <w:pPr>
              <w:spacing w:after="0"/>
              <w:rPr>
                <w:sz w:val="20"/>
                <w:szCs w:val="20"/>
                <w:color w:val="auto"/>
              </w:rPr>
            </w:pPr>
          </w:p>
        </w:tc>
        <w:tc>
          <w:tcPr>
            <w:tcW w:w="820" w:type="dxa"/>
            <w:vAlign w:val="bottom"/>
            <w:vMerge w:val="continue"/>
            <w:shd w:val="clear" w:color="auto" w:fill="CCEEFF"/>
          </w:tcPr>
          <w:p>
            <w:pPr>
              <w:spacing w:after="0"/>
              <w:rPr>
                <w:sz w:val="20"/>
                <w:szCs w:val="20"/>
                <w:color w:val="auto"/>
              </w:rPr>
            </w:pPr>
          </w:p>
        </w:tc>
        <w:tc>
          <w:tcPr>
            <w:tcW w:w="740" w:type="dxa"/>
            <w:vAlign w:val="bottom"/>
            <w:gridSpan w:val="2"/>
            <w:vMerge w:val="continue"/>
            <w:shd w:val="clear" w:color="auto" w:fill="CCEEFF"/>
          </w:tcPr>
          <w:p>
            <w:pPr>
              <w:spacing w:after="0"/>
              <w:rPr>
                <w:sz w:val="20"/>
                <w:szCs w:val="20"/>
                <w:color w:val="auto"/>
              </w:rPr>
            </w:pPr>
          </w:p>
        </w:tc>
        <w:tc>
          <w:tcPr>
            <w:tcW w:w="120" w:type="dxa"/>
            <w:vAlign w:val="bottom"/>
            <w:vMerge w:val="continue"/>
            <w:shd w:val="clear" w:color="auto" w:fill="CCEEFF"/>
          </w:tcPr>
          <w:p>
            <w:pPr>
              <w:spacing w:after="0"/>
              <w:rPr>
                <w:sz w:val="20"/>
                <w:szCs w:val="20"/>
                <w:color w:val="auto"/>
              </w:rPr>
            </w:pPr>
          </w:p>
        </w:tc>
        <w:tc>
          <w:tcPr>
            <w:tcW w:w="900" w:type="dxa"/>
            <w:vAlign w:val="bottom"/>
            <w:vMerge w:val="continue"/>
            <w:shd w:val="clear" w:color="auto" w:fill="CCEEFF"/>
          </w:tcPr>
          <w:p>
            <w:pPr>
              <w:spacing w:after="0"/>
              <w:rPr>
                <w:sz w:val="20"/>
                <w:szCs w:val="20"/>
                <w:color w:val="auto"/>
              </w:rPr>
            </w:pPr>
          </w:p>
        </w:tc>
        <w:tc>
          <w:tcPr>
            <w:tcW w:w="680" w:type="dxa"/>
            <w:vAlign w:val="bottom"/>
            <w:gridSpan w:val="2"/>
            <w:vMerge w:val="continue"/>
            <w:shd w:val="clear" w:color="auto" w:fill="CCEEFF"/>
          </w:tcPr>
          <w:p>
            <w:pPr>
              <w:spacing w:after="0"/>
              <w:rPr>
                <w:sz w:val="20"/>
                <w:szCs w:val="20"/>
                <w:color w:val="auto"/>
              </w:rPr>
            </w:pPr>
          </w:p>
        </w:tc>
        <w:tc>
          <w:tcPr>
            <w:tcW w:w="140" w:type="dxa"/>
            <w:vAlign w:val="bottom"/>
            <w:vMerge w:val="continue"/>
            <w:shd w:val="clear" w:color="auto" w:fill="CCEEFF"/>
          </w:tcPr>
          <w:p>
            <w:pPr>
              <w:spacing w:after="0"/>
              <w:rPr>
                <w:sz w:val="20"/>
                <w:szCs w:val="20"/>
                <w:color w:val="auto"/>
              </w:rPr>
            </w:pPr>
          </w:p>
        </w:tc>
        <w:tc>
          <w:tcPr>
            <w:tcW w:w="880" w:type="dxa"/>
            <w:vAlign w:val="bottom"/>
            <w:vMerge w:val="continue"/>
            <w:shd w:val="clear" w:color="auto" w:fill="CCEEFF"/>
          </w:tcPr>
          <w:p>
            <w:pPr>
              <w:spacing w:after="0"/>
              <w:rPr>
                <w:sz w:val="20"/>
                <w:szCs w:val="20"/>
                <w:color w:val="auto"/>
              </w:rPr>
            </w:pPr>
          </w:p>
        </w:tc>
        <w:tc>
          <w:tcPr>
            <w:tcW w:w="700" w:type="dxa"/>
            <w:vAlign w:val="bottom"/>
            <w:gridSpan w:val="2"/>
            <w:vMerge w:val="continue"/>
            <w:shd w:val="clear" w:color="auto" w:fill="CCEEFF"/>
          </w:tcPr>
          <w:p>
            <w:pPr>
              <w:spacing w:after="0"/>
              <w:rPr>
                <w:sz w:val="20"/>
                <w:szCs w:val="20"/>
                <w:color w:val="auto"/>
              </w:rPr>
            </w:pPr>
          </w:p>
        </w:tc>
        <w:tc>
          <w:tcPr>
            <w:tcW w:w="140" w:type="dxa"/>
            <w:vAlign w:val="bottom"/>
            <w:vMerge w:val="continue"/>
            <w:shd w:val="clear" w:color="auto" w:fill="CCEEFF"/>
          </w:tcPr>
          <w:p>
            <w:pPr>
              <w:spacing w:after="0"/>
              <w:rPr>
                <w:sz w:val="20"/>
                <w:szCs w:val="20"/>
                <w:color w:val="auto"/>
              </w:rPr>
            </w:pPr>
          </w:p>
        </w:tc>
        <w:tc>
          <w:tcPr>
            <w:tcW w:w="880" w:type="dxa"/>
            <w:vAlign w:val="bottom"/>
            <w:vMerge w:val="continue"/>
            <w:shd w:val="clear" w:color="auto" w:fill="CCEEFF"/>
          </w:tcPr>
          <w:p>
            <w:pPr>
              <w:spacing w:after="0"/>
              <w:rPr>
                <w:sz w:val="20"/>
                <w:szCs w:val="20"/>
                <w:color w:val="auto"/>
              </w:rPr>
            </w:pPr>
          </w:p>
        </w:tc>
        <w:tc>
          <w:tcPr>
            <w:tcW w:w="700" w:type="dxa"/>
            <w:vAlign w:val="bottom"/>
            <w:gridSpan w:val="2"/>
            <w:vMerge w:val="continue"/>
            <w:shd w:val="clear" w:color="auto" w:fill="CCEEFF"/>
          </w:tcPr>
          <w:p>
            <w:pPr>
              <w:spacing w:after="0"/>
              <w:rPr>
                <w:sz w:val="20"/>
                <w:szCs w:val="20"/>
                <w:color w:val="auto"/>
              </w:rPr>
            </w:pPr>
          </w:p>
        </w:tc>
        <w:tc>
          <w:tcPr>
            <w:tcW w:w="720" w:type="dxa"/>
            <w:vAlign w:val="bottom"/>
            <w:vMerge w:val="continue"/>
            <w:shd w:val="clear" w:color="auto" w:fill="CCEEFF"/>
          </w:tcPr>
          <w:p>
            <w:pPr>
              <w:spacing w:after="0"/>
              <w:rPr>
                <w:sz w:val="20"/>
                <w:szCs w:val="20"/>
                <w:color w:val="auto"/>
              </w:rPr>
            </w:pPr>
          </w:p>
        </w:tc>
        <w:tc>
          <w:tcPr>
            <w:tcW w:w="920" w:type="dxa"/>
            <w:vAlign w:val="bottom"/>
            <w:gridSpan w:val="2"/>
            <w:vMerge w:val="continue"/>
            <w:shd w:val="clear" w:color="auto" w:fill="CCEEFF"/>
          </w:tcPr>
          <w:p>
            <w:pPr>
              <w:spacing w:after="0"/>
              <w:rPr>
                <w:sz w:val="20"/>
                <w:szCs w:val="20"/>
                <w:color w:val="auto"/>
              </w:rPr>
            </w:pPr>
          </w:p>
        </w:tc>
        <w:tc>
          <w:tcPr>
            <w:tcW w:w="720" w:type="dxa"/>
            <w:vAlign w:val="bottom"/>
            <w:vMerge w:val="continue"/>
            <w:shd w:val="clear" w:color="auto" w:fill="CCEEFF"/>
          </w:tcPr>
          <w:p>
            <w:pPr>
              <w:spacing w:after="0"/>
              <w:rPr>
                <w:sz w:val="20"/>
                <w:szCs w:val="20"/>
                <w:color w:val="auto"/>
              </w:rPr>
            </w:pPr>
          </w:p>
        </w:tc>
        <w:tc>
          <w:tcPr>
            <w:tcW w:w="82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3"/>
        </w:trPr>
        <w:tc>
          <w:tcPr>
            <w:tcW w:w="20" w:type="dxa"/>
            <w:vAlign w:val="bottom"/>
          </w:tcPr>
          <w:p>
            <w:pPr>
              <w:spacing w:after="0"/>
              <w:rPr>
                <w:sz w:val="24"/>
                <w:szCs w:val="24"/>
                <w:color w:val="auto"/>
              </w:rPr>
            </w:pPr>
          </w:p>
        </w:tc>
        <w:tc>
          <w:tcPr>
            <w:tcW w:w="1400" w:type="dxa"/>
            <w:vAlign w:val="bottom"/>
            <w:tcBorders>
              <w:top w:val="single" w:sz="8" w:color="CCEEFF"/>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420" w:type="dxa"/>
            <w:vAlign w:val="bottom"/>
            <w:tcBorders>
              <w:top w:val="single" w:sz="8" w:color="auto"/>
            </w:tcBorders>
          </w:tcPr>
          <w:p>
            <w:pPr>
              <w:spacing w:after="0"/>
              <w:rPr>
                <w:sz w:val="24"/>
                <w:szCs w:val="24"/>
                <w:color w:val="auto"/>
              </w:rPr>
            </w:pPr>
          </w:p>
        </w:tc>
        <w:tc>
          <w:tcPr>
            <w:tcW w:w="280" w:type="dxa"/>
            <w:vAlign w:val="bottom"/>
            <w:tcBorders>
              <w:top w:val="single" w:sz="8" w:color="CCEEFF"/>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80" w:type="dxa"/>
            <w:vAlign w:val="bottom"/>
            <w:tcBorders>
              <w:top w:val="single" w:sz="8" w:color="CCEEFF"/>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8" w:right="2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i w:val="1"/>
          <w:iCs w:val="1"/>
          <w:color w:val="auto"/>
        </w:rPr>
        <w:t>Fiscal 2018 as Compared to Fiscal 2017</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increase in net sales for the 65 Company-owned stores over the prior year was comprised of a $4,384 increase in non-comparable store sales partially offset by a 1.6% decrease in comparable store sales.</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decreased by 3.6% for fiscal 2018 as compared to prior year.</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increase in comparable store gross margins to 51.5% for fiscal 2018 from 51.2% in the prior year period is primarily due to improved pricing strategies and product mix. SG&amp;A expenses as a percentage of sales for comparable stores increased slightly from 2017 due to decreased leverage of fixed costs on lower sales volume and increased advertising expenses.</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fiscal 2018 we incurred $1,601 of post-opening losses associated with the seven new stores and clearance center opened during 2018 and late 2017 compared with $969 of post-opening losses during fiscal 2017. Included in the 2017 Non-Comparable store loss was a $1,220 gain on the sale of our retail store location in Las Vegas, Nevada.</w:t>
      </w:r>
    </w:p>
    <w:p>
      <w:pPr>
        <w:spacing w:after="0" w:line="18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Fiscal 2017 as Compared to Fiscal 2016</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2017 increase in net sales for the 60 Company-owned BHF stores was comprised of a 1.9% increase in comparable store sales along with a $9,304 increase in non-comparable store sales.</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increased by 1.8% in fiscal 2017 over 2016.</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increase in comparable store gross margins over 2016 is primarily due to improved pricing strategies and product mix. The increase in comparable store SG&amp;A as a percentage of sales was primarily due to a $500 legal settlement along with higher advertising expenses of $687 and occupancy costs of $481.</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Increased losses from the non-comparable stores in fiscal 2017 included additional pre-opening costs associated with the Garden City, New York; Culver City, California; King of Prussia, Pennsylvania; Wichita, Kansas; and Pittsburgh, Pennsylvania stores which opened during fiscal 2017, and the new stores in Chandler, Arizona; Oklahoma City, Oklahoma; and Summerlin, Nevada which are expected to open during the first quarter of 2018. These costs include rent, training costs and other payroll-related costs specific to a new store location incurred during the period leading up to its opening and generally range between $200 to $400 per store based on the overall rent costs for the location and the period between the time when the Company takes possession of the physical store space and the time of the store opening.</w:t>
      </w:r>
    </w:p>
    <w:p>
      <w:pPr>
        <w:spacing w:after="0" w:line="18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fiscal 2017 we incurred $969 of post-opening losses associated with the five new stores which opened during the year. There were post-opening losses of $482 primarily associated with two new stores during fiscal 2016.</w:t>
      </w:r>
    </w:p>
    <w:p>
      <w:pPr>
        <w:spacing w:after="0" w:line="18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Pre- and post-opening losses for fiscal 2017 were partially offset by a gain of $1,220 from the sale of our retail store location in Las Vegas, Nevada. The repositioning of that store to a new location in Summerlin, Nevada is expected to be completed in early 2018.</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8" w:right="2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36"/>
        </w:trPr>
        <w:tc>
          <w:tcPr>
            <w:tcW w:w="6140" w:type="dxa"/>
            <w:vAlign w:val="bottom"/>
            <w:gridSpan w:val="3"/>
          </w:tcPr>
          <w:p>
            <w:pPr>
              <w:spacing w:after="0"/>
              <w:rPr>
                <w:sz w:val="20"/>
                <w:szCs w:val="20"/>
                <w:color w:val="auto"/>
              </w:rPr>
            </w:pPr>
            <w:r>
              <w:rPr>
                <w:rFonts w:ascii="Times New Roman" w:cs="Times New Roman" w:eastAsia="Times New Roman" w:hAnsi="Times New Roman"/>
                <w:sz w:val="18"/>
                <w:szCs w:val="18"/>
                <w:i w:val="1"/>
                <w:iCs w:val="1"/>
                <w:color w:val="auto"/>
              </w:rPr>
              <w:t>Retail Comparable Store Sales Trends</w:t>
            </w: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94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The following table provides year-over-year comparable store sales trends for the last three fiscal years:</w:t>
            </w: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14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80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2017</w:t>
            </w: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2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60" w:type="dxa"/>
            <w:vAlign w:val="bottom"/>
            <w:vMerge w:val="restart"/>
          </w:tcPr>
          <w:p>
            <w:pPr>
              <w:spacing w:after="0"/>
              <w:rPr>
                <w:sz w:val="18"/>
                <w:szCs w:val="18"/>
                <w:color w:val="auto"/>
              </w:rPr>
            </w:pPr>
          </w:p>
        </w:tc>
        <w:tc>
          <w:tcPr>
            <w:tcW w:w="392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vMerge w:val="continue"/>
          </w:tcPr>
          <w:p>
            <w:pPr>
              <w:spacing w:after="0"/>
              <w:rPr>
                <w:sz w:val="18"/>
                <w:szCs w:val="18"/>
                <w:color w:val="auto"/>
              </w:rPr>
            </w:pPr>
          </w:p>
        </w:tc>
        <w:tc>
          <w:tcPr>
            <w:tcW w:w="49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Delivered</w:t>
            </w:r>
          </w:p>
        </w:tc>
        <w:tc>
          <w:tcPr>
            <w:tcW w:w="6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w:t>
            </w:r>
          </w:p>
        </w:tc>
        <w:tc>
          <w:tcPr>
            <w:tcW w:w="1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w:t>
            </w:r>
          </w:p>
        </w:tc>
        <w:tc>
          <w:tcPr>
            <w:tcW w:w="1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r>
        <w:trPr>
          <w:trHeight w:val="234"/>
        </w:trPr>
        <w:tc>
          <w:tcPr>
            <w:tcW w:w="1160" w:type="dxa"/>
            <w:vAlign w:val="bottom"/>
          </w:tcPr>
          <w:p>
            <w:pPr>
              <w:spacing w:after="0"/>
              <w:rPr>
                <w:sz w:val="20"/>
                <w:szCs w:val="20"/>
                <w:color w:val="auto"/>
              </w:rPr>
            </w:pPr>
          </w:p>
        </w:tc>
        <w:tc>
          <w:tcPr>
            <w:tcW w:w="4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Written</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-3.6%</w:t>
            </w:r>
          </w:p>
        </w:tc>
        <w:tc>
          <w:tcPr>
            <w:tcW w:w="1120" w:type="dxa"/>
            <w:vAlign w:val="bottom"/>
          </w:tcPr>
          <w:p>
            <w:pPr>
              <w:spacing w:after="0"/>
              <w:rPr>
                <w:sz w:val="20"/>
                <w:szCs w:val="20"/>
                <w:color w:val="auto"/>
              </w:rPr>
            </w:pP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w:t>
            </w:r>
          </w:p>
        </w:tc>
        <w:tc>
          <w:tcPr>
            <w:tcW w:w="1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bl>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Backlog</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dollar value of our retail backlog, representing orders received but not yet delivered to customers as of November 24, 2018, November 25, 2017,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26, 2016, was as follows:</w:t>
      </w:r>
    </w:p>
    <w:p>
      <w:pPr>
        <w:spacing w:after="0" w:line="216" w:lineRule="exact"/>
        <w:rPr>
          <w:sz w:val="20"/>
          <w:szCs w:val="20"/>
          <w:color w:val="auto"/>
        </w:rPr>
      </w:pPr>
    </w:p>
    <w:tbl>
      <w:tblPr>
        <w:tblLayout w:type="fixed"/>
        <w:tblInd w:w="114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9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2018</w:t>
            </w:r>
          </w:p>
        </w:tc>
        <w:tc>
          <w:tcPr>
            <w:tcW w:w="6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6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0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Year end retail backlog</w:t>
            </w:r>
          </w:p>
        </w:tc>
        <w:tc>
          <w:tcPr>
            <w:tcW w:w="1980" w:type="dxa"/>
            <w:vAlign w:val="bottom"/>
            <w:gridSpan w:val="2"/>
            <w:shd w:val="clear" w:color="auto" w:fill="CCEEFF"/>
          </w:tcPr>
          <w:p>
            <w:pPr>
              <w:jc w:val="right"/>
              <w:ind w:right="94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35,493</w:t>
            </w:r>
          </w:p>
        </w:tc>
        <w:tc>
          <w:tcPr>
            <w:tcW w:w="110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35,684</w:t>
            </w:r>
          </w:p>
        </w:tc>
        <w:tc>
          <w:tcPr>
            <w:tcW w:w="42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32,788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060" w:type="dxa"/>
            <w:vAlign w:val="bottom"/>
          </w:tcPr>
          <w:p>
            <w:pPr>
              <w:spacing w:after="0"/>
              <w:rPr>
                <w:sz w:val="20"/>
                <w:szCs w:val="20"/>
                <w:color w:val="auto"/>
              </w:rPr>
            </w:pPr>
            <w:r>
              <w:rPr>
                <w:rFonts w:ascii="Times New Roman" w:cs="Times New Roman" w:eastAsia="Times New Roman" w:hAnsi="Times New Roman"/>
                <w:sz w:val="18"/>
                <w:szCs w:val="18"/>
                <w:color w:val="auto"/>
              </w:rPr>
              <w:t>Retail backlog per open store</w:t>
            </w:r>
          </w:p>
        </w:tc>
        <w:tc>
          <w:tcPr>
            <w:tcW w:w="1980" w:type="dxa"/>
            <w:vAlign w:val="bottom"/>
            <w:gridSpan w:val="2"/>
          </w:tcPr>
          <w:p>
            <w:pPr>
              <w:jc w:val="right"/>
              <w:ind w:right="94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w:t>
            </w:r>
          </w:p>
        </w:tc>
        <w:tc>
          <w:tcPr>
            <w:tcW w:w="110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595</w:t>
            </w:r>
          </w:p>
        </w:tc>
        <w:tc>
          <w:tcPr>
            <w:tcW w:w="42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Logistical Services Segment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Revenues, operating expenses and income from operations for our logistical services segment were as follows for the years ended November 24, 2018,</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25, 2017 and November 26, 2016:</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spacing w:after="0"/>
              <w:rPr>
                <w:sz w:val="20"/>
                <w:szCs w:val="20"/>
                <w:color w:val="auto"/>
              </w:rPr>
            </w:pPr>
          </w:p>
        </w:tc>
        <w:tc>
          <w:tcPr>
            <w:tcW w:w="194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8"/>
                <w:szCs w:val="18"/>
                <w:b w:val="1"/>
                <w:bCs w:val="1"/>
                <w:color w:val="auto"/>
                <w:w w:val="98"/>
              </w:rPr>
              <w:t>Change from Prior Year</w:t>
            </w:r>
          </w:p>
        </w:tc>
        <w:tc>
          <w:tcPr>
            <w:tcW w:w="68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r>
      <w:tr>
        <w:trPr>
          <w:trHeight w:val="210"/>
        </w:trPr>
        <w:tc>
          <w:tcPr>
            <w:tcW w:w="2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20" w:type="dxa"/>
            <w:vAlign w:val="bottom"/>
            <w:gridSpan w:val="3"/>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2018 vs 2017</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2017 vs 2016</w:t>
            </w:r>
          </w:p>
        </w:tc>
        <w:tc>
          <w:tcPr>
            <w:tcW w:w="180" w:type="dxa"/>
            <w:vAlign w:val="bottom"/>
          </w:tcPr>
          <w:p>
            <w:pPr>
              <w:spacing w:after="0"/>
              <w:rPr>
                <w:sz w:val="18"/>
                <w:szCs w:val="18"/>
                <w:color w:val="auto"/>
              </w:rPr>
            </w:pPr>
          </w:p>
        </w:tc>
      </w:tr>
      <w:tr>
        <w:trPr>
          <w:trHeight w:val="223"/>
        </w:trPr>
        <w:tc>
          <w:tcPr>
            <w:tcW w:w="22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50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520" w:type="dxa"/>
            <w:vAlign w:val="bottom"/>
            <w:tcBorders>
              <w:bottom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2016</w:t>
            </w:r>
          </w:p>
        </w:tc>
        <w:tc>
          <w:tcPr>
            <w:tcW w:w="5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Borders>
              <w:top w:val="single" w:sz="8" w:color="auto"/>
              <w:bottom w:val="single" w:sz="8" w:color="auto"/>
            </w:tcBorders>
            <w:gridSpan w:val="2"/>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Dollars</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tcBorders>
              <w:top w:val="single" w:sz="8" w:color="auto"/>
              <w:bottom w:val="single" w:sz="8" w:color="auto"/>
            </w:tcBorders>
            <w:gridSpan w:val="2"/>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w w:val="99"/>
              </w:rPr>
              <w:t>Dollars</w:t>
            </w:r>
          </w:p>
        </w:tc>
        <w:tc>
          <w:tcPr>
            <w:tcW w:w="68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180" w:type="dxa"/>
            <w:vAlign w:val="bottom"/>
          </w:tcPr>
          <w:p>
            <w:pPr>
              <w:spacing w:after="0"/>
              <w:rPr>
                <w:sz w:val="19"/>
                <w:szCs w:val="19"/>
                <w:color w:val="auto"/>
              </w:rPr>
            </w:pPr>
          </w:p>
        </w:tc>
      </w:tr>
      <w:tr>
        <w:trPr>
          <w:trHeight w:val="210"/>
        </w:trPr>
        <w:tc>
          <w:tcPr>
            <w:tcW w:w="2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Logistics revenue</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82,866</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100.0%</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83,030</w:t>
            </w:r>
          </w:p>
        </w:tc>
        <w:tc>
          <w:tcPr>
            <w:tcW w:w="8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100.0%</w:t>
            </w:r>
          </w:p>
        </w:tc>
        <w:tc>
          <w:tcPr>
            <w:tcW w:w="18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83,236</w:t>
            </w:r>
          </w:p>
        </w:tc>
        <w:tc>
          <w:tcPr>
            <w:tcW w:w="7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w:t>
            </w:r>
          </w:p>
        </w:tc>
        <w:tc>
          <w:tcPr>
            <w:tcW w:w="10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-0.2%</w:t>
            </w:r>
          </w:p>
        </w:tc>
        <w:tc>
          <w:tcPr>
            <w:tcW w:w="26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(206)</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-0.2%</w:t>
            </w:r>
          </w:p>
        </w:tc>
      </w:tr>
      <w:tr>
        <w:trPr>
          <w:trHeight w:val="230"/>
        </w:trPr>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60" w:type="dxa"/>
            <w:vAlign w:val="bottom"/>
          </w:tcPr>
          <w:p>
            <w:pPr>
              <w:spacing w:after="0"/>
              <w:rPr>
                <w:sz w:val="19"/>
                <w:szCs w:val="19"/>
                <w:color w:val="auto"/>
              </w:rPr>
            </w:pPr>
          </w:p>
        </w:tc>
        <w:tc>
          <w:tcPr>
            <w:tcW w:w="88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81,468</w:t>
            </w: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98.3%</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80,068</w:t>
            </w:r>
          </w:p>
        </w:tc>
        <w:tc>
          <w:tcPr>
            <w:tcW w:w="8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96.4%</w:t>
            </w:r>
          </w:p>
        </w:tc>
        <w:tc>
          <w:tcPr>
            <w:tcW w:w="180" w:type="dxa"/>
            <w:vAlign w:val="bottom"/>
          </w:tcPr>
          <w:p>
            <w:pPr>
              <w:spacing w:after="0"/>
              <w:rPr>
                <w:sz w:val="19"/>
                <w:szCs w:val="19"/>
                <w:color w:val="auto"/>
              </w:rPr>
            </w:pPr>
          </w:p>
        </w:tc>
        <w:tc>
          <w:tcPr>
            <w:tcW w:w="92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79,725</w:t>
            </w:r>
          </w:p>
        </w:tc>
        <w:tc>
          <w:tcPr>
            <w:tcW w:w="7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95.8%</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1,400</w:t>
            </w: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1.7%</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343</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0.4%</w:t>
            </w:r>
          </w:p>
        </w:tc>
      </w:tr>
      <w:tr>
        <w:trPr>
          <w:trHeight w:val="210"/>
        </w:trPr>
        <w:tc>
          <w:tcPr>
            <w:tcW w:w="22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r>
      <w:tr>
        <w:trPr>
          <w:trHeight w:val="257"/>
        </w:trPr>
        <w:tc>
          <w:tcPr>
            <w:tcW w:w="224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1,398</w:t>
            </w: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1.7%</w:t>
            </w:r>
          </w:p>
        </w:tc>
        <w:tc>
          <w:tcPr>
            <w:tcW w:w="2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2,962</w:t>
            </w:r>
          </w:p>
        </w:tc>
        <w:tc>
          <w:tcPr>
            <w:tcW w:w="8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3.6%</w:t>
            </w:r>
          </w:p>
        </w:tc>
        <w:tc>
          <w:tcPr>
            <w:tcW w:w="1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3,511</w:t>
            </w:r>
          </w:p>
        </w:tc>
        <w:tc>
          <w:tcPr>
            <w:tcW w:w="7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4.2%</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(1,564)</w:t>
            </w: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-52.8%</w:t>
            </w:r>
          </w:p>
        </w:tc>
        <w:tc>
          <w:tcPr>
            <w:tcW w:w="26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(549)</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-15.6%</w:t>
            </w:r>
          </w:p>
        </w:tc>
      </w:tr>
      <w:tr>
        <w:trPr>
          <w:trHeight w:val="20"/>
        </w:trPr>
        <w:tc>
          <w:tcPr>
            <w:tcW w:w="22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Fiscal 2018 as Compared to Fiscal 2017</w:t>
      </w:r>
    </w:p>
    <w:p>
      <w:pPr>
        <w:spacing w:after="0" w:line="227"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Zenith’s revenues were comparable year over year. Increased operating costs as a percentage of revenue were primarily due to significantly higher fuel costs coupled with the increasing cost of hiring and retaining over-the-road drivers. Operating costs for fiscal 2018 and 2017 include non-cash depreciation and amortization charges of $4,068 and $4,309, respectively.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Fiscal 2017 as Compared to Fiscal 2016</w:t>
      </w:r>
    </w:p>
    <w:p>
      <w:pPr>
        <w:spacing w:after="0" w:line="227"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Zenith’s revenues were comparable year over year. Increased operating costs as a percentage of revenue were primarily due to higher fuel costs. Operating costs for fiscal 2017 and 2016 include non-cash depreciation and amortization charges of $4,309 and $3,936, respectively.</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8" w:right="239"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38"/>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Other Items Affecting Net Income</w:t>
            </w: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59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Other items affecting net income for fiscal 2018, 2017 and 2016 are as follows:</w:t>
            </w:r>
          </w:p>
        </w:tc>
        <w:tc>
          <w:tcPr>
            <w:tcW w:w="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32"/>
        </w:trPr>
        <w:tc>
          <w:tcPr>
            <w:tcW w:w="34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11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2018</w:t>
            </w:r>
          </w:p>
        </w:tc>
        <w:tc>
          <w:tcPr>
            <w:tcW w:w="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4"/>
                <w:szCs w:val="24"/>
                <w:color w:val="auto"/>
              </w:rPr>
            </w:pPr>
          </w:p>
        </w:tc>
      </w:tr>
      <w:tr>
        <w:trPr>
          <w:trHeight w:val="210"/>
        </w:trPr>
        <w:tc>
          <w:tcPr>
            <w:tcW w:w="34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Gain on sales of investments (1)</w:t>
            </w:r>
          </w:p>
        </w:tc>
        <w:tc>
          <w:tcPr>
            <w:tcW w:w="1160" w:type="dxa"/>
            <w:vAlign w:val="bottom"/>
            <w:gridSpan w:val="2"/>
            <w:shd w:val="clear" w:color="auto" w:fill="CCEEFF"/>
          </w:tcPr>
          <w:p>
            <w:pPr>
              <w:jc w:val="right"/>
              <w:ind w:right="94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4,221</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4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Interest income (2)</w:t>
            </w: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431</w:t>
            </w:r>
          </w:p>
        </w:tc>
        <w:tc>
          <w:tcPr>
            <w:tcW w:w="340" w:type="dxa"/>
            <w:vAlign w:val="bottom"/>
          </w:tcPr>
          <w:p>
            <w:pPr>
              <w:spacing w:after="0"/>
              <w:rPr>
                <w:sz w:val="18"/>
                <w:szCs w:val="18"/>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230</w:t>
            </w: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120</w:t>
            </w:r>
          </w:p>
        </w:tc>
      </w:tr>
      <w:tr>
        <w:trPr>
          <w:trHeight w:val="216"/>
        </w:trPr>
        <w:tc>
          <w:tcPr>
            <w:tcW w:w="340" w:type="dxa"/>
            <w:vAlign w:val="bottom"/>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 (3)</w:t>
            </w: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(57)</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(234)</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(552)</w:t>
            </w:r>
          </w:p>
        </w:tc>
      </w:tr>
      <w:tr>
        <w:trPr>
          <w:trHeight w:val="216"/>
        </w:trPr>
        <w:tc>
          <w:tcPr>
            <w:tcW w:w="34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Retail real estate impairment charge (4)</w:t>
            </w: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(1,084)</w:t>
            </w: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40" w:type="dxa"/>
            <w:vAlign w:val="bottom"/>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periodic pension costs (5)</w:t>
            </w: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(986)</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(1,049)</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(910)</w:t>
            </w:r>
          </w:p>
        </w:tc>
      </w:tr>
      <w:tr>
        <w:trPr>
          <w:trHeight w:val="216"/>
        </w:trPr>
        <w:tc>
          <w:tcPr>
            <w:tcW w:w="34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Cost of company-owned life insurance (6)</w:t>
            </w: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(598)</w:t>
            </w:r>
          </w:p>
        </w:tc>
        <w:tc>
          <w:tcPr>
            <w:tcW w:w="340" w:type="dxa"/>
            <w:vAlign w:val="bottom"/>
          </w:tcPr>
          <w:p>
            <w:pPr>
              <w:spacing w:after="0"/>
              <w:rPr>
                <w:sz w:val="18"/>
                <w:szCs w:val="18"/>
                <w:color w:val="auto"/>
              </w:rPr>
            </w:pPr>
          </w:p>
        </w:tc>
        <w:tc>
          <w:tcPr>
            <w:tcW w:w="14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(517)</w:t>
            </w:r>
          </w:p>
        </w:tc>
        <w:tc>
          <w:tcPr>
            <w:tcW w:w="340" w:type="dxa"/>
            <w:vAlign w:val="bottom"/>
          </w:tcPr>
          <w:p>
            <w:pPr>
              <w:spacing w:after="0"/>
              <w:rPr>
                <w:sz w:val="18"/>
                <w:szCs w:val="18"/>
                <w:color w:val="auto"/>
              </w:rPr>
            </w:pP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(706)</w:t>
            </w:r>
          </w:p>
        </w:tc>
      </w:tr>
      <w:tr>
        <w:trPr>
          <w:trHeight w:val="198"/>
        </w:trPr>
        <w:tc>
          <w:tcPr>
            <w:tcW w:w="340" w:type="dxa"/>
            <w:vAlign w:val="bottom"/>
          </w:tcPr>
          <w:p>
            <w:pPr>
              <w:spacing w:after="0"/>
              <w:rPr>
                <w:sz w:val="17"/>
                <w:szCs w:val="17"/>
                <w:color w:val="auto"/>
              </w:rPr>
            </w:pPr>
          </w:p>
        </w:tc>
        <w:tc>
          <w:tcPr>
            <w:tcW w:w="444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Income from the Continued Dumping &amp; Subsidy Offset Act</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34"/>
        </w:trPr>
        <w:tc>
          <w:tcPr>
            <w:tcW w:w="340" w:type="dxa"/>
            <w:vAlign w:val="bottom"/>
          </w:tcPr>
          <w:p>
            <w:pPr>
              <w:spacing w:after="0"/>
              <w:rPr>
                <w:sz w:val="20"/>
                <w:szCs w:val="20"/>
                <w:color w:val="auto"/>
              </w:rPr>
            </w:pPr>
          </w:p>
        </w:tc>
        <w:tc>
          <w:tcPr>
            <w:tcW w:w="44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(7)</w:t>
            </w:r>
          </w:p>
        </w:tc>
        <w:tc>
          <w:tcPr>
            <w:tcW w:w="14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7</w:t>
            </w:r>
          </w:p>
        </w:tc>
        <w:tc>
          <w:tcPr>
            <w:tcW w:w="340" w:type="dxa"/>
            <w:vAlign w:val="bottom"/>
            <w:shd w:val="clear" w:color="auto" w:fill="CCEEFF"/>
          </w:tcPr>
          <w:p>
            <w:pPr>
              <w:spacing w:after="0"/>
              <w:rPr>
                <w:sz w:val="20"/>
                <w:szCs w:val="20"/>
                <w:color w:val="auto"/>
              </w:rPr>
            </w:pPr>
          </w:p>
        </w:tc>
        <w:tc>
          <w:tcPr>
            <w:tcW w:w="14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94</w:t>
            </w:r>
          </w:p>
        </w:tc>
        <w:tc>
          <w:tcPr>
            <w:tcW w:w="34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240</w:t>
            </w:r>
          </w:p>
        </w:tc>
      </w:tr>
      <w:tr>
        <w:trPr>
          <w:trHeight w:val="216"/>
        </w:trPr>
        <w:tc>
          <w:tcPr>
            <w:tcW w:w="34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Other investment income (8)</w:t>
            </w: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88</w:t>
            </w: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176</w:t>
            </w:r>
          </w:p>
        </w:tc>
      </w:tr>
      <w:tr>
        <w:trPr>
          <w:trHeight w:val="216"/>
        </w:trPr>
        <w:tc>
          <w:tcPr>
            <w:tcW w:w="340" w:type="dxa"/>
            <w:vAlign w:val="bottom"/>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(727)</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(891)</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(784)</w:t>
            </w:r>
          </w:p>
        </w:tc>
      </w:tr>
      <w:tr>
        <w:trPr>
          <w:trHeight w:val="210"/>
        </w:trPr>
        <w:tc>
          <w:tcPr>
            <w:tcW w:w="340" w:type="dxa"/>
            <w:vAlign w:val="bottom"/>
          </w:tcPr>
          <w:p>
            <w:pPr>
              <w:spacing w:after="0"/>
              <w:rPr>
                <w:sz w:val="18"/>
                <w:szCs w:val="18"/>
                <w:color w:val="auto"/>
              </w:rPr>
            </w:pPr>
          </w:p>
        </w:tc>
        <w:tc>
          <w:tcPr>
            <w:tcW w:w="444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340" w:type="dxa"/>
            <w:vAlign w:val="bottom"/>
          </w:tcPr>
          <w:p>
            <w:pPr>
              <w:spacing w:after="0"/>
              <w:rPr>
                <w:sz w:val="20"/>
                <w:szCs w:val="20"/>
                <w:color w:val="auto"/>
              </w:rPr>
            </w:pPr>
          </w:p>
        </w:tc>
        <w:tc>
          <w:tcPr>
            <w:tcW w:w="44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other income (loss), net</w:t>
            </w:r>
          </w:p>
        </w:tc>
        <w:tc>
          <w:tcPr>
            <w:tcW w:w="1160" w:type="dxa"/>
            <w:vAlign w:val="bottom"/>
            <w:gridSpan w:val="2"/>
            <w:shd w:val="clear" w:color="auto" w:fill="CCEEFF"/>
          </w:tcPr>
          <w:p>
            <w:pPr>
              <w:jc w:val="right"/>
              <w:ind w:right="94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(1,878)</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858</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(2,416)</w:t>
            </w:r>
          </w:p>
        </w:tc>
      </w:tr>
      <w:tr>
        <w:trPr>
          <w:trHeight w:val="20"/>
        </w:trPr>
        <w:tc>
          <w:tcPr>
            <w:tcW w:w="340" w:type="dxa"/>
            <w:vAlign w:val="bottom"/>
          </w:tcPr>
          <w:p>
            <w:pPr>
              <w:spacing w:after="0" w:line="20" w:lineRule="exact"/>
              <w:rPr>
                <w:sz w:val="1"/>
                <w:szCs w:val="1"/>
                <w:color w:val="auto"/>
              </w:rPr>
            </w:pPr>
          </w:p>
        </w:tc>
        <w:tc>
          <w:tcPr>
            <w:tcW w:w="44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Note 9 to the Consolidated Financial Statements for information related gains realized from the sale of two investments during fiscal 2017.</w:t>
      </w:r>
    </w:p>
    <w:p>
      <w:pPr>
        <w:spacing w:after="0" w:line="27"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interest income arising from our short-term investments. See Note 4 to the Consolidated Financial Statements for additional information regarding our investments in certificates of deposit.</w:t>
      </w:r>
    </w:p>
    <w:p>
      <w:pPr>
        <w:jc w:val="both"/>
        <w:ind w:left="660" w:hanging="328"/>
        <w:spacing w:after="0" w:line="250"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interest expense in fiscal 2018 has declined significantly from the previous two years as debt incurred or assumed with the 2015 acquisition of Zenith has been repaid, with all remaining amounts paid off during the first quarter of fiscal 2018. See Note 10 to the Consolidated Financial Statements for additional information regarding our outstanding debt at November 24, 2018.</w:t>
      </w:r>
    </w:p>
    <w:p>
      <w:pPr>
        <w:spacing w:after="0" w:line="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Note 2 to the Consolidated Financial Statements for information related to impairment of retail real estate during fiscal 2017.</w:t>
      </w:r>
    </w:p>
    <w:p>
      <w:pPr>
        <w:spacing w:after="0" w:line="9" w:lineRule="exact"/>
        <w:rPr>
          <w:rFonts w:ascii="Times New Roman" w:cs="Times New Roman" w:eastAsia="Times New Roman" w:hAnsi="Times New Roman"/>
          <w:sz w:val="18"/>
          <w:szCs w:val="18"/>
          <w:color w:val="auto"/>
        </w:rPr>
      </w:pPr>
    </w:p>
    <w:p>
      <w:pPr>
        <w:ind w:left="660" w:hanging="328"/>
        <w:spacing w:after="0" w:line="250"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portion of net periodic pension costs not included in income from operations. See Note 11 to the Consolidated Financial Statements for additional information related to our defined benefit pension plans.</w:t>
      </w: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 for fiscal 2018 is net of life insurance proceeds of $266 arising from the death of a former executive.</w:t>
      </w:r>
    </w:p>
    <w:p>
      <w:pPr>
        <w:spacing w:after="0" w:line="9" w:lineRule="exact"/>
        <w:rPr>
          <w:rFonts w:ascii="Times New Roman" w:cs="Times New Roman" w:eastAsia="Times New Roman" w:hAnsi="Times New Roman"/>
          <w:sz w:val="18"/>
          <w:szCs w:val="18"/>
          <w:color w:val="auto"/>
        </w:rPr>
      </w:pPr>
    </w:p>
    <w:p>
      <w:pPr>
        <w:jc w:val="both"/>
        <w:ind w:left="660" w:hanging="328"/>
        <w:spacing w:after="0" w:line="250"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amounts represent distributions received from U.S. Customs and Boarder Protection (“Customs”) under the Continued Dumping and Subsidy Offset Act of 2000 (“CDSOA”). These distributions primarily represent amounts previously withheld by Customs pending the resolution of certain claims filed by other manufactures which were dismissed in 2014. The distributions received from Customs have gradually diminished in the years subsequent to the dismissal and are no longer expected to be significant beyond 2018.</w:t>
      </w:r>
    </w:p>
    <w:p>
      <w:pPr>
        <w:spacing w:after="0" w:line="1" w:lineRule="exact"/>
        <w:rPr>
          <w:rFonts w:ascii="Times New Roman" w:cs="Times New Roman" w:eastAsia="Times New Roman" w:hAnsi="Times New Roman"/>
          <w:sz w:val="18"/>
          <w:szCs w:val="18"/>
          <w:color w:val="auto"/>
        </w:rPr>
      </w:pPr>
    </w:p>
    <w:p>
      <w:pPr>
        <w:ind w:left="660" w:right="20" w:hanging="328"/>
        <w:spacing w:after="0" w:line="261"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Primarily reflects gains arising from the partial liquidation of our previously impaired investment in the Fortress Value Recovery Fund I, LLC, which was fully impaired during fiscal 2012.</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Provision for Income taxes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December 22, 2017, The Tax Cuts and Jobs Act (the “Act”) was signed into law. The Act reduced the federal statutory corporate income tax rate from 35% to 21% effective January 1, 2018 for all corporate taxpayers, while most other provisions of the Act take effect for fiscal years beginning on or after January 1, 2018. Therefore, we computed our income tax expense for fiscal 2018 using a blended federal statutory rate of 22.2%. The 21% federal statutory rate, as well as certain other provisions of the Act including the elimination of the domestic manufacturing deduction and new limitations on certain business deductions, will apply to our 2019 fiscal year and thereafter.</w:t>
      </w:r>
    </w:p>
    <w:p>
      <w:pPr>
        <w:spacing w:after="0" w:line="18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recorded an income tax provision of $3,988, $9,620 and $9,948 in fiscal 2018, 2017 and 2016, respectively. For fiscal 2018, our effective tax rate of 32.7% differs from the federal blended statutory rate of 22.2% primarily due to a discrete charge of $1,331 arising from the re-measurement of our deferred tax assets. Other items impacting our effective tax rates for fiscal 2018 include the effects of state income taxes and various permanent differences including the favorable impacts of excess tax benefits on stock-based compensation of $223, non-taxable life insurance proceeds of $266, and the Section 199: Domestic Production Activities Deduction of $866. For fiscal 2017 and 2016, our effective tax rates of 34.5% and 38.6%, respectively, differ from the statutory rate of 35.0% primarily due to the effects of state income taxes and various permanent differences including the favorable impact of the Section 199 manufacturing deduction. The reduction in the effective tax rate in fiscal 2017 from 2016 was primarily due to higher excess tax benefits from stock compensation recognized during fiscal 2017. See Note 14 to the Consolidated Financial Statements for additional information regarding our income tax provision (benefit), as well as our net deferred tax assets and other matters.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25" w:name="page26"/>
    <w:bookmarkEnd w:id="25"/>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have net deferred tax assets of $3,266 as of November 24, 2018, which, upon utilization, are expected to reduce our cash outlays for income taxes in future years. It will require approximately $13,000 of future taxable income to utilize our net deferred tax assets.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are committed to maintaining a strong balance sheet in order to weather difficult industry conditions, to allow us to take advantage of opportunities as market conditions improve, and to execute our long-term retail strategies.</w:t>
      </w:r>
    </w:p>
    <w:p>
      <w:pPr>
        <w:spacing w:after="0" w:line="3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Cash Flows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Cash provided by operations for fiscal 2018 was $28,698 compared to $36,384 for fiscal 2017, a decrease of $7,686. This decrease is primarily due to lower operating margins and changes in working capital.</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overall cash position decreased by $20,481 during 2018. Offsetting the cash provided by operations, we used $30,686 of cash in investing activities, primarily consisting of our $15,556 investment in Lane Venture and capital expenditures of $18,301 which included retail store relocations, retail store remodels, in-process spending on new stores, expanding and upgrading our manufacturing capabilities, various technology improvements and additional material handling equipment for our logistical services segment, partially offset by $2,463 of proceeds from the sale of our retail location in Spring, Texas and $482 from the maturity of a portion of our CDs which were not reinvested. Net cash used in financing activities was $18,493, including dividend payments of $8,800 and the final $3,000 installment payment on our Zenith acquisition note payable. With cash and cash equivalents and short-term investments totaling $56,111 on hand at November 24, 2018, we believe we have sufficient liquidity to fund operations for the foreseeable future.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Debt and Other Obligations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Effective November 15, 2018, we amended the credit facility with our bank, increasing our line of credit from $15,000 up to $25,000. This amended credit facility, which matures in December of 2021, is unsecured and contains covenants requiring us to maintain certain key financial ratios. We are in compliance with all covenants under the facility and expect to remain in compliance for the foreseeable future. At November 24, 2018, we had $2,798 outstanding under standby letters of credit against our line, leaving availability under our credit line of $22,202. In addition, we have outstanding standby letters of credit with another bank totaling $381.</w:t>
      </w:r>
    </w:p>
    <w:p>
      <w:pPr>
        <w:spacing w:after="0" w:line="18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At November 24, 2018 we have outstanding principal totaling $292 under notes payable, all of which matures during fiscal 2019. See Note 10 to our consolidated financial statements for additional details regarding these notes, including collateral. We expect to satisfy these obligations as they mature using cash flow from operations or our available cash on hand.</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segment. We had obligations of $185,427 at November 24, 2018 for future minimum lease payments under non-cancelable operating leases having remaining terms in excess of one year. We also have guaranteed certain lease obligations of licensee operators. Remaining terms under these lease guarantees range from approximately one to three years. We were contingently liable under licensee lease obligation guarantees in the amount of $2,021 at November 24, 2018. See Note 16 to our consolidated financial statements for additional details regarding our leases and lease guarantees.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Dividends and Share Repurchases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fiscal 2018, we declared four quarterly dividends totaling $5,041, or $0.47 per share. Cash dividend payments to our shareholders during fiscal 2018 totaled $8,800. During fiscal 2018, we repurchased 253,907 shares of our stock for $5,945 under our share repurchase program. The weighted-average effect of these share repurchases on both our basic and diluted earnings per share was not significant. The approximate dollar value that may yet be purchased pursuant to our stock repurchase program as of November 24, 2018 was $17,984.</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i w:val="1"/>
          <w:iCs w:val="1"/>
          <w:u w:val="single" w:color="auto"/>
          <w:color w:val="auto"/>
        </w:rPr>
        <w:t>Capital Expenditures</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currently anticipate that total capital expenditures for fiscal 2019 will be approximately $15 to $20 million which will be used primarily for new stores and store remodeling in our retail segment and additional investments in technology. Our capital expenditure and working capital requirements in the foreseeable future may change depending on many factors, including but not limited to the overall performance of the new stores, our rate of growth, our operating results and any adjustments in our operating plan needed in response to industry conditions, competition or unexpected events. We believe that our existing cash, together with cash from operations, will be sufficient to meet our capital expenditure and working capital requirements for the foreseeable future.</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Fair Value Measurements</w:t>
      </w:r>
    </w:p>
    <w:p>
      <w:pPr>
        <w:spacing w:after="0" w:line="227"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We account for items measured at fair value in accordance with ASC Topic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1 Inputs</w:t>
      </w:r>
      <w:r>
        <w:rPr>
          <w:rFonts w:ascii="Times New Roman" w:cs="Times New Roman" w:eastAsia="Times New Roman" w:hAnsi="Times New Roman"/>
          <w:sz w:val="18"/>
          <w:szCs w:val="18"/>
          <w:color w:val="auto"/>
        </w:rPr>
        <w:t>– Quoted prices for identical instruments in active markets.</w:t>
      </w:r>
    </w:p>
    <w:p>
      <w:pPr>
        <w:spacing w:after="0" w:line="225"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Level 2 Inputs</w:t>
      </w:r>
      <w:r>
        <w:rPr>
          <w:rFonts w:ascii="Times New Roman" w:cs="Times New Roman" w:eastAsia="Times New Roman" w:hAnsi="Times New Roman"/>
          <w:sz w:val="18"/>
          <w:szCs w:val="18"/>
          <w:color w:val="auto"/>
        </w:rPr>
        <w:t>– Quoted prices for similar instruments in active markets; quoted prices for identical or similar instruments in markets that are not active;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model-derived valuations whose inputs are observable or whose significant value drivers are observable.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3 Inputs</w:t>
      </w:r>
      <w:r>
        <w:rPr>
          <w:rFonts w:ascii="Times New Roman" w:cs="Times New Roman" w:eastAsia="Times New Roman" w:hAnsi="Times New Roman"/>
          <w:sz w:val="18"/>
          <w:szCs w:val="18"/>
          <w:color w:val="auto"/>
        </w:rPr>
        <w:t>– Instruments with primarily unobservable value drivers.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believe that the carrying amounts of our current assets and current liabilities approximate fair value due to the short-term nature of these items. The recurring estimate of the fair value of our mortgages and notes payable for disclosure purposes (see Note 10 to the Consolidated Financial Statements) involves Level 3 inputs. Our primary non-recurring fair value estimates, typically involving the valuation of business acquisitions (see Note 3 to the Consolidated Financial Statements) and asset impairments (see Note 15 to the Consolidated Financial Statements) have utilized Level 3 inputs.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8" w:right="2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color w:val="auto"/>
        </w:rPr>
        <w:t>Contractual Obligations and Commitments</w:t>
      </w:r>
    </w:p>
    <w:p>
      <w:pPr>
        <w:spacing w:after="0" w:line="229"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We enter into contractual obligations and commercial commitments in the ordinary course of business (See Note 16 to the Consolidated Financial Statements for a further discussion of these obligations). The following table summarizes our contractual payment obligations and other commercial commitments and the fiscal year in which they are expected to be paid.</w:t>
      </w:r>
    </w:p>
    <w:p>
      <w:pPr>
        <w:spacing w:after="0" w:line="176" w:lineRule="exact"/>
        <w:rPr>
          <w:sz w:val="20"/>
          <w:szCs w:val="20"/>
          <w:color w:val="auto"/>
        </w:rPr>
      </w:pPr>
    </w:p>
    <w:tbl>
      <w:tblPr>
        <w:tblLayout w:type="fixed"/>
        <w:tblInd w:w="500" w:type="dxa"/>
        <w:tblCellMar>
          <w:top w:w="0" w:type="dxa"/>
          <w:left w:w="0" w:type="dxa"/>
          <w:bottom w:w="0" w:type="dxa"/>
          <w:right w:w="0" w:type="dxa"/>
        </w:tblCellMar>
      </w:tblPr>
      <w:tr>
        <w:trPr>
          <w:trHeight w:val="234"/>
        </w:trPr>
        <w:tc>
          <w:tcPr>
            <w:tcW w:w="3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2019</w:t>
            </w:r>
          </w:p>
        </w:tc>
        <w:tc>
          <w:tcPr>
            <w:tcW w:w="280" w:type="dxa"/>
            <w:vAlign w:val="bottom"/>
          </w:tcPr>
          <w:p>
            <w:pPr>
              <w:spacing w:after="0"/>
              <w:rPr>
                <w:sz w:val="20"/>
                <w:szCs w:val="20"/>
                <w:color w:val="auto"/>
              </w:rPr>
            </w:pPr>
          </w:p>
        </w:tc>
        <w:tc>
          <w:tcPr>
            <w:tcW w:w="7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2020</w:t>
            </w:r>
          </w:p>
        </w:tc>
        <w:tc>
          <w:tcPr>
            <w:tcW w:w="260" w:type="dxa"/>
            <w:vAlign w:val="bottom"/>
          </w:tcPr>
          <w:p>
            <w:pPr>
              <w:spacing w:after="0"/>
              <w:rPr>
                <w:sz w:val="20"/>
                <w:szCs w:val="20"/>
                <w:color w:val="auto"/>
              </w:rPr>
            </w:pPr>
          </w:p>
        </w:tc>
        <w:tc>
          <w:tcPr>
            <w:tcW w:w="78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2021</w:t>
            </w:r>
          </w:p>
        </w:tc>
        <w:tc>
          <w:tcPr>
            <w:tcW w:w="280" w:type="dxa"/>
            <w:vAlign w:val="bottom"/>
          </w:tcPr>
          <w:p>
            <w:pPr>
              <w:spacing w:after="0"/>
              <w:rPr>
                <w:sz w:val="20"/>
                <w:szCs w:val="20"/>
                <w:color w:val="auto"/>
              </w:rPr>
            </w:pPr>
          </w:p>
        </w:tc>
        <w:tc>
          <w:tcPr>
            <w:tcW w:w="74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2022</w:t>
            </w:r>
          </w:p>
        </w:tc>
        <w:tc>
          <w:tcPr>
            <w:tcW w:w="260" w:type="dxa"/>
            <w:vAlign w:val="bottom"/>
          </w:tcPr>
          <w:p>
            <w:pPr>
              <w:spacing w:after="0"/>
              <w:rPr>
                <w:sz w:val="20"/>
                <w:szCs w:val="20"/>
                <w:color w:val="auto"/>
              </w:rPr>
            </w:pPr>
          </w:p>
        </w:tc>
        <w:tc>
          <w:tcPr>
            <w:tcW w:w="74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2023</w:t>
            </w:r>
          </w:p>
        </w:tc>
        <w:tc>
          <w:tcPr>
            <w:tcW w:w="100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Thereafter</w:t>
            </w:r>
          </w:p>
        </w:tc>
        <w:tc>
          <w:tcPr>
            <w:tcW w:w="240" w:type="dxa"/>
            <w:vAlign w:val="bottom"/>
          </w:tcPr>
          <w:p>
            <w:pPr>
              <w:spacing w:after="0"/>
              <w:rPr>
                <w:sz w:val="20"/>
                <w:szCs w:val="20"/>
                <w:color w:val="auto"/>
              </w:rPr>
            </w:pPr>
          </w:p>
        </w:tc>
        <w:tc>
          <w:tcPr>
            <w:tcW w:w="76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Total</w:t>
            </w:r>
          </w:p>
        </w:tc>
      </w:tr>
      <w:tr>
        <w:trPr>
          <w:trHeight w:val="210"/>
        </w:trPr>
        <w:tc>
          <w:tcPr>
            <w:tcW w:w="3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Post employment benefit obligations (1)</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1,072</w:t>
            </w: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1,014</w:t>
            </w:r>
          </w:p>
        </w:tc>
        <w:tc>
          <w:tcPr>
            <w:tcW w:w="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994</w:t>
            </w: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1,305</w:t>
            </w:r>
          </w:p>
        </w:tc>
        <w:tc>
          <w:tcPr>
            <w:tcW w:w="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1,221</w:t>
            </w:r>
          </w:p>
        </w:tc>
        <w:tc>
          <w:tcPr>
            <w:tcW w:w="30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8,632</w:t>
            </w:r>
          </w:p>
        </w:tc>
        <w:tc>
          <w:tcPr>
            <w:tcW w:w="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14,238</w:t>
            </w:r>
          </w:p>
        </w:tc>
        <w:tc>
          <w:tcPr>
            <w:tcW w:w="100" w:type="dxa"/>
            <w:vAlign w:val="bottom"/>
            <w:shd w:val="clear" w:color="auto" w:fill="CCEEFF"/>
          </w:tcPr>
          <w:p>
            <w:pPr>
              <w:spacing w:after="0"/>
              <w:rPr>
                <w:sz w:val="18"/>
                <w:szCs w:val="18"/>
                <w:color w:val="auto"/>
              </w:rPr>
            </w:pPr>
          </w:p>
        </w:tc>
      </w:tr>
      <w:tr>
        <w:trPr>
          <w:trHeight w:val="216"/>
        </w:trPr>
        <w:tc>
          <w:tcPr>
            <w:tcW w:w="3200" w:type="dxa"/>
            <w:vAlign w:val="bottom"/>
          </w:tcPr>
          <w:p>
            <w:pPr>
              <w:spacing w:after="0"/>
              <w:rPr>
                <w:sz w:val="20"/>
                <w:szCs w:val="20"/>
                <w:color w:val="auto"/>
              </w:rPr>
            </w:pPr>
            <w:r>
              <w:rPr>
                <w:rFonts w:ascii="Times New Roman" w:cs="Times New Roman" w:eastAsia="Times New Roman" w:hAnsi="Times New Roman"/>
                <w:sz w:val="18"/>
                <w:szCs w:val="18"/>
                <w:color w:val="auto"/>
              </w:rPr>
              <w:t>Notes payable</w:t>
            </w:r>
          </w:p>
        </w:tc>
        <w:tc>
          <w:tcPr>
            <w:tcW w:w="1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292</w:t>
            </w:r>
          </w:p>
        </w:tc>
        <w:tc>
          <w:tcPr>
            <w:tcW w:w="28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292</w:t>
            </w:r>
          </w:p>
        </w:tc>
        <w:tc>
          <w:tcPr>
            <w:tcW w:w="100" w:type="dxa"/>
            <w:vAlign w:val="bottom"/>
          </w:tcPr>
          <w:p>
            <w:pPr>
              <w:spacing w:after="0"/>
              <w:rPr>
                <w:sz w:val="18"/>
                <w:szCs w:val="18"/>
                <w:color w:val="auto"/>
              </w:rPr>
            </w:pPr>
          </w:p>
        </w:tc>
      </w:tr>
      <w:tr>
        <w:trPr>
          <w:trHeight w:val="216"/>
        </w:trPr>
        <w:tc>
          <w:tcPr>
            <w:tcW w:w="3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Contractual advertising</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3,560</w:t>
            </w: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3,560</w:t>
            </w:r>
          </w:p>
        </w:tc>
        <w:tc>
          <w:tcPr>
            <w:tcW w:w="100" w:type="dxa"/>
            <w:vAlign w:val="bottom"/>
            <w:shd w:val="clear" w:color="auto" w:fill="CCEEFF"/>
          </w:tcPr>
          <w:p>
            <w:pPr>
              <w:spacing w:after="0"/>
              <w:rPr>
                <w:sz w:val="18"/>
                <w:szCs w:val="18"/>
                <w:color w:val="auto"/>
              </w:rPr>
            </w:pPr>
          </w:p>
        </w:tc>
      </w:tr>
      <w:tr>
        <w:trPr>
          <w:trHeight w:val="216"/>
        </w:trPr>
        <w:tc>
          <w:tcPr>
            <w:tcW w:w="3200" w:type="dxa"/>
            <w:vAlign w:val="bottom"/>
          </w:tcPr>
          <w:p>
            <w:pPr>
              <w:spacing w:after="0"/>
              <w:rPr>
                <w:sz w:val="20"/>
                <w:szCs w:val="20"/>
                <w:color w:val="auto"/>
              </w:rPr>
            </w:pPr>
            <w:r>
              <w:rPr>
                <w:rFonts w:ascii="Times New Roman" w:cs="Times New Roman" w:eastAsia="Times New Roman" w:hAnsi="Times New Roman"/>
                <w:sz w:val="18"/>
                <w:szCs w:val="18"/>
                <w:color w:val="auto"/>
              </w:rPr>
              <w:t>Interest payable</w:t>
            </w:r>
          </w:p>
        </w:tc>
        <w:tc>
          <w:tcPr>
            <w:tcW w:w="1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w:t>
            </w:r>
          </w:p>
        </w:tc>
        <w:tc>
          <w:tcPr>
            <w:tcW w:w="28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Pr>
          <w:p>
            <w:pPr>
              <w:spacing w:after="0"/>
              <w:rPr>
                <w:sz w:val="18"/>
                <w:szCs w:val="18"/>
                <w:color w:val="auto"/>
              </w:rPr>
            </w:pPr>
          </w:p>
        </w:tc>
      </w:tr>
      <w:tr>
        <w:trPr>
          <w:trHeight w:val="216"/>
        </w:trPr>
        <w:tc>
          <w:tcPr>
            <w:tcW w:w="3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Letters of credit</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3,179</w:t>
            </w: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3,179</w:t>
            </w:r>
          </w:p>
        </w:tc>
        <w:tc>
          <w:tcPr>
            <w:tcW w:w="100" w:type="dxa"/>
            <w:vAlign w:val="bottom"/>
            <w:shd w:val="clear" w:color="auto" w:fill="CCEEFF"/>
          </w:tcPr>
          <w:p>
            <w:pPr>
              <w:spacing w:after="0"/>
              <w:rPr>
                <w:sz w:val="18"/>
                <w:szCs w:val="18"/>
                <w:color w:val="auto"/>
              </w:rPr>
            </w:pPr>
          </w:p>
        </w:tc>
      </w:tr>
      <w:tr>
        <w:trPr>
          <w:trHeight w:val="216"/>
        </w:trPr>
        <w:tc>
          <w:tcPr>
            <w:tcW w:w="3200" w:type="dxa"/>
            <w:vAlign w:val="bottom"/>
          </w:tcPr>
          <w:p>
            <w:pPr>
              <w:spacing w:after="0"/>
              <w:rPr>
                <w:sz w:val="20"/>
                <w:szCs w:val="20"/>
                <w:color w:val="auto"/>
              </w:rPr>
            </w:pPr>
            <w:r>
              <w:rPr>
                <w:rFonts w:ascii="Times New Roman" w:cs="Times New Roman" w:eastAsia="Times New Roman" w:hAnsi="Times New Roman"/>
                <w:sz w:val="18"/>
                <w:szCs w:val="18"/>
                <w:color w:val="auto"/>
              </w:rPr>
              <w:t>Operating leases (2)</w:t>
            </w:r>
          </w:p>
        </w:tc>
        <w:tc>
          <w:tcPr>
            <w:tcW w:w="1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33,721</w:t>
            </w:r>
          </w:p>
        </w:tc>
        <w:tc>
          <w:tcPr>
            <w:tcW w:w="28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32,030</w:t>
            </w:r>
          </w:p>
        </w:tc>
        <w:tc>
          <w:tcPr>
            <w:tcW w:w="2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27,017</w:t>
            </w:r>
          </w:p>
        </w:tc>
        <w:tc>
          <w:tcPr>
            <w:tcW w:w="28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23,194</w:t>
            </w:r>
          </w:p>
        </w:tc>
        <w:tc>
          <w:tcPr>
            <w:tcW w:w="26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18,386</w:t>
            </w:r>
          </w:p>
        </w:tc>
        <w:tc>
          <w:tcPr>
            <w:tcW w:w="300" w:type="dxa"/>
            <w:vAlign w:val="bottom"/>
          </w:tcPr>
          <w:p>
            <w:pPr>
              <w:spacing w:after="0"/>
              <w:rPr>
                <w:sz w:val="18"/>
                <w:szCs w:val="18"/>
                <w:color w:val="auto"/>
              </w:rPr>
            </w:pPr>
          </w:p>
        </w:tc>
        <w:tc>
          <w:tcPr>
            <w:tcW w:w="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51,112</w:t>
            </w: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185,460</w:t>
            </w:r>
          </w:p>
        </w:tc>
        <w:tc>
          <w:tcPr>
            <w:tcW w:w="100" w:type="dxa"/>
            <w:vAlign w:val="bottom"/>
          </w:tcPr>
          <w:p>
            <w:pPr>
              <w:spacing w:after="0"/>
              <w:rPr>
                <w:sz w:val="18"/>
                <w:szCs w:val="18"/>
                <w:color w:val="auto"/>
              </w:rPr>
            </w:pPr>
          </w:p>
        </w:tc>
      </w:tr>
      <w:tr>
        <w:trPr>
          <w:trHeight w:val="216"/>
        </w:trPr>
        <w:tc>
          <w:tcPr>
            <w:tcW w:w="3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Lease guarantees (3)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627</w:t>
            </w:r>
          </w:p>
        </w:tc>
        <w:tc>
          <w:tcPr>
            <w:tcW w:w="28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347</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347</w:t>
            </w:r>
          </w:p>
        </w:tc>
        <w:tc>
          <w:tcPr>
            <w:tcW w:w="28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347</w:t>
            </w:r>
          </w:p>
        </w:tc>
        <w:tc>
          <w:tcPr>
            <w:tcW w:w="2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353</w:t>
            </w:r>
          </w:p>
        </w:tc>
        <w:tc>
          <w:tcPr>
            <w:tcW w:w="30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shd w:val="clear" w:color="auto" w:fill="CCEEFF"/>
          </w:tcPr>
          <w:p>
            <w:pPr>
              <w:spacing w:after="0"/>
              <w:rPr>
                <w:sz w:val="18"/>
                <w:szCs w:val="18"/>
                <w:color w:val="auto"/>
              </w:rPr>
            </w:pPr>
          </w:p>
        </w:tc>
      </w:tr>
      <w:tr>
        <w:trPr>
          <w:trHeight w:val="216"/>
        </w:trPr>
        <w:tc>
          <w:tcPr>
            <w:tcW w:w="3200" w:type="dxa"/>
            <w:vAlign w:val="bottom"/>
          </w:tcPr>
          <w:p>
            <w:pPr>
              <w:spacing w:after="0"/>
              <w:rPr>
                <w:sz w:val="20"/>
                <w:szCs w:val="20"/>
                <w:color w:val="auto"/>
              </w:rPr>
            </w:pPr>
            <w:r>
              <w:rPr>
                <w:rFonts w:ascii="Times New Roman" w:cs="Times New Roman" w:eastAsia="Times New Roman" w:hAnsi="Times New Roman"/>
                <w:sz w:val="18"/>
                <w:szCs w:val="18"/>
                <w:color w:val="auto"/>
              </w:rPr>
              <w:t>Other obligations &amp; commitments</w:t>
            </w:r>
          </w:p>
        </w:tc>
        <w:tc>
          <w:tcPr>
            <w:tcW w:w="1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960</w:t>
            </w:r>
          </w:p>
        </w:tc>
        <w:tc>
          <w:tcPr>
            <w:tcW w:w="28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200</w:t>
            </w:r>
          </w:p>
        </w:tc>
        <w:tc>
          <w:tcPr>
            <w:tcW w:w="26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200</w:t>
            </w:r>
          </w:p>
        </w:tc>
        <w:tc>
          <w:tcPr>
            <w:tcW w:w="28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w:t>
            </w:r>
          </w:p>
        </w:tc>
        <w:tc>
          <w:tcPr>
            <w:tcW w:w="26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w:t>
            </w:r>
          </w:p>
        </w:tc>
        <w:tc>
          <w:tcPr>
            <w:tcW w:w="300" w:type="dxa"/>
            <w:vAlign w:val="bottom"/>
          </w:tcPr>
          <w:p>
            <w:pPr>
              <w:spacing w:after="0"/>
              <w:rPr>
                <w:sz w:val="18"/>
                <w:szCs w:val="18"/>
                <w:color w:val="auto"/>
              </w:rPr>
            </w:pPr>
          </w:p>
        </w:tc>
        <w:tc>
          <w:tcPr>
            <w:tcW w:w="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250</w:t>
            </w: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1,810</w:t>
            </w:r>
          </w:p>
        </w:tc>
        <w:tc>
          <w:tcPr>
            <w:tcW w:w="100" w:type="dxa"/>
            <w:vAlign w:val="bottom"/>
          </w:tcPr>
          <w:p>
            <w:pPr>
              <w:spacing w:after="0"/>
              <w:rPr>
                <w:sz w:val="18"/>
                <w:szCs w:val="18"/>
                <w:color w:val="auto"/>
              </w:rPr>
            </w:pPr>
          </w:p>
        </w:tc>
      </w:tr>
      <w:tr>
        <w:trPr>
          <w:trHeight w:val="216"/>
        </w:trPr>
        <w:tc>
          <w:tcPr>
            <w:tcW w:w="32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Purchase obligations (4)</w:t>
            </w: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3200" w:type="dxa"/>
            <w:vAlign w:val="bottom"/>
          </w:tcPr>
          <w:p>
            <w:pPr>
              <w:ind w:left="1120"/>
              <w:spacing w:after="0"/>
              <w:rPr>
                <w:sz w:val="20"/>
                <w:szCs w:val="20"/>
                <w:color w:val="auto"/>
              </w:rPr>
            </w:pPr>
            <w:r>
              <w:rPr>
                <w:rFonts w:ascii="Times New Roman" w:cs="Times New Roman" w:eastAsia="Times New Roman" w:hAnsi="Times New Roman"/>
                <w:sz w:val="18"/>
                <w:szCs w:val="18"/>
                <w:color w:val="auto"/>
              </w:rPr>
              <w:t>Total</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43,418</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33,591</w:t>
            </w: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28,558</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24,946</w:t>
            </w: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20,060</w:t>
            </w:r>
          </w:p>
        </w:tc>
        <w:tc>
          <w:tcPr>
            <w:tcW w:w="3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59,994</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210,567</w:t>
            </w:r>
          </w:p>
        </w:tc>
        <w:tc>
          <w:tcPr>
            <w:tcW w:w="100" w:type="dxa"/>
            <w:vAlign w:val="bottom"/>
          </w:tcPr>
          <w:p>
            <w:pPr>
              <w:spacing w:after="0"/>
              <w:rPr>
                <w:sz w:val="18"/>
                <w:szCs w:val="18"/>
                <w:color w:val="auto"/>
              </w:rPr>
            </w:pPr>
          </w:p>
        </w:tc>
      </w:tr>
      <w:tr>
        <w:trPr>
          <w:trHeight w:val="20"/>
        </w:trPr>
        <w:tc>
          <w:tcPr>
            <w:tcW w:w="3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ind w:left="500" w:hanging="492"/>
        <w:spacing w:after="0" w:line="257" w:lineRule="auto"/>
        <w:tabs>
          <w:tab w:leader="none" w:pos="5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Does not reflect a reduction for the impact of any company owned life insurance proceeds to be received. Currently, we have life insurance policies with net death benefits of $17,811 to provide funding for these obligations. See Note 11 to the Consolidated Financial Statements for more information.</w:t>
      </w:r>
    </w:p>
    <w:p>
      <w:pPr>
        <w:spacing w:after="0" w:line="1" w:lineRule="exact"/>
        <w:rPr>
          <w:rFonts w:ascii="Times New Roman" w:cs="Times New Roman" w:eastAsia="Times New Roman" w:hAnsi="Times New Roman"/>
          <w:sz w:val="18"/>
          <w:szCs w:val="18"/>
          <w:color w:val="auto"/>
        </w:rPr>
      </w:pPr>
    </w:p>
    <w:p>
      <w:pPr>
        <w:ind w:left="500" w:hanging="492"/>
        <w:spacing w:after="0" w:line="250" w:lineRule="auto"/>
        <w:tabs>
          <w:tab w:leader="none" w:pos="5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Does not reflect a reduction for the impact of sublease income to be received. See Note 16 to the Consolidated Financial Statements for more information.</w:t>
      </w:r>
    </w:p>
    <w:p>
      <w:pPr>
        <w:ind w:left="500" w:hanging="492"/>
        <w:spacing w:after="0"/>
        <w:tabs>
          <w:tab w:leader="none" w:pos="5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Lease guarantees relate to payments we would only be required to make in the event of default on the part of the guaranteed parties.</w:t>
      </w:r>
    </w:p>
    <w:p>
      <w:pPr>
        <w:spacing w:after="0" w:line="9" w:lineRule="exact"/>
        <w:rPr>
          <w:rFonts w:ascii="Times New Roman" w:cs="Times New Roman" w:eastAsia="Times New Roman" w:hAnsi="Times New Roman"/>
          <w:sz w:val="18"/>
          <w:szCs w:val="18"/>
          <w:color w:val="auto"/>
        </w:rPr>
      </w:pPr>
    </w:p>
    <w:p>
      <w:pPr>
        <w:ind w:left="500" w:hanging="492"/>
        <w:spacing w:after="0" w:line="261" w:lineRule="auto"/>
        <w:tabs>
          <w:tab w:leader="none" w:pos="5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not a party to any long-term supply contracts with respect to the purchase of raw materials or finished goods. At the end of fiscal year 2018, we had approximately $15,507 in open purchase orders, primarily for imported inventories, which are in the ordinary course of business.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utilize stand-by letters of credit in the procurement of certain goods in the normal course of business. We lease land and buildings that are primarily used in the operation of BHF stores and Zenith distribution facilities. We have guaranteed certain lease obligations of licensee operators as part of our retail strategy. See Contractual Obligations and Commitments table above and Note 16 to the Consolidated Financial Statements, included in Item 8 of this Annual Report on Form 10-K, for further discussion of operating leases and lease guarantees, including descriptions of the terms of such commitments and methods used to mitigate risks associated with these arrangements.</w:t>
      </w:r>
    </w:p>
    <w:p>
      <w:pPr>
        <w:spacing w:after="0" w:line="180"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involved in various claims and litigation as well as environmental matters, which arise in the normal course of business. Although the final outcome of these legal and environmental matters cannot be determined, based on the facts presently known, it is our opinion that the final resolution of these matters will not have a material adverse effect on our financial position or future results of operations.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consolidated financial statements have been prepared in conformity with accounting principles generally accepted in the United States of America (“GAAP”) which requires that certain estimates and assumptions be made that affect the amounts and disclosures reported in those financial statements and the related accompanying notes. Actual results could differ from these estimates and assumptions. We use our best judgment in valuing these estimates and may, as warranted, solicit external advice. Estimates are based on current facts and circumstances, prior experience and other assumptions believed to be reasonable. The following critical accounting policies, some of which are impacted significantly by judgments, assumptions and estimates, affect our consolidated financial statements.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28" w:name="page29"/>
    <w:bookmarkEnd w:id="28"/>
    <w:p>
      <w:pPr>
        <w:jc w:val="both"/>
        <w:spacing w:after="0" w:line="256" w:lineRule="auto"/>
        <w:rPr>
          <w:sz w:val="20"/>
          <w:szCs w:val="20"/>
          <w:color w:val="auto"/>
        </w:rPr>
      </w:pPr>
      <w:r>
        <w:rPr>
          <w:rFonts w:ascii="Times New Roman" w:cs="Times New Roman" w:eastAsia="Times New Roman" w:hAnsi="Times New Roman"/>
          <w:sz w:val="18"/>
          <w:szCs w:val="18"/>
          <w:i w:val="1"/>
          <w:iCs w:val="1"/>
          <w:color w:val="auto"/>
        </w:rPr>
        <w:t xml:space="preserve">Revenue Recognition </w:t>
      </w:r>
      <w:r>
        <w:rPr>
          <w:rFonts w:ascii="Times New Roman" w:cs="Times New Roman" w:eastAsia="Times New Roman" w:hAnsi="Times New Roman"/>
          <w:sz w:val="18"/>
          <w:szCs w:val="18"/>
          <w:color w:val="auto"/>
        </w:rPr>
        <w:t>- Revenue is recognized when the risks and rewards of ownership and title to the product have transferred to the buyer. This generally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occurs upon the shipment of goods to independent dealers or, in the case of Company-owned retail stores, upon delivery to the customer. Our wholesale payment terms generally vary from 30 to 60 days. For retail sales, we typically receive a significant portion of the purchase price as a customer deposit upon order, with the balance typically collected upon delivery. An estimate for returns and allowances has been provided in recorded sales. The contracts with our licensee store owners do not provide for any royalty or license fee to be paid to us. For our logistical services segment, line-haul freight revenue and home delivery revenue are recognized upon delivery to the destination. Warehousing services revenue is based upon warehouse space occupied by a customer’s goods and inventory movements in and out of a warehouse and is recognized as such services are provided.</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Staff Accounting Bulletin No. 104, </w:t>
      </w:r>
      <w:r>
        <w:rPr>
          <w:rFonts w:ascii="Times New Roman" w:cs="Times New Roman" w:eastAsia="Times New Roman" w:hAnsi="Times New Roman"/>
          <w:sz w:val="18"/>
          <w:szCs w:val="18"/>
          <w:i w:val="1"/>
          <w:iCs w:val="1"/>
          <w:color w:val="auto"/>
        </w:rPr>
        <w:t>Revenue Recognition</w:t>
      </w:r>
      <w:r>
        <w:rPr>
          <w:rFonts w:ascii="Times New Roman" w:cs="Times New Roman" w:eastAsia="Times New Roman" w:hAnsi="Times New Roman"/>
          <w:sz w:val="18"/>
          <w:szCs w:val="18"/>
          <w:color w:val="auto"/>
        </w:rPr>
        <w:t xml:space="preserve"> (“SAB 104”) outlines the four basic criteria for recognizing revenue as follows: (1) persuasive evidence of an arrangement exists, (2) delivery has occurred or services have been rendered, (3) the seller’s price to the buyer is fixed or determinable, and (4) collectibility is reasonably assured. SAB 104 further asserts that if collectibility of all or a portion of the revenue is not reasonably assured, revenue recognition should be deferred until payment is received. During fiscal 2018, 2017 and 2016, there were no dealers for which these criteria were not met.</w:t>
      </w:r>
    </w:p>
    <w:p>
      <w:pPr>
        <w:spacing w:after="0" w:line="18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Allowance for Doubtful Accounts </w:t>
      </w:r>
      <w:r>
        <w:rPr>
          <w:rFonts w:ascii="Times New Roman" w:cs="Times New Roman" w:eastAsia="Times New Roman" w:hAnsi="Times New Roman"/>
          <w:sz w:val="18"/>
          <w:szCs w:val="18"/>
          <w:color w:val="auto"/>
        </w:rPr>
        <w:t>- We maintain an allowance for doubtful accounts for estimated losses resulting from the inability of our customers to make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required payments. Our accounts receivable reserves were $754 and $617 at November 24, 2018 and November 25, 2017, respectively, representing 3.8% and 3.0% of our gross accounts receivable balances at those dates, respectively. The allowance for doubtful accounts is based on a review of specifically identified customer accounts in addition to an overall aging analysis. We evaluate the collectibility of our receivables from our licensees and other customers on a quarterly basis based on factors such as their financial condition, our collateral position, potential future plans with licensees and other similar factors. Our allowance for doubtful accounts represents our best estimate of potential losses on our accounts and notes receivable and is adjusted accordingly based on historical experience, current developments and present economic conditions and trends. Although actual losses have not differed materially from our previous estimates, future losses could differ from our current estimates. Unforeseen events such as a licensee or customer bankruptcy filing could have a material impact on our results of operations.</w:t>
      </w:r>
    </w:p>
    <w:p>
      <w:pPr>
        <w:spacing w:after="0" w:line="18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i w:val="1"/>
          <w:iCs w:val="1"/>
          <w:color w:val="auto"/>
        </w:rPr>
        <w:t xml:space="preserve">Inventories </w:t>
      </w:r>
      <w:r>
        <w:rPr>
          <w:rFonts w:ascii="Times New Roman" w:cs="Times New Roman" w:eastAsia="Times New Roman" w:hAnsi="Times New Roman"/>
          <w:sz w:val="18"/>
          <w:szCs w:val="18"/>
          <w:color w:val="auto"/>
        </w:rPr>
        <w:t>- Inventories are stated at the lower of cost or market. Cost is determined for domestic furniture inventories using the last-in, first-out method.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cost of imported inventories is determined on a first-in, first-out basis. We estimate an inventory reserve for excess quantities and obsolete items based on specific identification and historical write-offs, taking into account future demand and market conditions. Our reserves for excess and obsolete inventory were $1,766 and $1,895 at November 24, 2018 and November 25, 2017, respectively, representing 2.7% and 3.4%, respectively, of our inventories on a last-in, first-out basis. If actual demand or market conditions in the future are less favorable than those estimated, additional inventory write-downs may be required.</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Goodwill </w:t>
      </w:r>
      <w:r>
        <w:rPr>
          <w:rFonts w:ascii="Times New Roman" w:cs="Times New Roman" w:eastAsia="Times New Roman" w:hAnsi="Times New Roman"/>
          <w:sz w:val="18"/>
          <w:szCs w:val="18"/>
          <w:color w:val="auto"/>
        </w:rPr>
        <w:t>– Goodwill represents the excess of the purchase price over the value assigned to tangible assets and liabilities and identifiable intangible assets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businesses acquired. The acquisition of assets and liabilities and any resulting goodwill is allocated to the respective reporting unit; Wood, Upholstery, Retail or Logistical Services. We review goodwill at the reporting unit level annually for impairment or more frequently if events or circumstances indicate that assets might be impaired.</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accordance with ASC Topic 350, </w:t>
      </w:r>
      <w:r>
        <w:rPr>
          <w:rFonts w:ascii="Times New Roman" w:cs="Times New Roman" w:eastAsia="Times New Roman" w:hAnsi="Times New Roman"/>
          <w:sz w:val="18"/>
          <w:szCs w:val="18"/>
          <w:i w:val="1"/>
          <w:iCs w:val="1"/>
          <w:color w:val="auto"/>
        </w:rPr>
        <w:t>Intangibles – Goodwill &amp; Other,</w:t>
      </w:r>
      <w:r>
        <w:rPr>
          <w:rFonts w:ascii="Times New Roman" w:cs="Times New Roman" w:eastAsia="Times New Roman" w:hAnsi="Times New Roman"/>
          <w:sz w:val="18"/>
          <w:szCs w:val="18"/>
          <w:color w:val="auto"/>
        </w:rPr>
        <w:t xml:space="preserve"> the goodwill impairment test consists of a two-step process, if necessary. However, we first assess qualitative factors to determine whether it is more likely than not that the fair value of a reporting unit is less than its carrying amount as a basis for determining whether it is necessary to perform the two-step goodwill impairment test described in ASC Topic 350. The more likely than not threshold is defined as having a likelihood of more than 50 percent. If, after assessing the totality of events or circumstances, we determine that it is not more likely than not that the fair value of a reporting unit is less than its carrying amount, then performing the two-step impairment test is unnecessary and our goodwill is considered to be unimpaired. However, if based on our qualitative assessment we conclude that it is more likely than not that the fair value of a reporting unit is less than its carrying amount, we will proceed with performing the two-step process. Based on our qualitative assessment as described above, we have concluded that our goodwill in the amount of $16,043 is not impaired as of November 24, 2018.</w:t>
      </w:r>
    </w:p>
    <w:p>
      <w:pPr>
        <w:spacing w:after="0" w:line="18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first step compares the carrying value of each reporting unit that has goodwill with the estimated fair value of the respective reporting unit. Should the carrying value of a reporting unit be in excess of the estimated fair value of that reporting unit, the second step is performed whereby we must calculate the implied fair value of goodwill by deducting the fair value of all tangible and intangible net assets of the reporting unit from the fair value of the reporting unit. This second step represents a hypothetical purchase price allocation as if we had acquired the reporting unit on that date. Our impairment methodology uses a discounted cash flow analysis requiring certain assumptions and estimates to be made regarding future profitability of the reporting unit and industry economic factors. While we believe such assumptions and estimates are reasonable, the actual results may differ materially from the projected amounts.</w:t>
      </w:r>
    </w:p>
    <w:p>
      <w:pPr>
        <w:spacing w:after="0" w:line="186"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i w:val="1"/>
          <w:iCs w:val="1"/>
          <w:color w:val="auto"/>
        </w:rPr>
        <w:t xml:space="preserve">Other Intangible Assets </w:t>
      </w:r>
      <w:r>
        <w:rPr>
          <w:rFonts w:ascii="Times New Roman" w:cs="Times New Roman" w:eastAsia="Times New Roman" w:hAnsi="Times New Roman"/>
          <w:sz w:val="18"/>
          <w:szCs w:val="18"/>
          <w:color w:val="auto"/>
        </w:rPr>
        <w:t>– Intangible assets acquired in a business combination and determined to have an indefinite useful life are not amortized but are tested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for impairment annually or between annual tests when an impairment indicator exists. The recoverability of indefinite-lived intangible assets is assessed by comparison of the carrying value of the asset to its estimated fair value. If we determine that the carrying value of the asset exceeds its estimated fair value, an impairment loss equal to the excess would be recorded. At November 24, 2018, our indefinite-lived intangible assets other than goodwill consist of trade names acquired in the acquisitions of Zenith and Lane Venture and have a carrying value of $9,338.</w:t>
      </w:r>
    </w:p>
    <w:p>
      <w:pPr>
        <w:spacing w:after="0" w:line="1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8" w:right="239" w:bottom="1440" w:gutter="0" w:footer="0" w:header="0"/>
        </w:sectPr>
      </w:pPr>
    </w:p>
    <w:bookmarkStart w:id="29" w:name="page30"/>
    <w:bookmarkEnd w:id="29"/>
    <w:p>
      <w:pPr>
        <w:jc w:val="both"/>
        <w:spacing w:after="0" w:line="256" w:lineRule="auto"/>
        <w:rPr>
          <w:sz w:val="20"/>
          <w:szCs w:val="20"/>
          <w:color w:val="auto"/>
        </w:rPr>
      </w:pPr>
      <w:r>
        <w:rPr>
          <w:rFonts w:ascii="Times New Roman" w:cs="Times New Roman" w:eastAsia="Times New Roman" w:hAnsi="Times New Roman"/>
          <w:sz w:val="18"/>
          <w:szCs w:val="18"/>
          <w:color w:val="auto"/>
        </w:rPr>
        <w:t>Definite-lived intangible assets are amortized over their respective estimated useful lives and reviewed for impairment whenever events or changes in circumstances indicate that their carrying amounts may not be recoverable. We estimate the useful lives of our intangible assets and ratably amortize the value over the estimated useful lives of those assets. If the estimates of the useful lives should change, we will amortize the remaining book value over the remaining useful lives or, if an asset is deemed to be impaired, a write-down of the value of the asset may be required at such time. At November 24, 2018 our definite-lived intangible assets consist of customer relationships and customized technology applications acquired in the acquisition of Zenith and customer relationships acquired in the acquisition of Lane Venture with a total carrying value of $3,099.</w:t>
      </w:r>
    </w:p>
    <w:p>
      <w:pPr>
        <w:spacing w:after="0" w:line="18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i w:val="1"/>
          <w:iCs w:val="1"/>
          <w:color w:val="auto"/>
        </w:rPr>
        <w:t xml:space="preserve">Impairment of Long-Lived Assets </w:t>
      </w:r>
      <w:r>
        <w:rPr>
          <w:rFonts w:ascii="Times New Roman" w:cs="Times New Roman" w:eastAsia="Times New Roman" w:hAnsi="Times New Roman"/>
          <w:sz w:val="18"/>
          <w:szCs w:val="18"/>
          <w:color w:val="auto"/>
        </w:rPr>
        <w:t>- We periodically evaluate whether events or circumstances have occurred that indicate long-lived assets may not be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recoverable or that the remaining useful life may warrant revision. When such events or circumstances are present, we assess the recoverability of long-lived assets by determining whether the carrying value will be recovered through the expected undiscounted future cash flows resulting from the use of the asset. In the event the sum of the expected undiscounted future cash flows is less than the carrying value of the asset, an impairment loss equal to the excess of the asset’s carrying value over its fair value is recorded. When analyzing our real estate properties for potential impairment, we consider such qualitative factors as our experience in leasing and selling real estate properties as well as specific site and local market characteristics. Upon the closure of a Bassett Home Furnishings store, we generally write off all tenant improvements which are only suitable for use in such a store.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 Accounting Pronouncements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See note 2 to our Consolidated Financial Statements regarding the impact or potential impact of recent accounting pronouncements upon our financial position and results of operations.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0" w:name="page31"/>
    <w:bookmarkEnd w:id="30"/>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7A.</w:t>
      </w:r>
      <w:r>
        <w:rPr>
          <w:sz w:val="20"/>
          <w:szCs w:val="20"/>
          <w:color w:val="auto"/>
        </w:rPr>
        <w:tab/>
      </w:r>
      <w:r>
        <w:rPr>
          <w:rFonts w:ascii="Times New Roman" w:cs="Times New Roman" w:eastAsia="Times New Roman" w:hAnsi="Times New Roman"/>
          <w:sz w:val="17"/>
          <w:szCs w:val="17"/>
          <w:color w:val="auto"/>
        </w:rPr>
        <w:t>QUANTITATIVE AND QUALITATIVE DISCLOSURES ABOUT MARKET RISK</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2018.</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exposed to market risk from changes in the cost of raw materials used in our manufacturing processes, principally wood, woven fabric, and foam products. An increase in the rate of in home construction could result in increases in wood and fabric costs from current levels, and the cost of foam products, which are petroleum-based, is sensitive to changes in the price of oil.</w:t>
      </w:r>
    </w:p>
    <w:p>
      <w:pPr>
        <w:spacing w:after="0" w:line="176"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are also exposed to commodity price risk related to diesel fuel prices for fuel used in our logistical services segment. We manage our exposure to that risk primarily through the application of fuel surcharges to our customers.</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potential exposure to market risk related to conditions in the commercial real estate market. Our retail real estate holdings of $1,655 and $1,758 at November 24, 2018 and November 25, 2017, respectively, for stores formerly operated by licensees as well as our holdings of $19,997 and $22,817 at November 24, 2018 and November 25, 2017, respectively,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$2,021 and $2,743 which we have guaranteed on behalf of licensees as of November 24, 2018 and November 25, 2017, respectively, we may not be able to secure sufficient sub-lease income in the current market to offset the payments required under the guarantees.</w:t>
      </w:r>
    </w:p>
    <w:p>
      <w:pPr>
        <w:spacing w:after="0" w:line="200" w:lineRule="exact"/>
        <w:rPr>
          <w:sz w:val="20"/>
          <w:szCs w:val="20"/>
          <w:color w:val="auto"/>
        </w:rPr>
      </w:pPr>
    </w:p>
    <w:p>
      <w:pPr>
        <w:spacing w:after="0" w:line="205"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color w:val="auto"/>
              </w:rPr>
              <w:t>Net Book</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1260" w:type="dxa"/>
            <w:vAlign w:val="bottom"/>
          </w:tcPr>
          <w:p>
            <w:pPr>
              <w:jc w:val="center"/>
              <w:ind w:left="190"/>
              <w:spacing w:after="0"/>
              <w:rPr>
                <w:sz w:val="20"/>
                <w:szCs w:val="20"/>
                <w:color w:val="auto"/>
              </w:rPr>
            </w:pPr>
            <w:r>
              <w:rPr>
                <w:rFonts w:ascii="Times New Roman" w:cs="Times New Roman" w:eastAsia="Times New Roman" w:hAnsi="Times New Roman"/>
                <w:sz w:val="18"/>
                <w:szCs w:val="18"/>
                <w:color w:val="auto"/>
                <w:w w:val="99"/>
              </w:rPr>
              <w:t>Number of</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gridSpan w:val="2"/>
          </w:tcPr>
          <w:p>
            <w:pPr>
              <w:jc w:val="right"/>
              <w:ind w:right="580"/>
              <w:spacing w:after="0"/>
              <w:rPr>
                <w:sz w:val="20"/>
                <w:szCs w:val="20"/>
                <w:color w:val="auto"/>
              </w:rPr>
            </w:pPr>
            <w:r>
              <w:rPr>
                <w:rFonts w:ascii="Times New Roman" w:cs="Times New Roman" w:eastAsia="Times New Roman" w:hAnsi="Times New Roman"/>
                <w:sz w:val="18"/>
                <w:szCs w:val="18"/>
                <w:color w:val="auto"/>
              </w:rPr>
              <w:t>Aggregate</w:t>
            </w:r>
          </w:p>
        </w:tc>
        <w:tc>
          <w:tcPr>
            <w:tcW w:w="180" w:type="dxa"/>
            <w:vAlign w:val="bottom"/>
          </w:tcPr>
          <w:p>
            <w:pPr>
              <w:spacing w:after="0"/>
              <w:rPr>
                <w:sz w:val="18"/>
                <w:szCs w:val="18"/>
                <w:color w:val="auto"/>
              </w:rPr>
            </w:pPr>
          </w:p>
        </w:tc>
        <w:tc>
          <w:tcPr>
            <w:tcW w:w="146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color w:val="auto"/>
                <w:w w:val="97"/>
              </w:rPr>
              <w:t>Value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1260" w:type="dxa"/>
            <w:vAlign w:val="bottom"/>
          </w:tcPr>
          <w:p>
            <w:pPr>
              <w:jc w:val="center"/>
              <w:ind w:left="190"/>
              <w:spacing w:after="0"/>
              <w:rPr>
                <w:sz w:val="20"/>
                <w:szCs w:val="20"/>
                <w:color w:val="auto"/>
              </w:rPr>
            </w:pPr>
            <w:r>
              <w:rPr>
                <w:rFonts w:ascii="Times New Roman" w:cs="Times New Roman" w:eastAsia="Times New Roman" w:hAnsi="Times New Roman"/>
                <w:sz w:val="18"/>
                <w:szCs w:val="18"/>
                <w:color w:val="auto"/>
                <w:w w:val="98"/>
              </w:rPr>
              <w:t>Locations</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Square Footage</w:t>
            </w:r>
          </w:p>
        </w:tc>
        <w:tc>
          <w:tcPr>
            <w:tcW w:w="180" w:type="dxa"/>
            <w:vAlign w:val="bottom"/>
          </w:tcPr>
          <w:p>
            <w:pPr>
              <w:spacing w:after="0"/>
              <w:rPr>
                <w:sz w:val="20"/>
                <w:szCs w:val="20"/>
                <w:color w:val="auto"/>
              </w:rPr>
            </w:pPr>
          </w:p>
        </w:tc>
        <w:tc>
          <w:tcPr>
            <w:tcW w:w="146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color w:val="auto"/>
                <w:w w:val="99"/>
              </w:rPr>
              <w:t>(in thousands)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8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584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Real estate occupied by Company-owned and operated stores,</w:t>
            </w: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8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included in property and equipment, net (1)</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200" w:type="dxa"/>
            <w:vAlign w:val="bottom"/>
            <w:shd w:val="clear" w:color="auto" w:fill="CCEEFF"/>
          </w:tcPr>
          <w:p>
            <w:pPr>
              <w:spacing w:after="0"/>
              <w:rPr>
                <w:sz w:val="20"/>
                <w:szCs w:val="20"/>
                <w:color w:val="auto"/>
              </w:rPr>
            </w:pPr>
          </w:p>
        </w:tc>
        <w:tc>
          <w:tcPr>
            <w:tcW w:w="1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223,570</w:t>
            </w:r>
          </w:p>
        </w:tc>
        <w:tc>
          <w:tcPr>
            <w:tcW w:w="18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19,997</w:t>
            </w:r>
          </w:p>
        </w:tc>
        <w:tc>
          <w:tcPr>
            <w:tcW w:w="0" w:type="dxa"/>
            <w:vAlign w:val="bottom"/>
          </w:tcPr>
          <w:p>
            <w:pPr>
              <w:spacing w:after="0"/>
              <w:rPr>
                <w:sz w:val="1"/>
                <w:szCs w:val="1"/>
                <w:color w:val="auto"/>
              </w:rPr>
            </w:pPr>
          </w:p>
        </w:tc>
      </w:tr>
      <w:tr>
        <w:trPr>
          <w:trHeight w:val="216"/>
        </w:trPr>
        <w:tc>
          <w:tcPr>
            <w:tcW w:w="4600" w:type="dxa"/>
            <w:vAlign w:val="bottom"/>
            <w:gridSpan w:val="2"/>
          </w:tcPr>
          <w:p>
            <w:pPr>
              <w:spacing w:after="0"/>
              <w:rPr>
                <w:sz w:val="18"/>
                <w:szCs w:val="18"/>
                <w:color w:val="auto"/>
              </w:rPr>
            </w:pPr>
          </w:p>
        </w:tc>
        <w:tc>
          <w:tcPr>
            <w:tcW w:w="1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Investment real estate leased to others</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0" w:type="dxa"/>
            <w:vAlign w:val="bottom"/>
          </w:tcPr>
          <w:p>
            <w:pPr>
              <w:spacing w:after="0"/>
              <w:rPr>
                <w:sz w:val="18"/>
                <w:szCs w:val="18"/>
                <w:color w:val="auto"/>
              </w:rPr>
            </w:pPr>
          </w:p>
        </w:tc>
        <w:tc>
          <w:tcPr>
            <w:tcW w:w="17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41,021</w:t>
            </w: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1,655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80" w:type="dxa"/>
            <w:vAlign w:val="bottom"/>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40" w:type="dxa"/>
            <w:vAlign w:val="bottom"/>
            <w:gridSpan w:val="2"/>
          </w:tcPr>
          <w:p>
            <w:pPr>
              <w:ind w:left="300"/>
              <w:spacing w:after="0"/>
              <w:rPr>
                <w:sz w:val="20"/>
                <w:szCs w:val="20"/>
                <w:color w:val="auto"/>
              </w:rPr>
            </w:pPr>
            <w:r>
              <w:rPr>
                <w:rFonts w:ascii="Times New Roman" w:cs="Times New Roman" w:eastAsia="Times New Roman" w:hAnsi="Times New Roman"/>
                <w:sz w:val="18"/>
                <w:szCs w:val="18"/>
                <w:color w:val="auto"/>
              </w:rPr>
              <w:t>Total Company investment in retail real estate</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200" w:type="dxa"/>
            <w:vAlign w:val="bottom"/>
          </w:tcPr>
          <w:p>
            <w:pPr>
              <w:spacing w:after="0"/>
              <w:rPr>
                <w:sz w:val="18"/>
                <w:szCs w:val="18"/>
                <w:color w:val="auto"/>
              </w:rPr>
            </w:pPr>
          </w:p>
        </w:tc>
        <w:tc>
          <w:tcPr>
            <w:tcW w:w="17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264,591</w:t>
            </w:r>
          </w:p>
        </w:tc>
        <w:tc>
          <w:tcPr>
            <w:tcW w:w="1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21,652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5620" w:right="3720" w:hanging="4802"/>
        <w:spacing w:after="0" w:line="564" w:lineRule="auto"/>
        <w:tabs>
          <w:tab w:leader="none" w:pos="1139"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two properties encumbered under mortgages totaling $292 at November 24, 2018.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1" w:name="page32"/>
    <w:bookmarkEnd w:id="31"/>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8.</w:t>
      </w:r>
      <w:r>
        <w:rPr>
          <w:sz w:val="20"/>
          <w:szCs w:val="20"/>
          <w:color w:val="auto"/>
        </w:rPr>
        <w:tab/>
      </w:r>
      <w:r>
        <w:rPr>
          <w:rFonts w:ascii="Times New Roman" w:cs="Times New Roman" w:eastAsia="Times New Roman" w:hAnsi="Times New Roman"/>
          <w:sz w:val="17"/>
          <w:szCs w:val="17"/>
          <w:color w:val="auto"/>
        </w:rPr>
        <w:t>FINANCIAL STATEMENTS AND SUPPLEMENTARY DATA</w:t>
      </w:r>
    </w:p>
    <w:p>
      <w:pPr>
        <w:spacing w:after="0" w:line="252"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Board of Directors and Stockholders of Bassett Furniture Industries, Incorporated and Subsidiaries</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2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Bassett Furniture Industries, Incorporated and Subsidiaries (the Company) as of November 24, 2018 and November 25, 2017, and the related consolidated statements of income, comprehensive income, stockholders' equity and cash flows for each of the three years in the period ended November 24, 2018, and the related notes and financial statement schedule listed in the Index at Item 15(a)(2).</w:t>
      </w:r>
    </w:p>
    <w:p>
      <w:pPr>
        <w:spacing w:after="0" w:line="2"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18"/>
          <w:szCs w:val="18"/>
          <w:color w:val="auto"/>
        </w:rPr>
        <w:t>(collectively referred to as the “consolidated financial statements”). In our opinion, the consolidated financial statements present fairly, in all material respects, the financial position of the Company at November 24, 2018 and November 25, 2017, and the results of its operations and its cash flows for each of the three years in the period ended November 24, 2018, in conformity with U.S. generally accepted accounting principles.</w:t>
      </w:r>
    </w:p>
    <w:p>
      <w:pPr>
        <w:spacing w:after="0" w:line="186" w:lineRule="exact"/>
        <w:rPr>
          <w:sz w:val="20"/>
          <w:szCs w:val="20"/>
          <w:color w:val="auto"/>
        </w:rPr>
      </w:pPr>
    </w:p>
    <w:p>
      <w:pPr>
        <w:ind w:right="280"/>
        <w:spacing w:after="0" w:line="261" w:lineRule="auto"/>
        <w:rPr>
          <w:sz w:val="20"/>
          <w:szCs w:val="20"/>
          <w:color w:val="auto"/>
        </w:rPr>
      </w:pPr>
      <w:r>
        <w:rPr>
          <w:rFonts w:ascii="Times New Roman" w:cs="Times New Roman" w:eastAsia="Times New Roman" w:hAnsi="Times New Roman"/>
          <w:sz w:val="18"/>
          <w:szCs w:val="18"/>
          <w:color w:val="auto"/>
        </w:rPr>
        <w:t>We also have audited, in accordance with the standards of the Public Company Accounting Oversight Board (United States) (PCAOB), the Company’s internal control over financial reporting as of November 24, 2018, based on criteria established in Internal Control-Integrated Framework issued by the Committee of Sponsoring Organizations of the Treadway Commission (2013 framework), and our report dated January 17, 2019 expressed an unqualified opinion thereon.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ind w:right="400"/>
        <w:spacing w:after="0" w:line="266" w:lineRule="auto"/>
        <w:rPr>
          <w:sz w:val="20"/>
          <w:szCs w:val="20"/>
          <w:color w:val="auto"/>
        </w:rPr>
      </w:pPr>
      <w:r>
        <w:rPr>
          <w:rFonts w:ascii="Times New Roman" w:cs="Times New Roman" w:eastAsia="Times New Roman" w:hAnsi="Times New Roman"/>
          <w:sz w:val="18"/>
          <w:szCs w:val="18"/>
          <w:color w:val="auto"/>
        </w:rPr>
        <w:t>These financial statements are the responsibility of the Company's management. Our responsibility is to express an opinion on these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76" w:lineRule="exact"/>
        <w:rPr>
          <w:sz w:val="20"/>
          <w:szCs w:val="20"/>
          <w:color w:val="auto"/>
        </w:rPr>
      </w:pPr>
    </w:p>
    <w:p>
      <w:pPr>
        <w:ind w:right="100"/>
        <w:spacing w:after="0" w:line="256"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2002.</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Richmond, Virginia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pacing w:after="0" w:line="2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576" w:right="25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November 24, 2018 and November 25,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34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100" w:type="dxa"/>
            <w:vAlign w:val="bottom"/>
            <w:tcBorders>
              <w:right w:val="single" w:sz="8" w:color="CCEEFF"/>
            </w:tcBorders>
            <w:gridSpan w:val="3"/>
            <w:shd w:val="clear" w:color="auto" w:fill="CCEEFF"/>
          </w:tcPr>
          <w:p>
            <w:pPr>
              <w:spacing w:after="0" w:line="170" w:lineRule="exact"/>
              <w:rPr>
                <w:sz w:val="20"/>
                <w:szCs w:val="20"/>
                <w:color w:val="auto"/>
              </w:rPr>
            </w:pPr>
            <w:r>
              <w:rPr>
                <w:rFonts w:ascii="Times New Roman" w:cs="Times New Roman" w:eastAsia="Times New Roman" w:hAnsi="Times New Roman"/>
                <w:sz w:val="18"/>
                <w:szCs w:val="18"/>
                <w:b w:val="1"/>
                <w:bCs w:val="1"/>
                <w:color w:val="auto"/>
              </w:rPr>
              <w:t>Assets</w:t>
            </w:r>
          </w:p>
        </w:tc>
        <w:tc>
          <w:tcPr>
            <w:tcW w:w="34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53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33,468</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53,949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Short-term investments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22,643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23,125</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100" w:type="dxa"/>
            <w:vAlign w:val="bottom"/>
            <w:tcBorders>
              <w:right w:val="single" w:sz="8" w:color="CCEEFF"/>
            </w:tcBorders>
            <w:gridSpan w:val="3"/>
            <w:shd w:val="clear" w:color="auto" w:fill="CCEEFF"/>
          </w:tcPr>
          <w:p>
            <w:pPr>
              <w:ind w:left="160"/>
              <w:spacing w:after="0" w:line="198" w:lineRule="exact"/>
              <w:rPr>
                <w:sz w:val="20"/>
                <w:szCs w:val="20"/>
                <w:color w:val="auto"/>
              </w:rPr>
            </w:pPr>
            <w:r>
              <w:rPr>
                <w:rFonts w:ascii="Times New Roman" w:cs="Times New Roman" w:eastAsia="Times New Roman" w:hAnsi="Times New Roman"/>
                <w:sz w:val="18"/>
                <w:szCs w:val="18"/>
                <w:color w:val="auto"/>
              </w:rPr>
              <w:t>Accounts receivable, net of allowance for doubtful accounts of $754 and $617 as of November 24, 2018 and</w:t>
            </w: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100" w:type="dxa"/>
            <w:vAlign w:val="bottom"/>
            <w:tcBorders>
              <w:right w:val="single" w:sz="8" w:color="CCEEFF"/>
            </w:tcBorders>
            <w:gridSpan w:val="3"/>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November 25, 2017, respectively</w:t>
            </w:r>
          </w:p>
        </w:tc>
        <w:tc>
          <w:tcPr>
            <w:tcW w:w="340" w:type="dxa"/>
            <w:vAlign w:val="bottom"/>
            <w:shd w:val="clear" w:color="auto" w:fill="CCEEFF"/>
          </w:tcPr>
          <w:p>
            <w:pPr>
              <w:spacing w:after="0"/>
              <w:rPr>
                <w:sz w:val="20"/>
                <w:szCs w:val="20"/>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19,055</w:t>
            </w:r>
          </w:p>
        </w:tc>
        <w:tc>
          <w:tcPr>
            <w:tcW w:w="8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19,640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Inventories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64,192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54,476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current assets</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9,189</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8,192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5340" w:type="dxa"/>
            <w:vAlign w:val="bottom"/>
            <w:tcBorders>
              <w:right w:val="single" w:sz="8" w:color="CCEEFF"/>
            </w:tcBorders>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148,547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159,382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340" w:type="dxa"/>
            <w:vAlign w:val="bottom"/>
            <w:tcBorders>
              <w:right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104,863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103,244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34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Other long-term assets</w:t>
            </w: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Deferred income taxes, net</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3,266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Goodwill and other intangible assets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28,480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17,351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6,485</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5,378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5340" w:type="dxa"/>
            <w:vAlign w:val="bottom"/>
            <w:tcBorders>
              <w:right w:val="single" w:sz="8" w:color="CCEEFF"/>
            </w:tcBorders>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other long-term assets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38,231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31,122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291,641</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293,748</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60" w:type="dxa"/>
            <w:vAlign w:val="bottom"/>
            <w:tcBorders>
              <w:top w:val="single" w:sz="8" w:color="CCEEFF"/>
            </w:tcBorders>
          </w:tcPr>
          <w:p>
            <w:pPr>
              <w:spacing w:after="0"/>
              <w:rPr>
                <w:sz w:val="17"/>
                <w:szCs w:val="17"/>
                <w:color w:val="auto"/>
              </w:rPr>
            </w:pPr>
          </w:p>
        </w:tc>
        <w:tc>
          <w:tcPr>
            <w:tcW w:w="2300" w:type="dxa"/>
            <w:vAlign w:val="bottom"/>
            <w:tcBorders>
              <w:top w:val="single" w:sz="8" w:color="CCEEFF"/>
            </w:tcBorders>
          </w:tcPr>
          <w:p>
            <w:pPr>
              <w:spacing w:after="0"/>
              <w:rPr>
                <w:sz w:val="17"/>
                <w:szCs w:val="17"/>
                <w:color w:val="auto"/>
              </w:rPr>
            </w:pPr>
          </w:p>
        </w:tc>
        <w:tc>
          <w:tcPr>
            <w:tcW w:w="534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8100" w:type="dxa"/>
            <w:vAlign w:val="bottom"/>
            <w:tcBorders>
              <w:right w:val="single" w:sz="8" w:color="CCEEFF"/>
            </w:tcBorders>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5340" w:type="dxa"/>
            <w:vAlign w:val="bottom"/>
            <w:tcBorders>
              <w:top w:val="single" w:sz="8" w:color="CCEEFF"/>
            </w:tcBorders>
          </w:tcPr>
          <w:p>
            <w:pPr>
              <w:spacing w:after="0"/>
              <w:rPr>
                <w:sz w:val="18"/>
                <w:szCs w:val="18"/>
                <w:color w:val="auto"/>
              </w:rPr>
            </w:pPr>
          </w:p>
        </w:tc>
        <w:tc>
          <w:tcPr>
            <w:tcW w:w="340" w:type="dxa"/>
            <w:vAlign w:val="bottom"/>
            <w:tcBorders>
              <w:top w:val="single" w:sz="8" w:color="CCEEFF"/>
            </w:tcBorders>
          </w:tcPr>
          <w:p>
            <w:pPr>
              <w:spacing w:after="0"/>
              <w:rPr>
                <w:sz w:val="18"/>
                <w:szCs w:val="18"/>
                <w:color w:val="auto"/>
              </w:rPr>
            </w:pPr>
          </w:p>
        </w:tc>
        <w:tc>
          <w:tcPr>
            <w:tcW w:w="116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CCEEFF"/>
            </w:tcBorders>
          </w:tcPr>
          <w:p>
            <w:pPr>
              <w:spacing w:after="0"/>
              <w:rPr>
                <w:sz w:val="18"/>
                <w:szCs w:val="18"/>
                <w:color w:val="auto"/>
              </w:rPr>
            </w:pPr>
          </w:p>
        </w:tc>
        <w:tc>
          <w:tcPr>
            <w:tcW w:w="1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payable</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27,407</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21,760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12,994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14,670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Customer deposits</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27,157</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27,107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Dividends payable</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292</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Other accrued liabilities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13,969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12,655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81,819</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83,356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34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13,173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13,326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Notes payable</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6,340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5,277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long-term liabilities</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19,513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18,932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34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Commitments and Contingencies</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Stockholders’ equity</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100" w:type="dxa"/>
            <w:vAlign w:val="bottom"/>
            <w:gridSpan w:val="3"/>
          </w:tcPr>
          <w:p>
            <w:pPr>
              <w:ind w:left="160"/>
              <w:spacing w:after="0" w:line="198" w:lineRule="exact"/>
              <w:rPr>
                <w:sz w:val="20"/>
                <w:szCs w:val="20"/>
                <w:color w:val="auto"/>
              </w:rPr>
            </w:pPr>
            <w:r>
              <w:rPr>
                <w:rFonts w:ascii="Times New Roman" w:cs="Times New Roman" w:eastAsia="Times New Roman" w:hAnsi="Times New Roman"/>
                <w:sz w:val="18"/>
                <w:szCs w:val="18"/>
                <w:color w:val="auto"/>
              </w:rPr>
              <w:t>Common stock, $5 par value; 50,000,000 shares authorized; issued and outstanding 10,527,636 at</w:t>
            </w: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100" w:type="dxa"/>
            <w:vAlign w:val="bottom"/>
            <w:gridSpan w:val="3"/>
          </w:tcPr>
          <w:p>
            <w:pPr>
              <w:ind w:left="320"/>
              <w:spacing w:after="0"/>
              <w:rPr>
                <w:sz w:val="20"/>
                <w:szCs w:val="20"/>
                <w:color w:val="auto"/>
              </w:rPr>
            </w:pPr>
            <w:r>
              <w:rPr>
                <w:rFonts w:ascii="Times New Roman" w:cs="Times New Roman" w:eastAsia="Times New Roman" w:hAnsi="Times New Roman"/>
                <w:sz w:val="18"/>
                <w:szCs w:val="18"/>
                <w:color w:val="auto"/>
              </w:rPr>
              <w:t>November 24, 2018 and 10,737,952 at November 25, 2017</w:t>
            </w:r>
          </w:p>
        </w:tc>
        <w:tc>
          <w:tcPr>
            <w:tcW w:w="340" w:type="dxa"/>
            <w:vAlign w:val="bottom"/>
          </w:tcPr>
          <w:p>
            <w:pPr>
              <w:spacing w:after="0"/>
              <w:rPr>
                <w:sz w:val="20"/>
                <w:szCs w:val="20"/>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52,638</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53,690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Retained earnings</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140,009</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139,378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Additional paid-in-capital</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(2,338)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(2,570)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5340" w:type="dxa"/>
            <w:vAlign w:val="bottom"/>
            <w:tcBorders>
              <w:right w:val="single" w:sz="8" w:color="CCEEFF"/>
            </w:tcBorders>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34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190,309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191,460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8100" w:type="dxa"/>
            <w:vAlign w:val="bottom"/>
            <w:tcBorders>
              <w:right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stockholders’ equity</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291,641</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293,748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Borders>
              <w:top w:val="single" w:sz="8" w:color="CCEEFF"/>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53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consolidated financial statements are an integral part of these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19" w:right="239" w:bottom="1440" w:gutter="0" w:footer="0" w:header="0"/>
        </w:sectPr>
      </w:pPr>
    </w:p>
    <w:bookmarkStart w:id="33" w:name="page34"/>
    <w:bookmarkEnd w:id="33"/>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Income</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years ended November 24, 2018, November 25, 2017, and November 26, 2016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402,469</w:t>
            </w:r>
          </w:p>
        </w:tc>
        <w:tc>
          <w:tcPr>
            <w:tcW w:w="4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398,097</w:t>
            </w: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377,196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54,386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54,406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54,842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456,855</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452,503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432,038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179,581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177,579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167,519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 excluding new store pre-opening costs</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260,339</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245,493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235,178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2,081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2,413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Lease exit costs</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301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Asset impairment charges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469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Income from operations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14,084</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27,018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28,193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Gain on sale of investments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4,221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Interest income</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431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230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(234)</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Impairment of investment in real estate</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(1,084)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loss, net</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(2,252)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(2,275)</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(1,984)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12,206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27,876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25,777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3,988</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9,620</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9,948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8,218</w:t>
            </w:r>
          </w:p>
        </w:tc>
        <w:tc>
          <w:tcPr>
            <w:tcW w:w="4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18,256</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15,829</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63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 per share</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63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Basic income per share</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0.77</w:t>
            </w:r>
          </w:p>
        </w:tc>
        <w:tc>
          <w:tcPr>
            <w:tcW w:w="4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1.71</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1.47</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63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63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Diluted income per share</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0.77</w:t>
            </w:r>
          </w:p>
        </w:tc>
        <w:tc>
          <w:tcPr>
            <w:tcW w:w="4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1.70</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1.46</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63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Dividends per share</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Regular dividends</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0.47</w:t>
            </w:r>
          </w:p>
        </w:tc>
        <w:tc>
          <w:tcPr>
            <w:tcW w:w="4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0.42</w:t>
            </w: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line="196" w:lineRule="exact"/>
              <w:rPr>
                <w:sz w:val="20"/>
                <w:szCs w:val="20"/>
                <w:color w:val="auto"/>
              </w:rPr>
            </w:pPr>
            <w:r>
              <w:rPr>
                <w:rFonts w:ascii="Times New Roman" w:cs="Times New Roman" w:eastAsia="Times New Roman" w:hAnsi="Times New Roman"/>
                <w:sz w:val="18"/>
                <w:szCs w:val="18"/>
                <w:color w:val="auto"/>
              </w:rPr>
              <w:t>Special dividend</w:t>
            </w:r>
          </w:p>
        </w:tc>
        <w:tc>
          <w:tcPr>
            <w:tcW w:w="340" w:type="dxa"/>
            <w:vAlign w:val="bottom"/>
            <w:shd w:val="clear" w:color="auto" w:fill="CCEEFF"/>
          </w:tcPr>
          <w:p>
            <w:pPr>
              <w:jc w:val="right"/>
              <w:ind w:right="1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60"/>
              <w:spacing w:after="0" w:line="196" w:lineRule="exact"/>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shd w:val="clear" w:color="auto" w:fill="CCEEFF"/>
          </w:tcPr>
          <w:p>
            <w:pPr>
              <w:jc w:val="right"/>
              <w:ind w:right="2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40"/>
              <w:spacing w:after="0" w:line="196" w:lineRule="exact"/>
              <w:rPr>
                <w:sz w:val="20"/>
                <w:szCs w:val="20"/>
                <w:color w:val="auto"/>
              </w:rPr>
            </w:pPr>
            <w:r>
              <w:rPr>
                <w:rFonts w:ascii="Times New Roman" w:cs="Times New Roman" w:eastAsia="Times New Roman" w:hAnsi="Times New Roman"/>
                <w:sz w:val="18"/>
                <w:szCs w:val="18"/>
                <w:color w:val="auto"/>
              </w:rPr>
              <w:t>0.35</w:t>
            </w:r>
          </w:p>
        </w:tc>
        <w:tc>
          <w:tcPr>
            <w:tcW w:w="400" w:type="dxa"/>
            <w:vAlign w:val="bottom"/>
            <w:gridSpan w:val="2"/>
            <w:shd w:val="clear" w:color="auto" w:fill="CCEEFF"/>
          </w:tcPr>
          <w:p>
            <w:pPr>
              <w:jc w:val="right"/>
              <w:ind w:right="2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line="196" w:lineRule="exact"/>
              <w:rPr>
                <w:sz w:val="20"/>
                <w:szCs w:val="20"/>
                <w:color w:val="auto"/>
              </w:rPr>
            </w:pPr>
            <w:r>
              <w:rPr>
                <w:rFonts w:ascii="Times New Roman" w:cs="Times New Roman" w:eastAsia="Times New Roman" w:hAnsi="Times New Roman"/>
                <w:sz w:val="18"/>
                <w:szCs w:val="18"/>
                <w:color w:val="auto"/>
              </w:rPr>
              <w:t>0.30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consolidated financial statements are an integral part of these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19" w:right="239" w:bottom="1440" w:gutter="0" w:footer="0" w:header="0"/>
        </w:sectPr>
      </w:pPr>
    </w:p>
    <w:bookmarkStart w:id="34" w:name="page35"/>
    <w:bookmarkEnd w:id="34"/>
    <w:p>
      <w:pPr>
        <w:jc w:val="center"/>
        <w:spacing w:after="0" w:line="265" w:lineRule="auto"/>
        <w:rPr>
          <w:sz w:val="20"/>
          <w:szCs w:val="20"/>
          <w:color w:val="auto"/>
        </w:rPr>
      </w:pPr>
      <w:r>
        <w:rPr>
          <w:rFonts w:ascii="Times New Roman" w:cs="Times New Roman" w:eastAsia="Times New Roman" w:hAnsi="Times New Roman"/>
          <w:sz w:val="18"/>
          <w:szCs w:val="18"/>
          <w:b w:val="1"/>
          <w:bCs w:val="1"/>
          <w:color w:val="auto"/>
        </w:rPr>
        <w:t>Consolidated Statements of Comprehensive Income Bassett Furniture Industries, Incorporated and Subsidiaries For the years ended November 24, 2018, November 25, 2017, and November 26, 2016 (In thousands)</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102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8,218</w:t>
            </w:r>
          </w:p>
        </w:tc>
        <w:tc>
          <w:tcPr>
            <w:tcW w:w="4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18,256</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15,829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10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Recognize prior service cost associated with Long Term Cash Awards (LTCA)</w:t>
            </w:r>
          </w:p>
        </w:tc>
        <w:tc>
          <w:tcPr>
            <w:tcW w:w="10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(932)</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Amortization associated with LTCA</w:t>
            </w:r>
          </w:p>
        </w:tc>
        <w:tc>
          <w:tcPr>
            <w:tcW w:w="102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Income taxes related to LTCA</w:t>
            </w:r>
          </w:p>
        </w:tc>
        <w:tc>
          <w:tcPr>
            <w:tcW w:w="10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331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380" w:type="dxa"/>
            <w:vAlign w:val="bottom"/>
          </w:tcPr>
          <w:p>
            <w:pPr>
              <w:ind w:left="320"/>
              <w:spacing w:after="0" w:line="198" w:lineRule="exact"/>
              <w:rPr>
                <w:sz w:val="20"/>
                <w:szCs w:val="20"/>
                <w:color w:val="auto"/>
              </w:rPr>
            </w:pPr>
            <w:r>
              <w:rPr>
                <w:rFonts w:ascii="Times New Roman" w:cs="Times New Roman" w:eastAsia="Times New Roman" w:hAnsi="Times New Roman"/>
                <w:sz w:val="18"/>
                <w:szCs w:val="18"/>
                <w:color w:val="auto"/>
              </w:rPr>
              <w:t>Actuarial adjustment to supplemental executive retirement defined benefit plan</w:t>
            </w:r>
          </w:p>
        </w:tc>
        <w:tc>
          <w:tcPr>
            <w:tcW w:w="10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(SERP)</w:t>
            </w:r>
          </w:p>
        </w:tc>
        <w:tc>
          <w:tcPr>
            <w:tcW w:w="1020" w:type="dxa"/>
            <w:vAlign w:val="bottom"/>
          </w:tcPr>
          <w:p>
            <w:pPr>
              <w:spacing w:after="0"/>
              <w:rPr>
                <w:sz w:val="20"/>
                <w:szCs w:val="20"/>
                <w:color w:val="auto"/>
              </w:rPr>
            </w:pP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616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448</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Amortization associated with SERP</w:t>
            </w:r>
          </w:p>
        </w:tc>
        <w:tc>
          <w:tcPr>
            <w:tcW w:w="10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304</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374</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Income taxes related to SERP</w:t>
            </w:r>
          </w:p>
        </w:tc>
        <w:tc>
          <w:tcPr>
            <w:tcW w:w="102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(311)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Other comprehensive income (loss), net of tax</w:t>
            </w:r>
          </w:p>
        </w:tc>
        <w:tc>
          <w:tcPr>
            <w:tcW w:w="102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777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comprehensive income</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8,995</w:t>
            </w:r>
          </w:p>
        </w:tc>
        <w:tc>
          <w:tcPr>
            <w:tcW w:w="4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18,239</w:t>
            </w: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15,954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150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6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9740" w:type="dxa"/>
            <w:vAlign w:val="bottom"/>
            <w:gridSpan w:val="8"/>
          </w:tcPr>
          <w:p>
            <w:pPr>
              <w:jc w:val="center"/>
              <w:ind w:left="1570"/>
              <w:spacing w:after="0"/>
              <w:rPr>
                <w:sz w:val="20"/>
                <w:szCs w:val="20"/>
                <w:color w:val="auto"/>
              </w:rPr>
            </w:pPr>
            <w:r>
              <w:rPr>
                <w:rFonts w:ascii="Times New Roman" w:cs="Times New Roman" w:eastAsia="Times New Roman" w:hAnsi="Times New Roman"/>
                <w:sz w:val="18"/>
                <w:szCs w:val="18"/>
                <w:color w:val="auto"/>
              </w:rPr>
              <w:t>The accompanying notes to consolidated financial statements are an integral part of these statements.</w:t>
            </w: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40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32</w:t>
            </w:r>
          </w:p>
        </w:tc>
        <w:tc>
          <w:tcPr>
            <w:tcW w:w="10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638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19" w:right="239" w:bottom="1440" w:gutter="0" w:footer="0" w:header="0"/>
        </w:sectPr>
      </w:pPr>
    </w:p>
    <w:bookmarkStart w:id="35" w:name="page36"/>
    <w:bookmarkEnd w:id="35"/>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years ended November 24, 2018, November 25, 2017, and November 26, 2016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6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9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94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8,218</w:t>
            </w:r>
          </w:p>
        </w:tc>
        <w:tc>
          <w:tcPr>
            <w:tcW w:w="4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18,256</w:t>
            </w: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15,829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income to net cash provided by operating activities:</w:t>
            </w:r>
          </w:p>
        </w:tc>
        <w:tc>
          <w:tcPr>
            <w:tcW w:w="9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13,203</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13,312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12,249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Non-cash asset impairment charges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469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Non-cash portion of lease exit costs</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301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Gain on sale of investments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(4,221)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Net (gain) loss on sales of property and equipment</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(234)</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(1,190)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Tenant improvement allowances received from lessors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2,462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1,643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Impairment charges on retail real estate</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1,084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Deferred income taxes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4,663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(302)</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Other, net</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1,398</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1,345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9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Accounts receivable</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1,732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(1,225)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8"/>
                <w:szCs w:val="18"/>
                <w:color w:val="auto"/>
              </w:rPr>
              <w:t>Inventories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(5,998)</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(918)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6,681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Other current and long-term assets</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(961)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2,477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(3,929)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800"/>
              <w:spacing w:after="0"/>
              <w:rPr>
                <w:sz w:val="20"/>
                <w:szCs w:val="20"/>
                <w:color w:val="auto"/>
              </w:rPr>
            </w:pPr>
            <w:r>
              <w:rPr>
                <w:rFonts w:ascii="Times New Roman" w:cs="Times New Roman" w:eastAsia="Times New Roman" w:hAnsi="Times New Roman"/>
                <w:sz w:val="18"/>
                <w:szCs w:val="18"/>
                <w:color w:val="auto"/>
              </w:rPr>
              <w:t>Customer deposits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1,926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800"/>
              <w:spacing w:after="0"/>
              <w:rPr>
                <w:sz w:val="20"/>
                <w:szCs w:val="20"/>
                <w:color w:val="auto"/>
              </w:rPr>
            </w:pPr>
            <w:r>
              <w:rPr>
                <w:rFonts w:ascii="Times New Roman" w:cs="Times New Roman" w:eastAsia="Times New Roman" w:hAnsi="Times New Roman"/>
                <w:sz w:val="18"/>
                <w:szCs w:val="18"/>
                <w:color w:val="auto"/>
              </w:rPr>
              <w:t>Accounts payable and accrued liabilities</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3,395</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4,197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(3,471)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b w:val="1"/>
                <w:bCs w:val="1"/>
                <w:color w:val="auto"/>
              </w:rPr>
              <w:t>Net cash provided by operating activities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28,698</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36,384</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39,062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9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7"/>
              </w:rPr>
              <w:t>(18,301)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(15,500)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(21,501)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sales of property and equipment</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2,689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4,474</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Cash paid for business acquisitions, net of cash acquired</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7"/>
              </w:rPr>
              <w:t>(15,556)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(655)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sales and maturities of investments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482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5,546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Pr>
          <w:p>
            <w:pPr>
              <w:ind w:left="64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7"/>
              </w:rPr>
              <w:t>(30,686)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(6,135)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(20,834)</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9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(8,800)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(7,725)</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exercise of stock options</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310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Issuance of common stock</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355</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168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(5,946)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Taxes paid related to net share settlement of equity awards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(674)</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(641)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equipment loan</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7,384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Payments on notes and equipment loans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(3,455)</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(3,473)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(14,251)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Pr>
          <w:p>
            <w:pPr>
              <w:ind w:left="640"/>
              <w:spacing w:after="0"/>
              <w:rPr>
                <w:sz w:val="20"/>
                <w:szCs w:val="20"/>
                <w:color w:val="auto"/>
              </w:rPr>
            </w:pPr>
            <w:r>
              <w:rPr>
                <w:rFonts w:ascii="Times New Roman" w:cs="Times New Roman" w:eastAsia="Times New Roman" w:hAnsi="Times New Roman"/>
                <w:sz w:val="18"/>
                <w:szCs w:val="18"/>
                <w:b w:val="1"/>
                <w:bCs w:val="1"/>
                <w:color w:val="auto"/>
              </w:rPr>
              <w:t>Net cash used in financing activities</w:t>
            </w:r>
          </w:p>
        </w:tc>
        <w:tc>
          <w:tcPr>
            <w:tcW w:w="9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7"/>
              </w:rPr>
              <w:t>(18,493)</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(11,444)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(19,352)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Change in cash and cash equivalents</w:t>
            </w:r>
          </w:p>
        </w:tc>
        <w:tc>
          <w:tcPr>
            <w:tcW w:w="9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7"/>
              </w:rPr>
              <w:t>(20,481)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18,805</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beginning of year</w:t>
            </w:r>
          </w:p>
        </w:tc>
        <w:tc>
          <w:tcPr>
            <w:tcW w:w="9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53,949</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35,144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36,268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end of year</w:t>
            </w:r>
          </w:p>
        </w:tc>
        <w:tc>
          <w:tcPr>
            <w:tcW w:w="94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33,468</w:t>
            </w:r>
          </w:p>
        </w:tc>
        <w:tc>
          <w:tcPr>
            <w:tcW w:w="42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53,949</w:t>
            </w: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35,144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150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6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9740" w:type="dxa"/>
            <w:vAlign w:val="bottom"/>
            <w:gridSpan w:val="8"/>
          </w:tcPr>
          <w:p>
            <w:pPr>
              <w:jc w:val="center"/>
              <w:ind w:left="1570"/>
              <w:spacing w:after="0"/>
              <w:rPr>
                <w:sz w:val="20"/>
                <w:szCs w:val="20"/>
                <w:color w:val="auto"/>
              </w:rPr>
            </w:pPr>
            <w:r>
              <w:rPr>
                <w:rFonts w:ascii="Times New Roman" w:cs="Times New Roman" w:eastAsia="Times New Roman" w:hAnsi="Times New Roman"/>
                <w:sz w:val="18"/>
                <w:szCs w:val="18"/>
                <w:color w:val="auto"/>
              </w:rPr>
              <w:t>The accompanying notes to consolidated financial statements are an integral part of these statements.</w:t>
            </w: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40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33</w:t>
            </w: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638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19" w:right="239" w:bottom="1440" w:gutter="0" w:footer="0" w:header="0"/>
        </w:sectPr>
      </w:pPr>
    </w:p>
    <w:bookmarkStart w:id="36" w:name="page37"/>
    <w:bookmarkEnd w:id="36"/>
    <w:p>
      <w:pPr>
        <w:jc w:val="center"/>
        <w:spacing w:after="0" w:line="265" w:lineRule="auto"/>
        <w:rPr>
          <w:sz w:val="20"/>
          <w:szCs w:val="20"/>
          <w:color w:val="auto"/>
        </w:rPr>
      </w:pPr>
      <w:r>
        <w:rPr>
          <w:rFonts w:ascii="Times New Roman" w:cs="Times New Roman" w:eastAsia="Times New Roman" w:hAnsi="Times New Roman"/>
          <w:sz w:val="18"/>
          <w:szCs w:val="18"/>
          <w:b w:val="1"/>
          <w:bCs w:val="1"/>
          <w:color w:val="auto"/>
        </w:rPr>
        <w:t>Consolidated Statements of Stockholders’ Equity Bassett Furniture Industries, Incorporated and Subsidiaries For the years ended November 24, 2018, November 25, 2017, and November 26, 2016 (In thousands, except share and per share data)</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3"/>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2780" w:type="dxa"/>
            <w:vAlign w:val="bottom"/>
            <w:gridSpan w:val="7"/>
            <w:vMerge w:val="restart"/>
          </w:tcPr>
          <w:p>
            <w:pPr>
              <w:jc w:val="right"/>
              <w:ind w:right="920"/>
              <w:spacing w:after="0"/>
              <w:rPr>
                <w:sz w:val="20"/>
                <w:szCs w:val="20"/>
                <w:color w:val="auto"/>
              </w:rPr>
            </w:pPr>
            <w:r>
              <w:rPr>
                <w:rFonts w:ascii="Times New Roman" w:cs="Times New Roman" w:eastAsia="Times New Roman" w:hAnsi="Times New Roman"/>
                <w:sz w:val="18"/>
                <w:szCs w:val="18"/>
                <w:b w:val="1"/>
                <w:bCs w:val="1"/>
                <w:color w:val="auto"/>
              </w:rPr>
              <w:t>Common Stock</w:t>
            </w:r>
          </w:p>
        </w:tc>
        <w:tc>
          <w:tcPr>
            <w:tcW w:w="120" w:type="dxa"/>
            <w:vAlign w:val="bottom"/>
          </w:tcPr>
          <w:p>
            <w:pPr>
              <w:spacing w:after="0"/>
              <w:rPr>
                <w:sz w:val="19"/>
                <w:szCs w:val="19"/>
                <w:color w:val="auto"/>
              </w:rPr>
            </w:pPr>
          </w:p>
        </w:tc>
        <w:tc>
          <w:tcPr>
            <w:tcW w:w="11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Additional</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rPr>
              <w:t>other</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2780" w:type="dxa"/>
            <w:vAlign w:val="bottom"/>
            <w:gridSpan w:val="7"/>
            <w:vMerge w:val="continue"/>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paid-in</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Retained</w:t>
            </w:r>
          </w:p>
        </w:tc>
        <w:tc>
          <w:tcPr>
            <w:tcW w:w="128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comprehensive</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300" w:type="dxa"/>
            <w:vAlign w:val="bottom"/>
            <w:tcBorders>
              <w:top w:val="single" w:sz="8" w:color="auto"/>
            </w:tcBorders>
            <w:gridSpan w:val="3"/>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capital</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earnings</w:t>
            </w:r>
          </w:p>
        </w:tc>
        <w:tc>
          <w:tcPr>
            <w:tcW w:w="128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income (loss)</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320" w:type="dxa"/>
            <w:vAlign w:val="bottom"/>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November 28, 2015</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10,916,021</w:t>
            </w:r>
          </w:p>
        </w:tc>
        <w:tc>
          <w:tcPr>
            <w:tcW w:w="12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54,580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4,560</w:t>
            </w: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120,904</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(2,678)</w:t>
            </w:r>
          </w:p>
        </w:tc>
        <w:tc>
          <w:tcPr>
            <w:tcW w:w="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177,366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Comprehensive income</w:t>
            </w: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income</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15,829</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15,829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Actuarial adjustment to SERP, net of tax</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125</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Regular dividends ($0.38 per share)</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(4,127)</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Special dividend ($0.30 per share)</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(3,218)</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Issuance of common stock</w:t>
            </w:r>
          </w:p>
        </w:tc>
        <w:tc>
          <w:tcPr>
            <w:tcW w:w="130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64,316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322</w:t>
            </w:r>
          </w:p>
        </w:tc>
        <w:tc>
          <w:tcPr>
            <w:tcW w:w="1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30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(257,390)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(1,287)</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(5,183)</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(6,470)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Stock-based compensation</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903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November 26, 2016</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10,722,947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53,615</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255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129,388</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(2,553)</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180,705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Comprehensive income</w:t>
            </w: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income</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18,256</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18,256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Prior service cost of LTCA, net of tax</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(528)</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Actuarial adjustment to SERP, net of tax</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511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Regular dividends ($0.42 per share)</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(4,508)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(4,508)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Special dividend ($0.35 per share)</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(3,758)</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(3,758)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Issuance of common stock</w:t>
            </w:r>
          </w:p>
        </w:tc>
        <w:tc>
          <w:tcPr>
            <w:tcW w:w="130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39,313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197</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281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30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(24,310)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(122)</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(602)</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Stock-based compensation</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1,028</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November 25, 2017</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10,737,950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53,690</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962</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139,378</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(2,570)</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191,460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Comprehensive income</w:t>
            </w: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income</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8,218</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Prior service cost of LTCA, net of tax</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94</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Actuarial adjustment to SERP, net of tax</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683</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Reclassification of certain tax effects</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545</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(545)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Regular dividends ($0.47 per share)</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(5,041)</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(5,041)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Issuance of common stock</w:t>
            </w:r>
          </w:p>
        </w:tc>
        <w:tc>
          <w:tcPr>
            <w:tcW w:w="130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63,403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317</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30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(273,717)</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(1,369)</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(2,160)</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(3,091)</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(6,620)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Times New Roman" w:cs="Times New Roman" w:eastAsia="Times New Roman" w:hAnsi="Times New Roman"/>
                <w:sz w:val="18"/>
                <w:szCs w:val="18"/>
                <w:color w:val="auto"/>
              </w:rPr>
              <w:t>Stock-based compensation</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1,133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Balance, November 24, 2018</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10,527,636</w:t>
            </w:r>
          </w:p>
        </w:tc>
        <w:tc>
          <w:tcPr>
            <w:tcW w:w="12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52,638</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140,009</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(2,338)</w:t>
            </w:r>
          </w:p>
        </w:tc>
        <w:tc>
          <w:tcPr>
            <w:tcW w:w="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190,309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16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0080" w:type="dxa"/>
            <w:vAlign w:val="bottom"/>
            <w:gridSpan w:val="18"/>
          </w:tcPr>
          <w:p>
            <w:pPr>
              <w:jc w:val="right"/>
              <w:ind w:right="740"/>
              <w:spacing w:after="0"/>
              <w:rPr>
                <w:sz w:val="20"/>
                <w:szCs w:val="20"/>
                <w:color w:val="auto"/>
              </w:rPr>
            </w:pPr>
            <w:r>
              <w:rPr>
                <w:rFonts w:ascii="Times New Roman" w:cs="Times New Roman" w:eastAsia="Times New Roman" w:hAnsi="Times New Roman"/>
                <w:sz w:val="18"/>
                <w:szCs w:val="18"/>
                <w:color w:val="auto"/>
              </w:rPr>
              <w:t>The accompanying notes to consolidated financial statements are an integral part of these statements.</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34</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32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19" w:right="2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ind w:left="340" w:hanging="332"/>
        <w:spacing w:after="0"/>
        <w:tabs>
          <w:tab w:leader="none" w:pos="340" w:val="left"/>
        </w:tabs>
        <w:numPr>
          <w:ilvl w:val="0"/>
          <w:numId w:val="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Description of Business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Bassett Furniture Industries, Incorporated (together with its consolidated subsidiaries, “Bassett”, “we”, “our”, the “Company”) based in Bassett, Virginia, is a leading manufacturer, marketer and retailer of branded home furnishings. Bassett’s full range of furniture products and accessories, designed to provide quality, style and value, are sold through an exclusive nation-wide network of 97 retail stores known as Bassett Home Furnishings (referred to as “BHF”). Of the 97 stores, the Company owns and operates 65 stores (“Company-owned retail stores”) with the other 32 being independently owned (“licensee operated”). We also distribute our products through other multi-line furniture stores, many of which feature Bassett galleries or design centers, specialty stores and mass merchants.</w:t>
      </w:r>
    </w:p>
    <w:p>
      <w:pPr>
        <w:spacing w:after="0" w:line="18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sourced approximately 27% of our wholesale products from various foreign countries, with the remaining volume produced at our five domestic manufacturing facilities.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Lane Venture Acquisition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Lane Venture is being operated as a component of our wholesale segment (see Note 3, Business Combinations). Results of operations for the Lane Venture business are included in our consolidated statements of income since the date of acquisition.</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340" w:hanging="332"/>
        <w:spacing w:after="0"/>
        <w:tabs>
          <w:tab w:leader="none" w:pos="340" w:val="left"/>
        </w:tabs>
        <w:numPr>
          <w:ilvl w:val="0"/>
          <w:numId w:val="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Significant Accounting Policies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Basis of Presentation and Principles of Consolidation</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fiscal year ends on the last Saturday in November, which periodically results in a 53-week year. Fiscal 2018, 2017 and 2016 each contained 52 weeks. The Consolidated Financial Statements include the accounts of Bassett Furniture Industries, Incorporated and our majority-owned subsidiaries in which we have a controlling interest. All significant intercompany balances and transactions are eliminated in consolidation. Accordingly, the results of Lane Venture have been consolidated with our results since the date of the acquisition. Sales of logistical services from Zenith to our wholesale and retail segments have been eliminated, and Zenith’s operating costs and expenses since the date of acquisition are included in selling, general and administrative expenses in our consolidated statements of net income. The financial statements have been prepared in accordance with generally accepted accounting principles in the United States ("GAAP"). Unless otherwise indicated, references in the Consolidated Financial Statements to fiscal 2018, 2017 and 2016 are to Bassett's fiscal year ended November 24, 2018, November 25, 2017 and November 26, 2016, respectively. References to the “ASC” included hereinafter refer to the Accounting Standards Codification established by the Financial Accounting Standards Board as the source of authoritative GAAP.</w:t>
      </w:r>
    </w:p>
    <w:p>
      <w:pPr>
        <w:spacing w:after="0" w:line="18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analyzed our licensees under the requirements for variable interest entities (“VIEs”). All of these licensees operate as BHF stores and are furniture retailers. We sell furniture to these licensees, and in some cases have extended credit beyond normal terms, made lease guarantees, guaranteed loans, or loaned directly to the licensees. We have recorded reserves for potential exposures related to these licensees. See Note 16 for disclosure of leases and lease guarantees. Based on financial projections and best available information, all licensees have sufficient equity to carry out their principal operating activities without subordinated financial support. Furthermore, we believe that the power to direct the activities that most significantly impact the licensees’ operating performance continues to lie with the ownership of the licensee dealers. Our rights to assume control over or otherwise influence the licensees’ significant activities only exist pursuant to our license and security agreements and are in the nature of protective rights as contemplated under ASC Topic 810. We completed our assessment for other potential VIEs, and concluded that there were none. We will continue to reassess the status of potential VIEs including when facts and circumstances surrounding each potential VIE change.</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Use of Estimates</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accounting principles generally accepted in the United States requires us to make estimates and assumptions that affect the reported amounts of assets and liabilities and disclosure of contingent liabilities at the date of the financial statements and the reported amounts of revenues and expenses during the reporting period. Some of the more significant estimates include allowances for doubtful accounts, calculation of inventory reserves, valuation of income tax reserves, lease guarantees, insurance reserves and assumptions related to our post-employment benefit obligations. Actual results could differ from those estimates.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Revenue Recognition</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Revenue is recognized when the risks and rewards of ownership and title to the product have transferred to the buyer. This occurs upon the shipment of goods to independent dealers or, in the case of Company-owned retail stores, upon delivery to the customer. We offer terms varying from 30 to 60 days for wholesale customers. For retail sales, we typically collect a significant portion of the purchase price as a customer deposit upon order, with the balance typically collected upon delivery. These deposits are carried on our balance sheet as a current liability until delivery is fulfilled. Estimates for returns and allowances have been recorded as a reduction to revenue. The contracts with our licensee store owners do not provide for any royalty or license fee to be paid to us. Revenue is reported net of any taxes collected. For our logistical services segment, line-haul freight revenue and home delivery revenue are recognized upon the completion of delivery to the destination. Warehousing services revenue is based upon warehouse space occupied by a customer’s goods and inventory movements in and out of a warehouse and is recognized as such services are provided.</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Staff Accounting Bulletin No. 104, </w:t>
      </w:r>
      <w:r>
        <w:rPr>
          <w:rFonts w:ascii="Times New Roman" w:cs="Times New Roman" w:eastAsia="Times New Roman" w:hAnsi="Times New Roman"/>
          <w:sz w:val="18"/>
          <w:szCs w:val="18"/>
          <w:i w:val="1"/>
          <w:iCs w:val="1"/>
          <w:color w:val="auto"/>
        </w:rPr>
        <w:t>Revenue Recognition</w:t>
      </w:r>
      <w:r>
        <w:rPr>
          <w:rFonts w:ascii="Times New Roman" w:cs="Times New Roman" w:eastAsia="Times New Roman" w:hAnsi="Times New Roman"/>
          <w:sz w:val="18"/>
          <w:szCs w:val="18"/>
          <w:color w:val="auto"/>
        </w:rPr>
        <w:t xml:space="preserve"> (“SAB 104”) outlines the four basic criteria for recognizing revenue as follows: (1) persuasive evidence of an arrangement exists, (2) delivery has occurred or services have been rendered, (3) the seller’s price to the buyer is fixed or determinable, and (4) collectability is reasonably assured. SAB 104 further asserts that if collectability of all or a portion of the revenue is not reasonably assured, revenue recognition should be deferred until payment is received. During fiscal 2018, 2017 and 2016, there were no sales for which these criteria were not met.</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Cash Equivalents and Short-Term Investments</w:t>
      </w:r>
    </w:p>
    <w:p>
      <w:pPr>
        <w:spacing w:after="0" w:line="225"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The Company considers cash on hand, demand deposits in banks and all highly liquid investments with an original maturity of three months or less to be cash and cash equivalents. Our short-term investments consist of certificates of deposit that have original maturities of twelve months or less but greater than three months.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Accounts Receivable</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Substantially all of our trade accounts receivable is due from customers located within the United States. We maintain an allowance for doubtful accounts for estimated losses resulting from the inability of our customers to make required payments. The allowance for doubtful accounts is based on a review of specifically identified accounts in addition to an overall aging analysis. Judgments are made with respect to the collectibility of accounts receivable based on historical experience and current economic trends. Actual losses could differ from those estimates.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Concentrations of Credit Risk and Major Customers</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Financial instruments that subject us to credit risk consist primarily of investments, accounts and notes receivable and financial guarantees. Investments are managed within established guidelines to mitigate risks. Accounts and notes receivable and financial guarantees subject us to credit risk partially due to the concentration of amounts due from and guaranteed on behalf of independent licensee customers. At November 24, 2018 and November 25, 2017, our aggregate exposure from receivables and guarantees related to customers consisted of the following:</w:t>
      </w:r>
    </w:p>
    <w:p>
      <w:pPr>
        <w:spacing w:after="0" w:line="176"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6320" w:type="dxa"/>
            <w:vAlign w:val="bottom"/>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4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receivable, net of allowances (Note 5)</w:t>
            </w:r>
          </w:p>
        </w:tc>
        <w:tc>
          <w:tcPr>
            <w:tcW w:w="1000" w:type="dxa"/>
            <w:vAlign w:val="bottom"/>
            <w:shd w:val="clear" w:color="auto" w:fill="CCEEFF"/>
          </w:tcPr>
          <w:p>
            <w:pPr>
              <w:jc w:val="right"/>
              <w:ind w:right="833"/>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19,055</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19,640</w:t>
            </w:r>
          </w:p>
        </w:tc>
        <w:tc>
          <w:tcPr>
            <w:tcW w:w="0" w:type="dxa"/>
            <w:vAlign w:val="bottom"/>
          </w:tcPr>
          <w:p>
            <w:pPr>
              <w:spacing w:after="0"/>
              <w:rPr>
                <w:sz w:val="1"/>
                <w:szCs w:val="1"/>
                <w:color w:val="auto"/>
              </w:rPr>
            </w:pPr>
          </w:p>
        </w:tc>
      </w:tr>
      <w:tr>
        <w:trPr>
          <w:trHeight w:val="198"/>
        </w:trPr>
        <w:tc>
          <w:tcPr>
            <w:tcW w:w="63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Contingent obligations under lease and loan guarantees, less amounts recognized</w:t>
            </w:r>
          </w:p>
        </w:tc>
        <w:tc>
          <w:tcPr>
            <w:tcW w:w="1000" w:type="dxa"/>
            <w:vAlign w:val="bottom"/>
          </w:tcPr>
          <w:p>
            <w:pPr>
              <w:spacing w:after="0"/>
              <w:rPr>
                <w:sz w:val="17"/>
                <w:szCs w:val="17"/>
                <w:color w:val="auto"/>
              </w:rPr>
            </w:pPr>
          </w:p>
        </w:tc>
        <w:tc>
          <w:tcPr>
            <w:tcW w:w="7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8"/>
                <w:szCs w:val="18"/>
                <w:color w:val="auto"/>
              </w:rPr>
              <w:t>1,995</w:t>
            </w:r>
          </w:p>
        </w:tc>
        <w:tc>
          <w:tcPr>
            <w:tcW w:w="340" w:type="dxa"/>
            <w:vAlign w:val="bottom"/>
          </w:tcPr>
          <w:p>
            <w:pPr>
              <w:spacing w:after="0"/>
              <w:rPr>
                <w:sz w:val="17"/>
                <w:szCs w:val="17"/>
                <w:color w:val="auto"/>
              </w:rPr>
            </w:pPr>
          </w:p>
        </w:tc>
        <w:tc>
          <w:tcPr>
            <w:tcW w:w="13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2,717</w:t>
            </w:r>
          </w:p>
        </w:tc>
        <w:tc>
          <w:tcPr>
            <w:tcW w:w="0" w:type="dxa"/>
            <w:vAlign w:val="bottom"/>
          </w:tcPr>
          <w:p>
            <w:pPr>
              <w:spacing w:after="0"/>
              <w:rPr>
                <w:sz w:val="1"/>
                <w:szCs w:val="1"/>
                <w:color w:val="auto"/>
              </w:rPr>
            </w:pPr>
          </w:p>
        </w:tc>
      </w:tr>
      <w:tr>
        <w:trPr>
          <w:trHeight w:val="221"/>
        </w:trPr>
        <w:tc>
          <w:tcPr>
            <w:tcW w:w="6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(Note 16)</w:t>
            </w:r>
          </w:p>
        </w:tc>
        <w:tc>
          <w:tcPr>
            <w:tcW w:w="1000" w:type="dxa"/>
            <w:vAlign w:val="bottom"/>
          </w:tcPr>
          <w:p>
            <w:pPr>
              <w:spacing w:after="0"/>
              <w:rPr>
                <w:sz w:val="19"/>
                <w:szCs w:val="19"/>
                <w:color w:val="auto"/>
              </w:rPr>
            </w:pPr>
          </w:p>
        </w:tc>
        <w:tc>
          <w:tcPr>
            <w:tcW w:w="740" w:type="dxa"/>
            <w:vAlign w:val="bottom"/>
            <w:gridSpan w:val="2"/>
            <w:vMerge w:val="continue"/>
          </w:tcPr>
          <w:p>
            <w:pPr>
              <w:spacing w:after="0"/>
              <w:rPr>
                <w:sz w:val="19"/>
                <w:szCs w:val="19"/>
                <w:color w:val="auto"/>
              </w:rPr>
            </w:pPr>
          </w:p>
        </w:tc>
        <w:tc>
          <w:tcPr>
            <w:tcW w:w="34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32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3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credit risk exposure related to customers</w:t>
            </w:r>
          </w:p>
        </w:tc>
        <w:tc>
          <w:tcPr>
            <w:tcW w:w="1000" w:type="dxa"/>
            <w:vAlign w:val="bottom"/>
            <w:shd w:val="clear" w:color="auto" w:fill="CCEEFF"/>
          </w:tcPr>
          <w:p>
            <w:pPr>
              <w:jc w:val="right"/>
              <w:ind w:right="833"/>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21,050</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22,357</w:t>
            </w:r>
          </w:p>
        </w:tc>
        <w:tc>
          <w:tcPr>
            <w:tcW w:w="0" w:type="dxa"/>
            <w:vAlign w:val="bottom"/>
          </w:tcPr>
          <w:p>
            <w:pPr>
              <w:spacing w:after="0"/>
              <w:rPr>
                <w:sz w:val="1"/>
                <w:szCs w:val="1"/>
                <w:color w:val="auto"/>
              </w:rPr>
            </w:pPr>
          </w:p>
        </w:tc>
      </w:tr>
      <w:tr>
        <w:trPr>
          <w:trHeight w:val="20"/>
        </w:trPr>
        <w:tc>
          <w:tcPr>
            <w:tcW w:w="632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At November 24, 2018 and November 25, 2017, approximately 33% and 29%, respectively, of the aggregate risk exposure, net of reserves, shown above was attributable to five customers. In fiscal 2018, 2017 and 2016, no customer accounted for more than 10% of total consolidated net sales. However, two customers accounted for approximately 40%, 47% and 46% of our consolidated revenue from logistical services during 2018, 2017 and 2016, respectively.</w:t>
      </w:r>
    </w:p>
    <w:p>
      <w:pPr>
        <w:spacing w:after="0" w:line="176"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We have no foreign manufacturing or retail operations. We define export sales as sales to any country or territory other than the United States or its territories or possessions. Our export sales were approximately $1,587, $2,288, and $3,607 in fiscal 2018, 2017, and 2016, respectively. All of our export sales are invoiced and settled in U.S. dollars.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Inventories</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Inventories (retail merchandise, finished goods, work in process and raw materials) are stated at the lower of cost or market. Cost is determined for domestic manufactured furniture inventories using the last-in, first-out (“LIFO”) method because we believe this methodology provides better matching of revenue and expenses. The cost of imported inventories and Lane Venture product inventories are determined on a first-in, first-out (“FIFO”) basis. Inventories accounted for under the LIFO method represented 52% and 54% of total inventory before reserves at November 24, 2018 and November 25, 2017, respectively. We estimate inventory reserves for excess quantities and obsolete items based on specific identification and historical write-offs, taking into account future demand and market conditions. If actual demand or market conditions in the future are less favorable than those estimated, additional inventory write-downs may be required.</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Property and Equipment</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Property and equipment is comprised of all land, buildings and leasehold improvements and machinery and equipment used in the manufacturing and warehousing of furniture, our Company-owned retail operations, our logistical services operations, and corporate administration. This property and equipment is stated at cost less accumulated depreciation. Depreciation is computed over the estimated useful lives of the respective assets utilizing the straight-line method. Buildings and improvements are generally depreciated over a period of 10 to 39 years. Machinery and equipment are generally depreciated over a period of 5 to 10 years. Leasehold improvements are amortized based on the underlying lease term, or the asset’s estimated useful life, whichever is shorter.</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Retail Real Estate</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Retail real estate is comprised of owned and leased properties which have in the past been utilized by licensee operated BHF stores and are now leased or subleased to non-licensee tenants. The net book value of our retail real estate at November 24, 2018 and November 25, 2017 was $1,655 and $1,758, respectively, and is included in other long-term assets in our consolidated balance sheets. This real estate is stated at cost less accumulated depreciation and is depreciated over the useful lives of the respective assets utilizing the straight line method. Buildings and improvements are generally depreciated over a period of 10 to 39 years. Leasehold improvements are amortized based on the underlying lease term, or the asset’s estimated useful life, whichever is shorter. Depreciation expense was $103, $127, and $152 in fiscal 2018, 2017, and 2016, respectively, and is included in other loss, net, in our consolidated statements of income.</w:t>
      </w:r>
    </w:p>
    <w:p>
      <w:pPr>
        <w:spacing w:after="0" w:line="18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net book value of our retail real estate at November 24, 2018 consisted of one property located near Charleston, South Carolina which is fully occupied by a tenant under a long term lease. We also own a building in Chesterfield County, Virginia that was formerly leased to a licensee for the operation of a BHF store. The building is subject to a ground lease that expires in 2020, but has additional renewal options. Since 2012, we have leased the building to another party who is, as of recently, paying less than the full amount of the lease obligation, resulting in rental income insufficient to cover our ground lease obligation. Efforts to sell our interest in the building have been unsuccessful so far. We have also concluded that absent a significant cash investment in the building the likelihood of locating another tenant for the building at a rent that would provide positive cash flow in excess of the ground lease expense is remote. In addition, we obtained an appraisal during the second quarter of fiscal 2017 which indicated that the value of the building had significantly decreased and was now minimal. Given these circumstances, we concluded in the second quarter of fiscal 2017 that we are unlikely to renew the ground lease in 2020 and would therefore likely vacate the property at that time. Consequently, we recorded a non-cash impairment charge of $1,084 during fiscal 2017 to write off the value of the building.</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Goodwill</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Goodwill represents the excess of the fair value of consideration given over the fair value of the tangible assets and liabilities and identifiable intangible assets of businesses acquired. The acquisition of assets and liabilities and the resulting goodwill is allocated to the respective reporting unit: Wood, Upholstery, Retail or Logistical Services. We review goodwill at the reporting unit level annually for impairment or more frequently if events or circumstances indicate that assets might be impaired.</w:t>
      </w:r>
    </w:p>
    <w:p>
      <w:pPr>
        <w:spacing w:after="0" w:line="17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accordance with ASC Topic 350, </w:t>
      </w:r>
      <w:r>
        <w:rPr>
          <w:rFonts w:ascii="Times New Roman" w:cs="Times New Roman" w:eastAsia="Times New Roman" w:hAnsi="Times New Roman"/>
          <w:sz w:val="18"/>
          <w:szCs w:val="18"/>
          <w:i w:val="1"/>
          <w:iCs w:val="1"/>
          <w:color w:val="auto"/>
        </w:rPr>
        <w:t>Intangibles – Goodwill &amp; Other,</w:t>
      </w:r>
      <w:r>
        <w:rPr>
          <w:rFonts w:ascii="Times New Roman" w:cs="Times New Roman" w:eastAsia="Times New Roman" w:hAnsi="Times New Roman"/>
          <w:sz w:val="18"/>
          <w:szCs w:val="18"/>
          <w:color w:val="auto"/>
        </w:rPr>
        <w:t xml:space="preserve"> the goodwill impairment test consists of a two-step process, if necessary. However, we first assess qualitative factors to determine whether it is more likely than not that the fair value of a reporting unit is less than its carrying amount as a basis for determining whether it is necessary to perform the two-step goodwill impairment test described in ASC Topic 350. The more likely than not threshold is defined as having a likelihood of more than 50 percent. If, after assessing the totality of events or circumstances, we determine that it is not more likely than not that the fair value of a reporting unit is less than its carrying amount, then performing the two-step impairment test is unnecessary and our goodwill is considered to be unimpaired. However, if based on our qualitative assessment we conclude that it is more likely than not that the fair value of a reporting unit is less than its carrying amount, we will proceed with performing the two-step process. Based on our qualitative assessment as described above, we have concluded that our goodwill is not impaired as of November 24, 2018.</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first step compares the carrying value of each reporting unit that has goodwill with the estimated fair value of the respective reporting unit. Should the carrying value of a reporting unit be in excess of the estimated fair value of that reporting unit, the second step is performed whereby we must calculate the implied fair value of goodwill by deducting the fair value of all tangible and intangible net assets of the reporting unit from the fair value of the reporting unit. This second step represents a hypothetical application of the acquisition method of accounting as if we had acquired the reporting unit on that date. Our impairment methodology uses a discounted cash flow analysis requiring certain assumptions and estimates to be made regarding future profitability of the reporting unit and industry economic factors. While we believe such assumptions and estimates are reasonable, the actual results may differ materially from the projected amounts.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Intangible Assets</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Intangible assets acquired in a business combination and determined to have an indefinite useful life are not amortized but are tested for impairment annually or between annual tests when an impairment indicator exists. The recoverability of indefinite-lived intangible assets is assessed by comparison of the carrying value of the asset to its estimated fair value. If we determine that the carrying value of the asset exceeds its estimated fair value, an impairment loss equal to the excess would be recorded.</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Definite-lived intangible assets are amortized over their respective estimated useful lives and reviewed for impairment whenever events or changes in circumstances indicate that their carrying amounts may not be recoverable. We estimate the useful lives of our intangible assets and ratably amortize the value over the estimated useful lives of those assets. If the estimates of the useful lives should change, we will amortize the remaining book value over the remaining useful lives or, if an asset is deemed to be impaired, a write-down of the value of the asset may be required at such time.</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Impairment of Long Lived Assets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periodically evaluate whether events or circumstances have occurred that indicate long-lived assets may not be recoverable or that the remaining useful life may warrant revision. When such events or circumstances are present, we assess the recoverability of long-lived assets by determining whether the carrying value will be recovered through the expected undiscounted future cash flows resulting from the use and eventual disposition of the asset. In the event the sum of the expected undiscounted future cash flows is less than the carrying value of the asset, an impairment loss equal to the excess of the asset’s carrying value over its fair value is recorded. Fair value is determined based on discounted cash flows or appraised values depending on the nature of the assets. The long-term nature of these assets requires the estimation of cash inflows and outflows several years into the future.</w:t>
      </w:r>
    </w:p>
    <w:p>
      <w:pPr>
        <w:spacing w:after="0" w:line="18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When analyzing our real estate properties for potential impairment, we consider such qualitative factors as our experience in leasing and selling real estate properties as well as specific site and local market characteristics. Upon the closure of a Bassett Home Furnishings store, we generally write off all tenant improvements which are only suitable for use in such a store.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Income Taxes</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account for income taxes under the liability method which requires that we recognize deferred tax assets and liabilities for the future tax consequences attributable to differences between the financial statement carrying amount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See Note 14.</w:t>
      </w:r>
    </w:p>
    <w:p>
      <w:pPr>
        <w:spacing w:after="0" w:line="1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recognize the tax benefit from an uncertain tax position only if it is more likely than not that the tax position will be sustained on examination by the taxing authorities, based on the technical merits of the position. Despite our belief that our liability for unrecognized tax benefits is adequate, it is often difficult to predict the final outcome or the timing of the resolution of any particular tax matters. We may adjust these liabilities as relevant circumstances evolve, such as guidance from the relevant tax authority or our tax advisors, or resolution of issues in the courts. These adjustments are recognized as a component of income tax expense in the period in which they are identified.</w:t>
      </w:r>
    </w:p>
    <w:p>
      <w:pPr>
        <w:spacing w:after="0" w:line="1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evaluate our deferred income tax assets to determine if valuation allowances are required or should be adjusted. A valuation allowance is established against our deferred tax assets based on consideration of all available evidence, both positive and negative, using a “more likely than not” standard. This assessment considers, among other matters, the nature, frequency and severity of recent losses, forecasts of future profitability, the duration of statutory carryforward periods, our experience with tax attributes expiring unused and tax planning alternatives. In making such judgments, significant weight is given to evidence that can be objectively verified. See Note 14.</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Store Pre-Opening Costs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Income from operations for fiscal 2018, 2017 and 2016 includes new store pre-opening costs of $2,081, $2,413 and $1,148, respectively. Such costs consist of expenses incurred at the new store location during the period prior to its opening and include, among other things, facility occupancy costs such as rent and utilities and local store personnel costs related to pre-opening activities including training. New store pre-opening costs do not include costs which are capitalized in accordance with our property and equipment capitalization policies, such as leasehold improvements and store fixtures and equipment. Such capitalized costs associated with new stores are depreciated commencing with the opening of the store. There are no pre-opening costs associated with stores acquired from licensees, as such locations were already in operation at the time of their acquisition.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Shipping and Handling Costs</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Costs incurred to deliver wholesale merchandise to customers are recorded in selling, general and administrative expense and totaled $17,511, $18,514, and $18,451 for fiscal 2018, 2017 and 2016, respectively. Costs incurred to deliver retail merchandise to customers, including the cost of operating regional distribution warehouses, are also recorded in selling, general and administrative expense and totaled $19,107, $18,424, and $18,094 for fiscal 2018, 2017 and 2016, respectively.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Advertising</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Costs incurred for producing and distributing advertising and advertising materials are expensed when incurred and are included in selling, general and administrative expenses. Advertising costs totaled $20,922, $18,834, and $16,688 in fiscal 2018, 2017, and 2016, respectively.</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Insurance Reserves</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have self-funded insurance programs in place to cover workers’ compensation and health insurance. These insurance programs are subject to various stop-loss limitations. We accrue estimated losses using historical loss experience. Although we believe that the insurance reserves are adequate, the reserve estimates are based on historical experience, which may not be indicative of current and future losses. We adjust insurance reserves, as needed, in the event that future loss experience differs from historical loss patterns.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Supplemental Cash Flow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material non-cash investing or financing activities during fiscal 2018, 2017 or 2016.</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Recent Accounting Pronouncements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Adopted Pronouncements</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July 2015, the FASB issued Accounting Standards Update No. 2015-11, Inventory (Topic 330): </w:t>
      </w:r>
      <w:r>
        <w:rPr>
          <w:rFonts w:ascii="Times New Roman" w:cs="Times New Roman" w:eastAsia="Times New Roman" w:hAnsi="Times New Roman"/>
          <w:sz w:val="18"/>
          <w:szCs w:val="18"/>
          <w:i w:val="1"/>
          <w:iCs w:val="1"/>
          <w:color w:val="auto"/>
        </w:rPr>
        <w:t>Simplifying the Measurement of Inventory</w:t>
      </w:r>
      <w:r>
        <w:rPr>
          <w:rFonts w:ascii="Times New Roman" w:cs="Times New Roman" w:eastAsia="Times New Roman" w:hAnsi="Times New Roman"/>
          <w:sz w:val="18"/>
          <w:szCs w:val="18"/>
          <w:color w:val="auto"/>
        </w:rPr>
        <w:t>. ASU 2015-11 requires that inventory within the scope of this Update be measured at the lower of cost and net realizable value. Net realizable value is the estimated selling prices in the ordinary course of business, less reasonably predictable costs of completion, disposal, and transportation. The amendments in this Update do not apply to inventory that is measured using last-in, first-out (LIFO) or the retail inventory method. The amendments apply to all other inventory, which includes inventory that is measured using first-in, first-out (FIFO) or average cost. For all entities, the guidance is effective for annual periods, and interim periods within those annual periods, beginning after December 15, 2016. Early adoption is permitted. Therefore the amendments in ASU 2015-11 became effective for us as of the beginning of our 2018 fiscal year. The adoption of this guidance did not have a material impact upon our financial condition or results of operations.</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 February 2018, the FASB issued Accounting Standards Update No. 2018-02, Income Statement—Reporting Comprehensive Income (Topic 220): Reclassification of Certain Tax Effects from Accumulated Other Comprehensive Income. ASU 2018-02 was issued to provide narrow-scope guidance for entities that are required to apply the provisions of Topic 220, Income Statement—Reporting Comprehensive Income, and have items of other comprehensive income for which the related tax effects are presented in other comprehensive income as required by GAAP. The amendments in ASU 2018-02 allow a reclassification from accumulated other comprehensive income to retained earnings for stranded tax effects resulting from the Tax Cuts and Jobs Act. Consequently, the amendments eliminate the stranded tax effects resulting from the Act and will improve the usefulness of information reported to financial statement users. However, because the amendments only relate to the reclassification of the income tax effects of the Tax Cuts and Jobs Act, the underlying guidance that requires that the effect of a change in tax laws or rates be included in income from continuing operations is not affected. The amendments in ASU 2018-02 are effective for all entities for fiscal years beginning after December 15, 2018, and interim periods within those fiscal years. Early adoption of the amendments in this Update is permitted, including adoption in any interim period, (1) for public business entities for reporting periods for which financial statements have not yet been issued and (2) for all other entities for reporting periods for which financial statements have not yet been made available for issuance. Because the Act has had a significant impact upon the tax effects of pension costs included in our accumulated other comprehensive loss, we have adopted the guidance in ASU 2018-02 effective as of the beginning of the first quarter of fiscal 2018, resulting in the reclassification of $545 of tax benefits from accumulated other comprehensive loss to retained earnings (see Note 12).</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 Pronouncements Not Yet Adopted</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 May 2014, the FASB issued Accounting Standards Update No. 2014-09 (ASU 2014-09), which creates ASC Topic 606, Revenue from Contracts with Customers, and supersedes the revenue recognition requirements in Topic 605, Revenue Recognition, including most industry-specific revenue recognition guidance throughout the Industry Topics of the Codification. In addition, ASU 2014-09 supersedes the cost guidance in Subtopic 605-35, Revenue Recognition—Construction-Type and Production-Type Contracts, and creates new Subtopic 340-40, Other Assets and Deferred Costs—Contracts with Customers. In summary, the core principle of Topic 606 is to recognize revenue when promised goods or services are transferred to customers in an amount that reflects the consideration that is expected to be received for those goods or services. Companies are allowed to select between two transition methods: (1) a full retrospective transition method with the application of the new guidance to each prior reporting period presented, or (2) a retrospective transition method that recognizes the cumulative effect on prior periods at the date of adoption together with additional footnote disclosures. In addition, during 2016 the FASB has issued ASU 2016-08, ASU 2016-10 and ASU 2016-12, all of which clarify certain implementation guidance within ASU 2014-09, and ASU 2016-11, which rescinds certain SEC guidance within the ASC effective upon an entity’s adoption of ASU 2014-09. The amendments in ASU 2014-09 are effective for annual reporting periods beginning after December 15, 2017, including interim periods within that reporting period, and early application is not permitted. Therefore the amendments in ASU 2014-09 will become effective for us as of the beginning of our 2019 fiscal year. In order to evaluate the impact that the adoption of ASU 2014-09 will have on our consolidated financial statements, we have conducted a comprehensive review of the significant revenue streams across our wholesale, retail and logistical services reportable segments. The focus of this review included, among other things, the identification of the significant contracts and other arrangements we have with our customers to identify significant performance obligations, factors affecting the determination of transaction price, such as variable consideration, and factors affecting the classification of receipts as revenue, such as principal versus agent considerations. Our findings from the review were then analyzed based on the five-step model described in the new standard. We are currently finalizing our assessment of the impact that adoption will have on our consolidated financial statements. While we have not yet made a final determination as to the impact on our financial position or results of operations, we do anticipate incorporating additional disclosures, primarily related to disaggregation of revenue. We are also in the process of implementing the necessary changes to our accounting policies, procedures and controls with respect to these contracts and arrangements as required by the adoption of ASU 2014-09. We will adopt this standard as of the beginning of our 2019 fiscal year using the modified retrospective method of adoption. We do not expect the adoption of this standard to have a material impact on our financial position or results of operations.</w:t>
      </w:r>
    </w:p>
    <w:p>
      <w:pPr>
        <w:spacing w:after="0" w:line="18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In January 2016, the FASB issued Accounting Standards Update No. 2016-01, </w:t>
      </w:r>
      <w:r>
        <w:rPr>
          <w:rFonts w:ascii="Times New Roman" w:cs="Times New Roman" w:eastAsia="Times New Roman" w:hAnsi="Times New Roman"/>
          <w:sz w:val="18"/>
          <w:szCs w:val="18"/>
          <w:i w:val="1"/>
          <w:iCs w:val="1"/>
          <w:color w:val="auto"/>
        </w:rPr>
        <w:t>Financial Instruments - Overall (Subtopic 825-10): Recognition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Measurement of Financial Assets and Financial Liabilities</w:t>
      </w:r>
      <w:r>
        <w:rPr>
          <w:rFonts w:ascii="Times New Roman" w:cs="Times New Roman" w:eastAsia="Times New Roman" w:hAnsi="Times New Roman"/>
          <w:sz w:val="18"/>
          <w:szCs w:val="18"/>
          <w:color w:val="auto"/>
        </w:rPr>
        <w:t>. ASU 2016-01 requires that equity investments (except those accounted for under the equity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method of accounting or those that result in consolidation of the investee) are to be measured at fair value with changes in fair value recognized in net income. However,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Furthermore, equity investments without readily determinable fair values are to be assessed for impairment using a quantitative approach. The amendments in ASU 2016-01 should be applied by means of a cumulative-effect adjustment to the balance sheet as of the beginning of the fiscal year of adoption, with other amendments related specifically to equity securities without readily determinable fair values applied prospectively. The amendments in ASU 2016-01 will become effective for us as of the beginning of our 2019 fiscal year. The adoption of this guidance is not expected to have a material impact upon our financial condition or results of operations.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 February 2016, the FASB issued Accounting Standards Update No. 2016-02, Leases (Topic 842). The guidance in ASU 2016-02 (as subsequently amended by ASU 2018-01, ASU 2018-10, ASU 2018-11 and ASU 2018-20) requires that a lessee recognize in the statement of financial position a liability to make lease payments (the lease liability) and a right-of-use asset representing its right to use the underlying asset for the lease term. For leases with a term of 12 months or less, a lessee is permitted to make an accounting policy election by class of underlying asset not to recognize lease assets and lease liabilities. As with previous guidance, there continues to be a differentiation between finance leases and operating leases, however this distinction now primarily relates to differences in the manner of expense recognition over time and in the classification of lease payments in the statement of cash flows. Lease assets and liabilities arising from both finance and operating leases will be recognized in the statement of financial position. ASU 2016-02 leaves the accounting for leases by lessors largely unchanged from previous GAAP. The transitional guidance for adopting the requirements of ASU 2016-02 calls for a modified retrospective approach that includes a number of optional practical expedients that entities may elect to apply. In addition, ASU 2018-11 provides for an additional (and optional) transition method by which entities may elect to initially apply the transition requirements in Topic 842 at that Topic’s effective date with the effects of initially applying Topic 842 recognized as a cumulative effect adjustment to the opening balance of retained earnings in the period of adoption and without retrospective application to any comparative prior periods presented. Also, ASU 2018-20 provides certain narrow-scope improvements to Topic 842 as it relates to lessors. The guidance in ASU 2016-02 will become effective for us as of the beginning of our 2020 fiscal year. We are currently evaluating the impact that the adoption of ASU 2016-02 will have on our consolidated financial statements, which we expect will have a material effect on our statement of financial position (refer to Note 16 for information regarding our leases currently classified as operating leases under ASC Topic 840). We currently anticipate that we will adopt the guidance of ASU 2016-02 as of the beginning of our 2020 fiscal year using the optional transition method as provided by ASU 2018-11.</w:t>
      </w:r>
    </w:p>
    <w:p>
      <w:pPr>
        <w:spacing w:after="0" w:line="19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August 2016, the FASB issued Accounting Standards Update No. 2016-15, </w:t>
      </w:r>
      <w:r>
        <w:rPr>
          <w:rFonts w:ascii="Times New Roman" w:cs="Times New Roman" w:eastAsia="Times New Roman" w:hAnsi="Times New Roman"/>
          <w:sz w:val="18"/>
          <w:szCs w:val="18"/>
          <w:i w:val="1"/>
          <w:iCs w:val="1"/>
          <w:color w:val="auto"/>
        </w:rPr>
        <w:t>Statement of Cash Flows (Topic 230): Classification of Certain Cash Receipts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and Cash Payments</w:t>
      </w:r>
      <w:r>
        <w:rPr>
          <w:rFonts w:ascii="Times New Roman" w:cs="Times New Roman" w:eastAsia="Times New Roman" w:hAnsi="Times New Roman"/>
          <w:sz w:val="18"/>
          <w:szCs w:val="18"/>
          <w:color w:val="auto"/>
        </w:rPr>
        <w:t>. ASU 2016-15 addresses how certain cash receipts and cash payments are presented and classified in the statement of cash flows with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objective of reducing existing diversity in practice with respect to these items. Among the types of cash flows addressed are payments for costs related to debt prepayments or extinguishments, payments representing accreted interest on discounted debt, payments of contingent consideration after a business combination, proceeds from insurance claims and company-owned life insurance, and distributions from equity method investees, among others. The amendments in ASU 2016-15 are to be adopted retrospectively and will become effective for as at the beginning of our 2019 fiscal year. Early adoption, including adoption in an interim period, is permitted. The adoption of this guidance is not expected to have a material impact upon our presentation of cash flows.</w:t>
      </w:r>
    </w:p>
    <w:p>
      <w:pPr>
        <w:spacing w:after="0" w:line="18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January 2017, the FASB issued Accounting Standards Update No. 2017-01, </w:t>
      </w:r>
      <w:r>
        <w:rPr>
          <w:rFonts w:ascii="Times New Roman" w:cs="Times New Roman" w:eastAsia="Times New Roman" w:hAnsi="Times New Roman"/>
          <w:sz w:val="18"/>
          <w:szCs w:val="18"/>
          <w:i w:val="1"/>
          <w:iCs w:val="1"/>
          <w:color w:val="auto"/>
        </w:rPr>
        <w:t>Business Combinations (Topic 805): Clarifying the Definition of a Business</w:t>
      </w:r>
      <w:r>
        <w:rPr>
          <w:rFonts w:ascii="Times New Roman" w:cs="Times New Roman" w:eastAsia="Times New Roman" w:hAnsi="Times New Roman"/>
          <w:sz w:val="18"/>
          <w:szCs w:val="18"/>
          <w:color w:val="auto"/>
        </w:rPr>
        <w:t>. ASU 2017-01 provides a screen to determine when an integrated set of assets and activities (collectively referred to as a “set”) does not constitute a business. The screen requires that when substantially all of the fair value of the gross assets acquired (or disposed of) is concentrated in a single identifiable asset or a group of similar identifiable assets, the set is not a business. This screen reduces the number of transactions that need to be further evaluated. If the screen is not met, the amendments in ASU 2017-01 (1) require that to be considered a business, a set must include, at a minimum, an input and a substantive process that together significantly contribute to the ability to create output and (2) remove the evaluation of whether a market participant could replace missing elements. The amendments in ASU 2017-01 shall apply prospectively and will become effective for as at the beginning of our 2019 fiscal year. The adoption of this guidance is not expected to have a material impact upon our financial condition or results of operations.</w:t>
      </w:r>
    </w:p>
    <w:p>
      <w:pPr>
        <w:spacing w:after="0" w:line="18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In January 2017, the FASB issued Accounting Standards Update No. 2017-04, </w:t>
      </w:r>
      <w:r>
        <w:rPr>
          <w:rFonts w:ascii="Times New Roman" w:cs="Times New Roman" w:eastAsia="Times New Roman" w:hAnsi="Times New Roman"/>
          <w:sz w:val="18"/>
          <w:szCs w:val="18"/>
          <w:i w:val="1"/>
          <w:iCs w:val="1"/>
          <w:color w:val="auto"/>
        </w:rPr>
        <w:t>Intangibles – Goodwill and Other (Topic 350): Simplifying the Test for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Goodwill Impairment</w:t>
      </w:r>
      <w:r>
        <w:rPr>
          <w:rFonts w:ascii="Times New Roman" w:cs="Times New Roman" w:eastAsia="Times New Roman" w:hAnsi="Times New Roman"/>
          <w:sz w:val="18"/>
          <w:szCs w:val="18"/>
          <w:color w:val="auto"/>
        </w:rPr>
        <w:t>. ASU 2017-04 eliminates Step 2 from the goodwill impairment test. Under Step 2, an entity had to perform procedures to determine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fair value at the impairment testing date of its assets and liabilities (including unrecognized assets and liabilities) following the procedure that would be required in determining the fair value of assets acquired and liabilities assumed in a business combination. Instead, under the amendments in ASU 2017-04, an entity should perform its annual, or interim, goodwill impairment test by comparing the fair value of a reporting unit with its carrying amount. An entity should recognize an impairment charge for the amount by which the carrying amount exceeds the reporting unit’s fair value; however, the loss recognized should not exceed the total amount of goodwill allocated to that reporting unit. Additionally, an entity should consider income tax effects from any tax deductible goodwill on the carrying amount of the reporting unit when measuring the goodwill impairment loss, if applicable. An entity still has the option to perform the qualitative assessment for a reporting unit to determine if the quantitative impairment test is necessary. The amendments in ASU 2017-04 will become effective for us as of the beginning of our 2021 fiscal year. Early adoption is permitted for interim or annual goodwill impairment tests performed on testing dates after January 1, 2017. The adoption of this guidance is not expected to have a material impact upon our financial condition or results of operations.</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In May 2017, the FASB issued Accounting Standards Update No. 2017-09, </w:t>
      </w:r>
      <w:r>
        <w:rPr>
          <w:rFonts w:ascii="Times New Roman" w:cs="Times New Roman" w:eastAsia="Times New Roman" w:hAnsi="Times New Roman"/>
          <w:sz w:val="18"/>
          <w:szCs w:val="18"/>
          <w:i w:val="1"/>
          <w:iCs w:val="1"/>
          <w:color w:val="auto"/>
        </w:rPr>
        <w:t>Compensation – Stock Compensation (Topic 718): Scope of Modification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Accounting</w:t>
      </w:r>
      <w:r>
        <w:rPr>
          <w:rFonts w:ascii="Times New Roman" w:cs="Times New Roman" w:eastAsia="Times New Roman" w:hAnsi="Times New Roman"/>
          <w:sz w:val="18"/>
          <w:szCs w:val="18"/>
          <w:color w:val="auto"/>
        </w:rPr>
        <w:t>. ASU 2017-09 was issued to provide clarity and reduce both (1) diversity in practice and (2) cost and complexity when applying the guidance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Topic 718, Compensation—Stock Compensation, to a change to the terms or conditions of a share-based payment award. The amendments in this Update provide guidance about which changes to the terms or conditions of a share-based payment award require an entity to apply modification accounting in Topic</w:t>
      </w:r>
    </w:p>
    <w:p>
      <w:pPr>
        <w:spacing w:after="0" w:line="2" w:lineRule="exact"/>
        <w:rPr>
          <w:sz w:val="20"/>
          <w:szCs w:val="20"/>
          <w:color w:val="auto"/>
        </w:rPr>
      </w:pPr>
    </w:p>
    <w:p>
      <w:pPr>
        <w:jc w:val="both"/>
        <w:ind w:firstLine="8"/>
        <w:spacing w:after="0" w:line="253" w:lineRule="auto"/>
        <w:tabs>
          <w:tab w:leader="none" w:pos="3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Essentially, an entity will not have to account for the effects of a modification if: (1) The fair value of the modified award is the same immediately before and after the modification; (2) the vesting conditions of the modified award are the same immediately before and after the modification; and (3) the classification of the modified award as either an equity instrument or liability instrument is the same immediately before and after the modification. The amendments in ASU 2017-09 will become effective for us as of the beginning of our 2019 fiscal year. Early adoption is permitted, including adoption in any interim period. The adoption of this guidance is not expected to have a material impact upon our financial condition or results of operations.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August 2018, the FASB issued Accounting Standards Update No. 2018-15, Accounting Standards Update No. 2018-15 – Intangibles - Goodwill and Other</w:t>
      </w:r>
    </w:p>
    <w:p>
      <w:pPr>
        <w:spacing w:after="0" w:line="27" w:lineRule="exact"/>
        <w:rPr>
          <w:sz w:val="20"/>
          <w:szCs w:val="20"/>
          <w:color w:val="auto"/>
        </w:rPr>
      </w:pPr>
    </w:p>
    <w:p>
      <w:pPr>
        <w:jc w:val="both"/>
        <w:ind w:firstLine="8"/>
        <w:spacing w:after="0" w:line="252" w:lineRule="auto"/>
        <w:tabs>
          <w:tab w:leader="none" w:pos="111"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Internal-Use Software (Subtopic 350-40): Customer's Accounting for Implementation Costs Incurred in a Cloud Computing Arrangement That Is a Service Contract, to help entities evaluate the accounting for fees paid by a customer in a cloud computing arrangement (hosting arrangement) by providing guidance for determining when the arrangement includes a software license. The amendments in ASU 2018-15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accounting for the service element of a hosting arrangement that is a service contract is not affected by the amendments in ASU 2018-15. The amendments in ASU 2018-15 will become effective for us as of the beginning of our 2021 fiscal year. Early adoption is permitted, including adoption in any interim period. We are currently evaluating the impact that this guidance will have upon our financial position and results of operations, if any.</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Reclassifications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Certain prior year amounts in the consolidated financial statements have been reclassified to conform to current year presentation with no effect on previously reported net income, stockholders' equity or cash flows.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40" w:hanging="332"/>
        <w:spacing w:after="0"/>
        <w:tabs>
          <w:tab w:leader="none" w:pos="34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Business Combinations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Acquisition of Lane Venture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for $15,556 in cash.</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Lane Venture is a manufacturer and distributor of premium outdoor furniture, and is now being operated as a component of our wholesale segment.</w:t>
      </w:r>
    </w:p>
    <w:p>
      <w:pPr>
        <w:spacing w:after="0" w:line="20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Under the acquisition method of accounting, the fair value of the consideration transferred was allocated to the tangible and intangible assets acquired and the liabilities assumed based on their estimated fair values as of the acquisition date with the remaining unallocated amount recorded as goodwill.</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allocation of the fair value of the acquired business was initially based on a preliminary valuation. Our estimates and assumptions were revised during 2018 as we obtained additional information for our estimates during the measurement period , which we consider to be closed as of November 24, 2018. During fiscal 2018, we recorded measurement period adjustments resulting in a net increase to the opening value of various acquired assets and assumed liabilities with an offsetting reduction of recognized goodwill of $76. The final allocation of the $15,556 all-cash purchase price to the acquired assets and liabilities of the Lane Venture business, including measurement period adjustments, is as follows:</w:t>
      </w:r>
    </w:p>
    <w:p>
      <w:pPr>
        <w:spacing w:after="0" w:line="202"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Allocation of the fair value of consideration transferred:</w:t>
            </w:r>
          </w:p>
        </w:tc>
        <w:tc>
          <w:tcPr>
            <w:tcW w:w="5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Identifiable assets acquired:</w:t>
            </w:r>
          </w:p>
        </w:tc>
        <w:tc>
          <w:tcPr>
            <w:tcW w:w="5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8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receivable, net of reserve (Note 5)</w:t>
            </w:r>
          </w:p>
        </w:tc>
        <w:tc>
          <w:tcPr>
            <w:tcW w:w="580" w:type="dxa"/>
            <w:vAlign w:val="bottom"/>
            <w:shd w:val="clear" w:color="auto" w:fill="CCEEFF"/>
          </w:tcPr>
          <w:p>
            <w:pPr>
              <w:jc w:val="right"/>
              <w:ind w:right="41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1,507</w:t>
            </w:r>
          </w:p>
        </w:tc>
        <w:tc>
          <w:tcPr>
            <w:tcW w:w="120" w:type="dxa"/>
            <w:vAlign w:val="bottom"/>
            <w:shd w:val="clear" w:color="auto" w:fill="CCEEFF"/>
          </w:tcPr>
          <w:p>
            <w:pPr>
              <w:spacing w:after="0"/>
              <w:rPr>
                <w:sz w:val="18"/>
                <w:szCs w:val="18"/>
                <w:color w:val="auto"/>
              </w:rPr>
            </w:pPr>
          </w:p>
        </w:tc>
      </w:tr>
      <w:tr>
        <w:trPr>
          <w:trHeight w:val="216"/>
        </w:trPr>
        <w:tc>
          <w:tcPr>
            <w:tcW w:w="8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Inventory, net of reserve (Note 6)</w:t>
            </w:r>
          </w:p>
        </w:tc>
        <w:tc>
          <w:tcPr>
            <w:tcW w:w="5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3,718</w:t>
            </w:r>
          </w:p>
        </w:tc>
        <w:tc>
          <w:tcPr>
            <w:tcW w:w="120" w:type="dxa"/>
            <w:vAlign w:val="bottom"/>
          </w:tcPr>
          <w:p>
            <w:pPr>
              <w:spacing w:after="0"/>
              <w:rPr>
                <w:sz w:val="18"/>
                <w:szCs w:val="18"/>
                <w:color w:val="auto"/>
              </w:rPr>
            </w:pPr>
          </w:p>
        </w:tc>
      </w:tr>
      <w:tr>
        <w:trPr>
          <w:trHeight w:val="216"/>
        </w:trPr>
        <w:tc>
          <w:tcPr>
            <w:tcW w:w="8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5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20" w:type="dxa"/>
            <w:vAlign w:val="bottom"/>
            <w:shd w:val="clear" w:color="auto" w:fill="CCEEFF"/>
          </w:tcPr>
          <w:p>
            <w:pPr>
              <w:spacing w:after="0"/>
              <w:rPr>
                <w:sz w:val="18"/>
                <w:szCs w:val="18"/>
                <w:color w:val="auto"/>
              </w:rPr>
            </w:pPr>
          </w:p>
        </w:tc>
      </w:tr>
      <w:tr>
        <w:trPr>
          <w:trHeight w:val="216"/>
        </w:trPr>
        <w:tc>
          <w:tcPr>
            <w:tcW w:w="8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Intangible assets</w:t>
            </w:r>
          </w:p>
        </w:tc>
        <w:tc>
          <w:tcPr>
            <w:tcW w:w="5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7,360</w:t>
            </w:r>
          </w:p>
        </w:tc>
        <w:tc>
          <w:tcPr>
            <w:tcW w:w="120" w:type="dxa"/>
            <w:vAlign w:val="bottom"/>
          </w:tcPr>
          <w:p>
            <w:pPr>
              <w:spacing w:after="0"/>
              <w:rPr>
                <w:sz w:val="18"/>
                <w:szCs w:val="18"/>
                <w:color w:val="auto"/>
              </w:rPr>
            </w:pPr>
          </w:p>
        </w:tc>
      </w:tr>
      <w:tr>
        <w:trPr>
          <w:trHeight w:val="210"/>
        </w:trPr>
        <w:tc>
          <w:tcPr>
            <w:tcW w:w="80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identifiable assets acquired</w:t>
            </w:r>
          </w:p>
        </w:tc>
        <w:tc>
          <w:tcPr>
            <w:tcW w:w="5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12,622</w:t>
            </w:r>
          </w:p>
        </w:tc>
        <w:tc>
          <w:tcPr>
            <w:tcW w:w="12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Liabilities assumed:</w:t>
            </w:r>
          </w:p>
        </w:tc>
        <w:tc>
          <w:tcPr>
            <w:tcW w:w="5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8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payable</w:t>
            </w:r>
          </w:p>
        </w:tc>
        <w:tc>
          <w:tcPr>
            <w:tcW w:w="5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(357)</w:t>
            </w:r>
          </w:p>
        </w:tc>
      </w:tr>
      <w:tr>
        <w:trPr>
          <w:trHeight w:val="216"/>
        </w:trPr>
        <w:tc>
          <w:tcPr>
            <w:tcW w:w="8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Other accrued liabilities</w:t>
            </w:r>
          </w:p>
        </w:tc>
        <w:tc>
          <w:tcPr>
            <w:tcW w:w="58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(852)</w:t>
            </w:r>
          </w:p>
        </w:tc>
      </w:tr>
      <w:tr>
        <w:trPr>
          <w:trHeight w:val="20"/>
        </w:trPr>
        <w:tc>
          <w:tcPr>
            <w:tcW w:w="800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liabilities assumed</w:t>
            </w:r>
          </w:p>
        </w:tc>
        <w:tc>
          <w:tcPr>
            <w:tcW w:w="5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(1,209)</w:t>
            </w:r>
          </w:p>
        </w:tc>
      </w:tr>
      <w:tr>
        <w:trPr>
          <w:trHeight w:val="210"/>
        </w:trPr>
        <w:tc>
          <w:tcPr>
            <w:tcW w:w="8000" w:type="dxa"/>
            <w:vAlign w:val="bottom"/>
            <w:tcBorders>
              <w:top w:val="single" w:sz="8" w:color="CCEEFF"/>
            </w:tcBorders>
          </w:tcPr>
          <w:p>
            <w:pPr>
              <w:ind w:left="320"/>
              <w:spacing w:after="0"/>
              <w:rPr>
                <w:sz w:val="20"/>
                <w:szCs w:val="20"/>
                <w:color w:val="auto"/>
              </w:rPr>
            </w:pPr>
            <w:r>
              <w:rPr>
                <w:rFonts w:ascii="Times New Roman" w:cs="Times New Roman" w:eastAsia="Times New Roman" w:hAnsi="Times New Roman"/>
                <w:sz w:val="18"/>
                <w:szCs w:val="18"/>
                <w:color w:val="auto"/>
              </w:rPr>
              <w:t>Net identifiable assets acquired</w:t>
            </w:r>
          </w:p>
        </w:tc>
        <w:tc>
          <w:tcPr>
            <w:tcW w:w="5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11,413</w:t>
            </w:r>
          </w:p>
        </w:tc>
        <w:tc>
          <w:tcPr>
            <w:tcW w:w="120" w:type="dxa"/>
            <w:vAlign w:val="bottom"/>
            <w:tcBorders>
              <w:top w:val="single" w:sz="8" w:color="CCEEFF"/>
            </w:tcBorders>
          </w:tcPr>
          <w:p>
            <w:pPr>
              <w:spacing w:after="0"/>
              <w:rPr>
                <w:sz w:val="18"/>
                <w:szCs w:val="18"/>
                <w:color w:val="auto"/>
              </w:rPr>
            </w:pPr>
          </w:p>
        </w:tc>
      </w:tr>
      <w:tr>
        <w:trPr>
          <w:trHeight w:val="216"/>
        </w:trPr>
        <w:tc>
          <w:tcPr>
            <w:tcW w:w="8000" w:type="dxa"/>
            <w:vAlign w:val="bottom"/>
            <w:tcBorders>
              <w:bottom w:val="single" w:sz="8" w:color="CCEEFF"/>
            </w:tcBorders>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Goodwill</w:t>
            </w:r>
          </w:p>
        </w:tc>
        <w:tc>
          <w:tcPr>
            <w:tcW w:w="5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4,143</w:t>
            </w:r>
          </w:p>
        </w:tc>
        <w:tc>
          <w:tcPr>
            <w:tcW w:w="12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Total net assets acquired</w:t>
            </w:r>
          </w:p>
        </w:tc>
        <w:tc>
          <w:tcPr>
            <w:tcW w:w="580" w:type="dxa"/>
            <w:vAlign w:val="bottom"/>
            <w:tcBorders>
              <w:bottom w:val="single" w:sz="8" w:color="auto"/>
            </w:tcBorders>
          </w:tcPr>
          <w:p>
            <w:pPr>
              <w:jc w:val="right"/>
              <w:ind w:right="41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15,556</w:t>
            </w:r>
          </w:p>
        </w:tc>
        <w:tc>
          <w:tcPr>
            <w:tcW w:w="120" w:type="dxa"/>
            <w:vAlign w:val="bottom"/>
          </w:tcPr>
          <w:p>
            <w:pPr>
              <w:spacing w:after="0"/>
              <w:rPr>
                <w:sz w:val="18"/>
                <w:szCs w:val="18"/>
                <w:color w:val="auto"/>
              </w:rPr>
            </w:pPr>
          </w:p>
        </w:tc>
      </w:tr>
      <w:tr>
        <w:trPr>
          <w:trHeight w:val="20"/>
        </w:trPr>
        <w:tc>
          <w:tcPr>
            <w:tcW w:w="80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Goodwill was determined based on the residual difference between the fair value of the consideration transferred and the value assigned to the tangible and intangible assets and liabilities recognized in connection with the acquisition and is deductible for tax purposes. Among the factors that contributed to a purchase price resulting in the recognition of goodwill are the expected synergies arising from combining the Company’s manufacturing and distribution capabilities with Lane Venture’s position in the outdoor furnishings market, a segment of the market not previously served by Bassett.</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887"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portion of the fair value of the consideration transferred has been assigned to identifiable intangible assets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40" w:type="dxa"/>
            <w:vAlign w:val="bottom"/>
          </w:tcPr>
          <w:p>
            <w:pPr>
              <w:spacing w:after="0"/>
              <w:rPr>
                <w:sz w:val="18"/>
                <w:szCs w:val="18"/>
                <w:color w:val="auto"/>
              </w:rPr>
            </w:pP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Useful Life</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8"/>
        </w:trPr>
        <w:tc>
          <w:tcPr>
            <w:tcW w:w="73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5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 Years</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Fair Value</w:t>
            </w:r>
          </w:p>
        </w:tc>
      </w:tr>
      <w:tr>
        <w:trPr>
          <w:trHeight w:val="210"/>
        </w:trPr>
        <w:tc>
          <w:tcPr>
            <w:tcW w:w="734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Trade name</w:t>
            </w:r>
          </w:p>
        </w:tc>
        <w:tc>
          <w:tcPr>
            <w:tcW w:w="1580" w:type="dxa"/>
            <w:vAlign w:val="bottom"/>
            <w:shd w:val="clear" w:color="auto" w:fill="CCEEFF"/>
          </w:tcPr>
          <w:p>
            <w:pPr>
              <w:jc w:val="center"/>
              <w:ind w:left="30"/>
              <w:spacing w:after="0"/>
              <w:rPr>
                <w:sz w:val="20"/>
                <w:szCs w:val="20"/>
                <w:color w:val="auto"/>
              </w:rPr>
            </w:pPr>
            <w:r>
              <w:rPr>
                <w:rFonts w:ascii="Times New Roman" w:cs="Times New Roman" w:eastAsia="Times New Roman" w:hAnsi="Times New Roman"/>
                <w:sz w:val="18"/>
                <w:szCs w:val="18"/>
                <w:color w:val="auto"/>
                <w:w w:val="99"/>
              </w:rPr>
              <w:t>Indefinite</w:t>
            </w:r>
          </w:p>
        </w:tc>
        <w:tc>
          <w:tcPr>
            <w:tcW w:w="4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6,848</w:t>
            </w:r>
          </w:p>
        </w:tc>
        <w:tc>
          <w:tcPr>
            <w:tcW w:w="100" w:type="dxa"/>
            <w:vAlign w:val="bottom"/>
            <w:shd w:val="clear" w:color="auto" w:fill="CCEEFF"/>
          </w:tcPr>
          <w:p>
            <w:pPr>
              <w:spacing w:after="0"/>
              <w:rPr>
                <w:sz w:val="18"/>
                <w:szCs w:val="18"/>
                <w:color w:val="auto"/>
              </w:rPr>
            </w:pPr>
          </w:p>
        </w:tc>
      </w:tr>
      <w:tr>
        <w:trPr>
          <w:trHeight w:val="216"/>
        </w:trPr>
        <w:tc>
          <w:tcPr>
            <w:tcW w:w="73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Customer relationships</w:t>
            </w:r>
          </w:p>
        </w:tc>
        <w:tc>
          <w:tcPr>
            <w:tcW w:w="1580" w:type="dxa"/>
            <w:vAlign w:val="bottom"/>
          </w:tcPr>
          <w:p>
            <w:pPr>
              <w:jc w:val="right"/>
              <w:ind w:right="590"/>
              <w:spacing w:after="0"/>
              <w:rPr>
                <w:sz w:val="20"/>
                <w:szCs w:val="20"/>
                <w:color w:val="auto"/>
              </w:rPr>
            </w:pPr>
            <w:r>
              <w:rPr>
                <w:rFonts w:ascii="Times New Roman" w:cs="Times New Roman" w:eastAsia="Times New Roman" w:hAnsi="Times New Roman"/>
                <w:sz w:val="18"/>
                <w:szCs w:val="18"/>
                <w:color w:val="auto"/>
              </w:rPr>
              <w:t>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512</w:t>
            </w:r>
          </w:p>
        </w:tc>
      </w:tr>
      <w:tr>
        <w:trPr>
          <w:trHeight w:val="210"/>
        </w:trPr>
        <w:tc>
          <w:tcPr>
            <w:tcW w:w="734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acquired intangible assets</w:t>
            </w:r>
          </w:p>
        </w:tc>
        <w:tc>
          <w:tcPr>
            <w:tcW w:w="1580" w:type="dxa"/>
            <w:vAlign w:val="bottom"/>
          </w:tcPr>
          <w:p>
            <w:pPr>
              <w:spacing w:after="0"/>
              <w:rPr>
                <w:sz w:val="18"/>
                <w:szCs w:val="18"/>
                <w:color w:val="auto"/>
              </w:rPr>
            </w:pPr>
          </w:p>
        </w:tc>
        <w:tc>
          <w:tcPr>
            <w:tcW w:w="4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7,360</w:t>
            </w:r>
          </w:p>
        </w:tc>
        <w:tc>
          <w:tcPr>
            <w:tcW w:w="100" w:type="dxa"/>
            <w:vAlign w:val="bottom"/>
          </w:tcPr>
          <w:p>
            <w:pPr>
              <w:spacing w:after="0"/>
              <w:rPr>
                <w:sz w:val="18"/>
                <w:szCs w:val="18"/>
                <w:color w:val="auto"/>
              </w:rPr>
            </w:pPr>
          </w:p>
        </w:tc>
      </w:tr>
      <w:tr>
        <w:trPr>
          <w:trHeight w:val="20"/>
        </w:trPr>
        <w:tc>
          <w:tcPr>
            <w:tcW w:w="73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finite-lived intangible asset is being amortized on a straight-line basis over its estimated useful life. The indefinite-lived intangible asset and goodwill are not amortized but will be tested for impairment annually or between annual tests if an indicator of impairment exists.</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 xml:space="preserve">The fair values of consideration transferred and net assets acquired were determined using a combination of Level 2 and Level 3 inputs as specified in the fair value hierarchy in 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See Note 4.</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Acquisition costs related to the Lane Venture acquisition totaled $256 during the year ended November 24, 2018, and are included in selling, general and administrative expenses in the consolidated statements of income. The acquisition costs are primarily related to legal, accounting and valuation services.</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pro forma impact of the acquisition and the results of operations attributable to Lane Venture since the acquisition have not been presented because they are not material to our consolidated results of operations for the three fiscal years ended November 24, 2018.</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Licensee Store Acquisition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During the first quarter of fiscal 2017, we acquired the operations of the Bassett Home Furnishings (“BHF”) store located in Columbus, Ohio for a purchase price of $655. The store had been owned and operated by a licensee that had determined that continued ownership of a BHF store was no longer consistent with its future business objectives. We believe that Columbus, Ohio represents a viable market for a BHF store.</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purchase price was allocated as follows:</w:t>
            </w:r>
          </w:p>
        </w:tc>
        <w:tc>
          <w:tcPr>
            <w:tcW w:w="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160" w:type="dxa"/>
            <w:vAlign w:val="bottom"/>
            <w:vMerge w:val="restart"/>
          </w:tcPr>
          <w:p>
            <w:pPr>
              <w:spacing w:after="0"/>
              <w:rPr>
                <w:sz w:val="18"/>
                <w:szCs w:val="18"/>
                <w:color w:val="auto"/>
              </w:rPr>
            </w:pPr>
          </w:p>
        </w:tc>
        <w:tc>
          <w:tcPr>
            <w:tcW w:w="7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vMerge w:val="continue"/>
          </w:tcPr>
          <w:p>
            <w:pPr>
              <w:spacing w:after="0"/>
              <w:rPr>
                <w:sz w:val="18"/>
                <w:szCs w:val="18"/>
                <w:color w:val="auto"/>
              </w:rPr>
            </w:pPr>
          </w:p>
        </w:tc>
        <w:tc>
          <w:tcPr>
            <w:tcW w:w="7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Inventory</w:t>
            </w:r>
          </w:p>
        </w:tc>
        <w:tc>
          <w:tcPr>
            <w:tcW w:w="700" w:type="dxa"/>
            <w:vAlign w:val="bottom"/>
            <w:gridSpan w:val="2"/>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7480" w:type="dxa"/>
            <w:vAlign w:val="bottom"/>
          </w:tcPr>
          <w:p>
            <w:pPr>
              <w:spacing w:after="0"/>
              <w:rPr>
                <w:sz w:val="20"/>
                <w:szCs w:val="20"/>
                <w:color w:val="auto"/>
              </w:rPr>
            </w:pPr>
            <w:r>
              <w:rPr>
                <w:rFonts w:ascii="Times New Roman" w:cs="Times New Roman" w:eastAsia="Times New Roman" w:hAnsi="Times New Roman"/>
                <w:sz w:val="18"/>
                <w:szCs w:val="18"/>
                <w:color w:val="auto"/>
              </w:rPr>
              <w:t>Goodwill</w:t>
            </w:r>
          </w:p>
        </w:tc>
        <w:tc>
          <w:tcPr>
            <w:tcW w:w="20" w:type="dxa"/>
            <w:vAlign w:val="bottom"/>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74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40" w:type="dxa"/>
            <w:vAlign w:val="bottom"/>
            <w:gridSpan w:val="2"/>
          </w:tcPr>
          <w:p>
            <w:pPr>
              <w:ind w:left="1140"/>
              <w:spacing w:after="0"/>
              <w:rPr>
                <w:sz w:val="20"/>
                <w:szCs w:val="20"/>
                <w:color w:val="auto"/>
              </w:rPr>
            </w:pPr>
            <w:r>
              <w:rPr>
                <w:rFonts w:ascii="Times New Roman" w:cs="Times New Roman" w:eastAsia="Times New Roman" w:hAnsi="Times New Roman"/>
                <w:sz w:val="18"/>
                <w:szCs w:val="18"/>
                <w:color w:val="auto"/>
              </w:rPr>
              <w:t>Purchase price</w:t>
            </w:r>
          </w:p>
        </w:tc>
        <w:tc>
          <w:tcPr>
            <w:tcW w:w="700" w:type="dxa"/>
            <w:vAlign w:val="bottom"/>
            <w:tcBorders>
              <w:bottom w:val="single" w:sz="8" w:color="auto"/>
            </w:tcBorders>
            <w:gridSpan w:val="2"/>
          </w:tcPr>
          <w:p>
            <w:pPr>
              <w:jc w:val="right"/>
              <w:ind w:right="60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inputs into our valuation of the acquired assets reflect our market assumptions and are not observable. Consequently, the inputs are considered to be Level 3 inputs as specified in the fair value hierarchy in ASC 820, Fair Value Measurements and Disclosures. See Note 4.</w:t>
      </w:r>
    </w:p>
    <w:p>
      <w:pPr>
        <w:spacing w:after="0" w:line="162"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The pro forma impact of the acquisition and the results of operations for the Columbus store since the acquisition was not material to our consolidated results of operations for the year ended November 25, 2017.</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40" w:hanging="332"/>
        <w:spacing w:after="0"/>
        <w:tabs>
          <w:tab w:leader="none" w:pos="340" w:val="left"/>
        </w:tabs>
        <w:numPr>
          <w:ilvl w:val="0"/>
          <w:numId w:val="1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Financial Instruments, Investments and Fair Value Measurements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Instruments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financial instruments include cash and cash equivalents, short-term investments in certificates of deposit, accounts receivable, cost method investments, accounts payable and long-term debt. Because of their short maturities, the carrying amounts of cash and cash equivalents, short-term investments in certificates of deposit, accounts receivable, and accounts payable approximate fair value.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short-term investments of $22,643 and $23,125 at November 24, 2018 and November 25, 2017, respectively, consisted of certificates of deposit (CDs) with original terms of six to twelve months, bearing interest at rates ranging from 0.85% to 2.70%. At November 24, 2018, the weighted average remaining time to maturity of the CDs was approximately six months and the weighted average yield of the CDs was approximately 2.3%. Each CD is placed with a federally insured financial institution and all deposits are within Federal deposit insurance limits. As the CDs mature, we expect to reinvest them in CDs of similar maturities of up to one year. Due to the nature of these investments and their relatively short maturities, the carrying amount of the short-term investments at November 24, 2018 and November 25, 2017 approximates their fair value.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Fair Value Measurement</w:t>
      </w:r>
    </w:p>
    <w:p>
      <w:pPr>
        <w:spacing w:after="0" w:line="225"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The Company accounts for items measured at fair value in accordance with ASC Topic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1 Inputs</w:t>
      </w:r>
      <w:r>
        <w:rPr>
          <w:rFonts w:ascii="Times New Roman" w:cs="Times New Roman" w:eastAsia="Times New Roman" w:hAnsi="Times New Roman"/>
          <w:sz w:val="18"/>
          <w:szCs w:val="18"/>
          <w:color w:val="auto"/>
        </w:rPr>
        <w:t>– Quoted prices for identical instruments in active markets.</w:t>
      </w:r>
    </w:p>
    <w:p>
      <w:pPr>
        <w:spacing w:after="0" w:line="225"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Level 2 Inputs</w:t>
      </w:r>
      <w:r>
        <w:rPr>
          <w:rFonts w:ascii="Times New Roman" w:cs="Times New Roman" w:eastAsia="Times New Roman" w:hAnsi="Times New Roman"/>
          <w:sz w:val="18"/>
          <w:szCs w:val="18"/>
          <w:color w:val="auto"/>
        </w:rPr>
        <w:t>– Quoted prices for similar instruments in active markets; quoted prices for identical or similar instruments in markets that are not active;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model-derived valuations whose inputs are observable or whose significant value drivers are observable.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3 Inputs</w:t>
      </w:r>
      <w:r>
        <w:rPr>
          <w:rFonts w:ascii="Times New Roman" w:cs="Times New Roman" w:eastAsia="Times New Roman" w:hAnsi="Times New Roman"/>
          <w:sz w:val="18"/>
          <w:szCs w:val="18"/>
          <w:color w:val="auto"/>
        </w:rPr>
        <w:t>– Instruments with primarily unobservable value drivers.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believe that the carrying amounts of our current assets and current liabilities approximate fair value due to the short-term nature of these items. The recurring estimate of the fair value of our notes payable for disclosure purposes (see Note 10) involves Level 3 inputs. Our primary non-recurring fair value estimates typically involve business acquisitions (Note 3) which involve a combination of Level 2 and Level 3 inputs, and asset impairments (Note 15) which utilize Level 3 inputs.</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5.  Accounts Receivable</w:t>
            </w:r>
          </w:p>
        </w:tc>
        <w:tc>
          <w:tcPr>
            <w:tcW w:w="9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Accounts receivable consists of the following:</w:t>
            </w: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November 24,</w:t>
            </w:r>
          </w:p>
        </w:tc>
        <w:tc>
          <w:tcPr>
            <w:tcW w:w="160" w:type="dxa"/>
            <w:vAlign w:val="bottom"/>
          </w:tcPr>
          <w:p>
            <w:pPr>
              <w:spacing w:after="0"/>
              <w:rPr>
                <w:sz w:val="24"/>
                <w:szCs w:val="24"/>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November 25,</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Gross accounts receivable</w:t>
            </w:r>
          </w:p>
        </w:tc>
        <w:tc>
          <w:tcPr>
            <w:tcW w:w="1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19,809</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20,257</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(754)</w:t>
            </w:r>
          </w:p>
        </w:tc>
        <w:tc>
          <w:tcPr>
            <w:tcW w:w="16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(617)</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60" w:type="dxa"/>
            <w:vAlign w:val="bottom"/>
          </w:tcPr>
          <w:p>
            <w:pPr>
              <w:spacing w:after="0"/>
              <w:rPr>
                <w:sz w:val="19"/>
                <w:szCs w:val="19"/>
                <w:color w:val="auto"/>
              </w:rPr>
            </w:pPr>
          </w:p>
        </w:tc>
        <w:tc>
          <w:tcPr>
            <w:tcW w:w="4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accounts receivable</w:t>
            </w:r>
          </w:p>
        </w:tc>
        <w:tc>
          <w:tcPr>
            <w:tcW w:w="9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19,055</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19,640</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Activity in the allowance for doubtful accounts was as follows:</w:t>
            </w: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6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660" w:type="dxa"/>
            <w:vAlign w:val="bottom"/>
            <w:vMerge w:val="restart"/>
          </w:tcPr>
          <w:p>
            <w:pPr>
              <w:spacing w:after="0"/>
              <w:rPr>
                <w:sz w:val="18"/>
                <w:szCs w:val="18"/>
                <w:color w:val="auto"/>
              </w:rPr>
            </w:pPr>
          </w:p>
        </w:tc>
        <w:tc>
          <w:tcPr>
            <w:tcW w:w="4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beginning of the year</w:t>
            </w:r>
          </w:p>
        </w:tc>
        <w:tc>
          <w:tcPr>
            <w:tcW w:w="1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617</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799</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Acquired allowance on accounts receivable (Note 3)</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Additions charged to expense (recoveries)</w:t>
            </w:r>
          </w:p>
        </w:tc>
        <w:tc>
          <w:tcPr>
            <w:tcW w:w="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339</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(59)</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Reductions to allowance, net</w:t>
            </w: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(252)</w:t>
            </w:r>
          </w:p>
        </w:tc>
        <w:tc>
          <w:tcPr>
            <w:tcW w:w="16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(123)</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60" w:type="dxa"/>
            <w:vAlign w:val="bottom"/>
          </w:tcPr>
          <w:p>
            <w:pPr>
              <w:spacing w:after="0"/>
              <w:rPr>
                <w:sz w:val="19"/>
                <w:szCs w:val="19"/>
                <w:color w:val="auto"/>
              </w:rPr>
            </w:pPr>
          </w:p>
        </w:tc>
        <w:tc>
          <w:tcPr>
            <w:tcW w:w="4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end of the year</w:t>
            </w:r>
          </w:p>
        </w:tc>
        <w:tc>
          <w:tcPr>
            <w:tcW w:w="9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754</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617</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360"/>
        <w:spacing w:after="0" w:line="266" w:lineRule="auto"/>
        <w:rPr>
          <w:sz w:val="20"/>
          <w:szCs w:val="20"/>
          <w:color w:val="auto"/>
        </w:rPr>
      </w:pPr>
      <w:r>
        <w:rPr>
          <w:rFonts w:ascii="Times New Roman" w:cs="Times New Roman" w:eastAsia="Times New Roman" w:hAnsi="Times New Roman"/>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Value Measurements and Disclosures</w:t>
      </w:r>
      <w:r>
        <w:rPr>
          <w:rFonts w:ascii="Times New Roman" w:cs="Times New Roman" w:eastAsia="Times New Roman" w:hAnsi="Times New Roman"/>
          <w:sz w:val="18"/>
          <w:szCs w:val="18"/>
          <w:color w:val="auto"/>
        </w:rPr>
        <w:t>. See Note 4.</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ind w:left="340" w:hanging="332"/>
        <w:spacing w:after="0"/>
        <w:tabs>
          <w:tab w:leader="none" w:pos="340"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Inventories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Inventories consist of the following:</w:t>
      </w:r>
    </w:p>
    <w:p>
      <w:pPr>
        <w:spacing w:after="0" w:line="200" w:lineRule="exact"/>
        <w:rPr>
          <w:sz w:val="20"/>
          <w:szCs w:val="20"/>
          <w:color w:val="auto"/>
        </w:rPr>
      </w:pPr>
    </w:p>
    <w:p>
      <w:pPr>
        <w:spacing w:after="0" w:line="237"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November 24,</w:t>
            </w:r>
          </w:p>
        </w:tc>
        <w:tc>
          <w:tcPr>
            <w:tcW w:w="160" w:type="dxa"/>
            <w:vAlign w:val="bottom"/>
          </w:tcPr>
          <w:p>
            <w:pPr>
              <w:spacing w:after="0"/>
              <w:rPr>
                <w:sz w:val="18"/>
                <w:szCs w:val="18"/>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November 25,</w:t>
            </w:r>
          </w:p>
        </w:tc>
      </w:tr>
      <w:tr>
        <w:trPr>
          <w:trHeight w:val="238"/>
        </w:trPr>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80" w:type="dxa"/>
            <w:vAlign w:val="bottom"/>
          </w:tcPr>
          <w:p>
            <w:pPr>
              <w:spacing w:after="0"/>
              <w:rPr>
                <w:sz w:val="20"/>
                <w:szCs w:val="20"/>
                <w:color w:val="auto"/>
              </w:rPr>
            </w:pPr>
          </w:p>
        </w:tc>
      </w:tr>
      <w:tr>
        <w:trPr>
          <w:trHeight w:val="210"/>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 finished goods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30,750</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26,145</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Work in process</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432</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388</w:t>
            </w:r>
          </w:p>
        </w:tc>
      </w:tr>
      <w:tr>
        <w:trPr>
          <w:trHeight w:val="216"/>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Raw materials and supplies</w:t>
            </w:r>
          </w:p>
        </w:tc>
        <w:tc>
          <w:tcPr>
            <w:tcW w:w="18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15,503</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11,808</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Retail merchandise</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27,599</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26,173</w:t>
            </w:r>
          </w:p>
        </w:tc>
      </w:tr>
      <w:tr>
        <w:trPr>
          <w:trHeight w:val="20"/>
        </w:trPr>
        <w:tc>
          <w:tcPr>
            <w:tcW w:w="57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0"/>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inventories on first-in, first-out method</w:t>
            </w:r>
          </w:p>
        </w:tc>
        <w:tc>
          <w:tcPr>
            <w:tcW w:w="18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74,284</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64,514</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LIFO adjustment</w:t>
            </w:r>
          </w:p>
        </w:tc>
        <w:tc>
          <w:tcPr>
            <w:tcW w:w="180" w:type="dxa"/>
            <w:vAlign w:val="bottom"/>
          </w:tcPr>
          <w:p>
            <w:pPr>
              <w:spacing w:after="0"/>
              <w:rPr>
                <w:sz w:val="18"/>
                <w:szCs w:val="18"/>
                <w:color w:val="auto"/>
              </w:rPr>
            </w:pPr>
          </w:p>
        </w:tc>
        <w:tc>
          <w:tcPr>
            <w:tcW w:w="15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(8,326)</w:t>
            </w:r>
          </w:p>
        </w:tc>
        <w:tc>
          <w:tcPr>
            <w:tcW w:w="16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(8,143)</w:t>
            </w:r>
          </w:p>
        </w:tc>
      </w:tr>
      <w:tr>
        <w:trPr>
          <w:trHeight w:val="216"/>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Reserve for excess and obsolete inventory</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(1,766)</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(1,895)</w:t>
            </w:r>
          </w:p>
        </w:tc>
      </w:tr>
      <w:tr>
        <w:trPr>
          <w:trHeight w:val="20"/>
        </w:trPr>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57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64,192</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54,476</w:t>
            </w:r>
          </w:p>
        </w:tc>
      </w:tr>
      <w:tr>
        <w:trPr>
          <w:trHeight w:val="20"/>
        </w:trPr>
        <w:tc>
          <w:tcPr>
            <w:tcW w:w="5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source a significant amount of our wholesale product from other countries. During 2018, 2017 and 2016, purchases from our two largest vendors located in Vietnam and China were $24,073, $21,977and $19,128 respectively.</w:t>
      </w:r>
    </w:p>
    <w:p>
      <w:pPr>
        <w:spacing w:after="0" w:line="16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in the reserves for excess quantities and obsolete inventory by segment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39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5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Wholesale Segment</w:t>
            </w:r>
          </w:p>
        </w:tc>
        <w:tc>
          <w:tcPr>
            <w:tcW w:w="2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Retail Segment</w:t>
            </w:r>
          </w:p>
        </w:tc>
        <w:tc>
          <w:tcPr>
            <w:tcW w:w="1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ind w:left="2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at November 26, 2016</w:t>
            </w:r>
          </w:p>
        </w:tc>
        <w:tc>
          <w:tcPr>
            <w:tcW w:w="1840" w:type="dxa"/>
            <w:vAlign w:val="bottom"/>
            <w:gridSpan w:val="2"/>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1,061</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289</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1,350</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Times New Roman" w:cs="Times New Roman" w:eastAsia="Times New Roman" w:hAnsi="Times New Roman"/>
                <w:sz w:val="18"/>
                <w:szCs w:val="18"/>
                <w:color w:val="auto"/>
              </w:rPr>
              <w:t>Additions charged to expense</w:t>
            </w:r>
          </w:p>
        </w:tc>
        <w:tc>
          <w:tcPr>
            <w:tcW w:w="1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1,757</w:t>
            </w:r>
          </w:p>
        </w:tc>
        <w:tc>
          <w:tcPr>
            <w:tcW w:w="12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475</w:t>
            </w:r>
          </w:p>
        </w:tc>
        <w:tc>
          <w:tcPr>
            <w:tcW w:w="32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2,232</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Write-offs</w:t>
            </w:r>
          </w:p>
        </w:tc>
        <w:tc>
          <w:tcPr>
            <w:tcW w:w="1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(1,200)</w:t>
            </w:r>
          </w:p>
        </w:tc>
        <w:tc>
          <w:tcPr>
            <w:tcW w:w="120" w:type="dxa"/>
            <w:vAlign w:val="bottom"/>
            <w:shd w:val="clear" w:color="auto" w:fill="CCEEFF"/>
          </w:tcPr>
          <w:p>
            <w:pPr>
              <w:spacing w:after="0"/>
              <w:rPr>
                <w:sz w:val="18"/>
                <w:szCs w:val="18"/>
                <w:color w:val="auto"/>
              </w:rPr>
            </w:pPr>
          </w:p>
        </w:tc>
        <w:tc>
          <w:tcPr>
            <w:tcW w:w="16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(487)</w:t>
            </w:r>
          </w:p>
        </w:tc>
        <w:tc>
          <w:tcPr>
            <w:tcW w:w="3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(1,687)</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vMerge w:val="restart"/>
          </w:tcPr>
          <w:p>
            <w:pPr>
              <w:spacing w:after="0" w:line="20" w:lineRule="exact"/>
              <w:rPr>
                <w:sz w:val="1"/>
                <w:szCs w:val="1"/>
                <w:color w:val="auto"/>
              </w:rPr>
            </w:pPr>
          </w:p>
        </w:tc>
        <w:tc>
          <w:tcPr>
            <w:tcW w:w="3900" w:type="dxa"/>
            <w:vAlign w:val="bottom"/>
            <w:shd w:val="clear" w:color="auto" w:fill="CCEEFF"/>
          </w:tcPr>
          <w:p>
            <w:pPr>
              <w:spacing w:after="0" w:line="20" w:lineRule="exact"/>
              <w:rPr>
                <w:sz w:val="1"/>
                <w:szCs w:val="1"/>
                <w:color w:val="auto"/>
              </w:rPr>
            </w:pPr>
          </w:p>
        </w:tc>
        <w:tc>
          <w:tcPr>
            <w:tcW w:w="124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vMerge w:val="continue"/>
          </w:tcPr>
          <w:p>
            <w:pPr>
              <w:spacing w:after="0"/>
              <w:rPr>
                <w:sz w:val="18"/>
                <w:szCs w:val="18"/>
                <w:color w:val="auto"/>
              </w:rPr>
            </w:pPr>
          </w:p>
        </w:tc>
        <w:tc>
          <w:tcPr>
            <w:tcW w:w="3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Balance at November 25, 2017</w:t>
            </w:r>
          </w:p>
        </w:tc>
        <w:tc>
          <w:tcPr>
            <w:tcW w:w="1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1,895</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Acquired reserve on inventory (Note 3)</w:t>
            </w:r>
          </w:p>
        </w:tc>
        <w:tc>
          <w:tcPr>
            <w:tcW w:w="1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110</w:t>
            </w:r>
          </w:p>
        </w:tc>
        <w:tc>
          <w:tcPr>
            <w:tcW w:w="120" w:type="dxa"/>
            <w:vAlign w:val="bottom"/>
            <w:shd w:val="clear" w:color="auto" w:fill="CCEEFF"/>
          </w:tcPr>
          <w:p>
            <w:pPr>
              <w:spacing w:after="0"/>
              <w:rPr>
                <w:sz w:val="18"/>
                <w:szCs w:val="18"/>
                <w:color w:val="auto"/>
              </w:rPr>
            </w:pPr>
          </w:p>
        </w:tc>
        <w:tc>
          <w:tcPr>
            <w:tcW w:w="16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110</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Times New Roman" w:cs="Times New Roman" w:eastAsia="Times New Roman" w:hAnsi="Times New Roman"/>
                <w:sz w:val="18"/>
                <w:szCs w:val="18"/>
                <w:color w:val="auto"/>
              </w:rPr>
              <w:t>Additions charged to expense</w:t>
            </w:r>
          </w:p>
        </w:tc>
        <w:tc>
          <w:tcPr>
            <w:tcW w:w="1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1,884</w:t>
            </w:r>
          </w:p>
        </w:tc>
        <w:tc>
          <w:tcPr>
            <w:tcW w:w="12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425</w:t>
            </w:r>
          </w:p>
        </w:tc>
        <w:tc>
          <w:tcPr>
            <w:tcW w:w="32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2,309</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Write-offs</w:t>
            </w:r>
          </w:p>
        </w:tc>
        <w:tc>
          <w:tcPr>
            <w:tcW w:w="1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(2,112)</w:t>
            </w:r>
          </w:p>
        </w:tc>
        <w:tc>
          <w:tcPr>
            <w:tcW w:w="120" w:type="dxa"/>
            <w:vAlign w:val="bottom"/>
            <w:shd w:val="clear" w:color="auto" w:fill="CCEEFF"/>
          </w:tcPr>
          <w:p>
            <w:pPr>
              <w:spacing w:after="0"/>
              <w:rPr>
                <w:sz w:val="18"/>
                <w:szCs w:val="18"/>
                <w:color w:val="auto"/>
              </w:rPr>
            </w:pPr>
          </w:p>
        </w:tc>
        <w:tc>
          <w:tcPr>
            <w:tcW w:w="16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(436)</w:t>
            </w:r>
          </w:p>
        </w:tc>
        <w:tc>
          <w:tcPr>
            <w:tcW w:w="3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(2,548)</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3900" w:type="dxa"/>
            <w:vAlign w:val="bottom"/>
            <w:shd w:val="clear" w:color="auto" w:fill="CCEEFF"/>
          </w:tcPr>
          <w:p>
            <w:pPr>
              <w:spacing w:after="0" w:line="20" w:lineRule="exact"/>
              <w:rPr>
                <w:sz w:val="1"/>
                <w:szCs w:val="1"/>
                <w:color w:val="auto"/>
              </w:rPr>
            </w:pPr>
          </w:p>
        </w:tc>
        <w:tc>
          <w:tcPr>
            <w:tcW w:w="124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60" w:type="dxa"/>
            <w:vAlign w:val="bottom"/>
            <w:gridSpan w:val="2"/>
          </w:tcPr>
          <w:p>
            <w:pPr>
              <w:ind w:left="660"/>
              <w:spacing w:after="0"/>
              <w:rPr>
                <w:sz w:val="20"/>
                <w:szCs w:val="20"/>
                <w:color w:val="auto"/>
              </w:rPr>
            </w:pPr>
            <w:r>
              <w:rPr>
                <w:rFonts w:ascii="Times New Roman" w:cs="Times New Roman" w:eastAsia="Times New Roman" w:hAnsi="Times New Roman"/>
                <w:sz w:val="18"/>
                <w:szCs w:val="18"/>
                <w:b w:val="1"/>
                <w:bCs w:val="1"/>
                <w:color w:val="auto"/>
              </w:rPr>
              <w:t>Balance at November 24, 2018</w:t>
            </w:r>
          </w:p>
        </w:tc>
        <w:tc>
          <w:tcPr>
            <w:tcW w:w="1240" w:type="dxa"/>
            <w:vAlign w:val="bottom"/>
          </w:tcPr>
          <w:p>
            <w:pPr>
              <w:spacing w:after="0"/>
              <w:rPr>
                <w:sz w:val="18"/>
                <w:szCs w:val="18"/>
                <w:color w:val="auto"/>
              </w:rPr>
            </w:pPr>
          </w:p>
        </w:tc>
        <w:tc>
          <w:tcPr>
            <w:tcW w:w="6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1,500</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266</w:t>
            </w:r>
          </w:p>
        </w:tc>
        <w:tc>
          <w:tcPr>
            <w:tcW w:w="180" w:type="dxa"/>
            <w:vAlign w:val="bottom"/>
          </w:tcPr>
          <w:p>
            <w:pPr>
              <w:spacing w:after="0"/>
              <w:rPr>
                <w:sz w:val="18"/>
                <w:szCs w:val="18"/>
                <w:color w:val="auto"/>
              </w:rPr>
            </w:pP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1,766</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184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45</w:t>
            </w: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390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4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7.  Property and Equipment</w:t>
            </w:r>
          </w:p>
        </w:tc>
        <w:tc>
          <w:tcPr>
            <w:tcW w:w="1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Property and equipment consist of the following:</w:t>
            </w: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5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November 24,</w:t>
            </w:r>
          </w:p>
        </w:tc>
        <w:tc>
          <w:tcPr>
            <w:tcW w:w="160" w:type="dxa"/>
            <w:vAlign w:val="bottom"/>
          </w:tcPr>
          <w:p>
            <w:pPr>
              <w:spacing w:after="0"/>
              <w:rPr>
                <w:sz w:val="24"/>
                <w:szCs w:val="24"/>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November 25,</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Land</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9,908</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10,908</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Buildings and leasehold improvements</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124,449</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117,185</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Machinery and equipment</w:t>
            </w:r>
          </w:p>
        </w:tc>
        <w:tc>
          <w:tcPr>
            <w:tcW w:w="18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108,379</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102,619</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Property and equipment at cost</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242,736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230,712</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accumulated depreciation</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(137,873)</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(127,468)</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104,863</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103,244</w:t>
            </w:r>
          </w:p>
        </w:tc>
        <w:tc>
          <w:tcPr>
            <w:tcW w:w="0" w:type="dxa"/>
            <w:vAlign w:val="bottom"/>
          </w:tcPr>
          <w:p>
            <w:pPr>
              <w:spacing w:after="0"/>
              <w:rPr>
                <w:sz w:val="1"/>
                <w:szCs w:val="1"/>
                <w:color w:val="auto"/>
              </w:rPr>
            </w:pPr>
          </w:p>
        </w:tc>
      </w:tr>
      <w:tr>
        <w:trPr>
          <w:trHeight w:val="20"/>
        </w:trPr>
        <w:tc>
          <w:tcPr>
            <w:tcW w:w="64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The net book value of our property and equipment by reportable segment is a follows:</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42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5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November 24,</w:t>
            </w:r>
          </w:p>
        </w:tc>
        <w:tc>
          <w:tcPr>
            <w:tcW w:w="160" w:type="dxa"/>
            <w:vAlign w:val="bottom"/>
          </w:tcPr>
          <w:p>
            <w:pPr>
              <w:spacing w:after="0"/>
              <w:rPr>
                <w:sz w:val="24"/>
                <w:szCs w:val="24"/>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November 25,</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26,511</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25,277</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180" w:type="dxa"/>
            <w:vAlign w:val="bottom"/>
          </w:tcPr>
          <w:p>
            <w:pPr>
              <w:spacing w:after="0"/>
              <w:rPr>
                <w:sz w:val="18"/>
                <w:szCs w:val="18"/>
                <w:color w:val="auto"/>
              </w:rPr>
            </w:pPr>
          </w:p>
        </w:tc>
        <w:tc>
          <w:tcPr>
            <w:tcW w:w="15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61,380</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58,454</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16,972</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19,513</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property and equipment, net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104,863</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103,244</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Depreciation expense associated with the property and equipment shown above was included in income from operations in our consolidated statements of income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130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vMerge w:val="restart"/>
          </w:tcPr>
          <w:p>
            <w:pPr>
              <w:spacing w:after="0"/>
              <w:rPr>
                <w:sz w:val="18"/>
                <w:szCs w:val="18"/>
                <w:color w:val="auto"/>
              </w:rPr>
            </w:pPr>
          </w:p>
        </w:tc>
        <w:tc>
          <w:tcPr>
            <w:tcW w:w="48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goods sold (wholesale segment)</w:t>
            </w:r>
          </w:p>
        </w:tc>
        <w:tc>
          <w:tcPr>
            <w:tcW w:w="1300" w:type="dxa"/>
            <w:vAlign w:val="bottom"/>
            <w:gridSpan w:val="2"/>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1,264</w:t>
            </w:r>
          </w:p>
        </w:tc>
        <w:tc>
          <w:tcPr>
            <w:tcW w:w="980" w:type="dxa"/>
            <w:vAlign w:val="bottom"/>
            <w:shd w:val="clear" w:color="auto" w:fill="CCEEFF"/>
          </w:tcPr>
          <w:p>
            <w:pPr>
              <w:jc w:val="right"/>
              <w:ind w:right="813"/>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989</w:t>
            </w:r>
          </w:p>
        </w:tc>
        <w:tc>
          <w:tcPr>
            <w:tcW w:w="4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748</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adminstrative expenses:</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Wholesale segment</w:t>
            </w:r>
          </w:p>
        </w:tc>
        <w:tc>
          <w:tcPr>
            <w:tcW w:w="3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1,666</w:t>
            </w:r>
          </w:p>
        </w:tc>
        <w:tc>
          <w:tcPr>
            <w:tcW w:w="9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1,531</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1,154</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Retail segment</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7,060</w:t>
            </w:r>
          </w:p>
        </w:tc>
        <w:tc>
          <w:tcPr>
            <w:tcW w:w="980" w:type="dxa"/>
            <w:vAlign w:val="bottom"/>
          </w:tcPr>
          <w:p>
            <w:pPr>
              <w:spacing w:after="0"/>
              <w:rPr>
                <w:sz w:val="18"/>
                <w:szCs w:val="18"/>
                <w:color w:val="auto"/>
              </w:rPr>
            </w:pPr>
          </w:p>
        </w:tc>
        <w:tc>
          <w:tcPr>
            <w:tcW w:w="6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7,080</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6,880</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Logistical services segment</w:t>
            </w:r>
          </w:p>
        </w:tc>
        <w:tc>
          <w:tcPr>
            <w:tcW w:w="3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3,747</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3,614</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48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included in selling, general and adminstrative expenses</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12,473</w:t>
            </w: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12,598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11,648</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60" w:type="dxa"/>
            <w:vAlign w:val="bottom"/>
          </w:tcPr>
          <w:p>
            <w:pPr>
              <w:spacing w:after="0"/>
              <w:rPr>
                <w:sz w:val="19"/>
                <w:szCs w:val="19"/>
                <w:color w:val="auto"/>
              </w:rPr>
            </w:pPr>
          </w:p>
        </w:tc>
        <w:tc>
          <w:tcPr>
            <w:tcW w:w="48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depreciation expense included in income from operations</w:t>
            </w: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13,737</w:t>
            </w: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813"/>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13,587</w:t>
            </w:r>
          </w:p>
        </w:tc>
        <w:tc>
          <w:tcPr>
            <w:tcW w:w="80" w:type="dxa"/>
            <w:vAlign w:val="bottom"/>
            <w:shd w:val="clear" w:color="auto" w:fill="CCEEFF"/>
          </w:tcPr>
          <w:p>
            <w:pPr>
              <w:spacing w:after="0"/>
              <w:rPr>
                <w:sz w:val="19"/>
                <w:szCs w:val="19"/>
                <w:color w:val="auto"/>
              </w:rPr>
            </w:pPr>
          </w:p>
        </w:tc>
        <w:tc>
          <w:tcPr>
            <w:tcW w:w="4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12,396</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6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1300" w:type="dxa"/>
            <w:vAlign w:val="bottom"/>
            <w:gridSpan w:val="2"/>
          </w:tcPr>
          <w:p>
            <w:pPr>
              <w:jc w:val="right"/>
              <w:ind w:right="910"/>
              <w:spacing w:after="0"/>
              <w:rPr>
                <w:sz w:val="20"/>
                <w:szCs w:val="20"/>
                <w:color w:val="auto"/>
              </w:rPr>
            </w:pPr>
            <w:r>
              <w:rPr>
                <w:rFonts w:ascii="Times New Roman" w:cs="Times New Roman" w:eastAsia="Times New Roman" w:hAnsi="Times New Roman"/>
                <w:sz w:val="18"/>
                <w:szCs w:val="18"/>
                <w:color w:val="auto"/>
              </w:rPr>
              <w:t>46</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484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8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8.  Goodwill and Other Intangible Assets</w:t>
            </w:r>
          </w:p>
        </w:tc>
        <w:tc>
          <w:tcPr>
            <w:tcW w:w="2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8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Goodwill and other intangible assets consisted of the following:</w:t>
            </w:r>
          </w:p>
        </w:tc>
        <w:tc>
          <w:tcPr>
            <w:tcW w:w="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6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November 24, 2018</w:t>
            </w:r>
          </w:p>
        </w:tc>
        <w:tc>
          <w:tcPr>
            <w:tcW w:w="2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60" w:type="dxa"/>
            <w:vAlign w:val="bottom"/>
          </w:tcPr>
          <w:p>
            <w:pPr>
              <w:spacing w:after="0"/>
              <w:rPr>
                <w:sz w:val="16"/>
                <w:szCs w:val="16"/>
                <w:color w:val="auto"/>
              </w:rPr>
            </w:pPr>
          </w:p>
        </w:tc>
        <w:tc>
          <w:tcPr>
            <w:tcW w:w="5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20" w:type="dxa"/>
            <w:vAlign w:val="bottom"/>
            <w:gridSpan w:val="2"/>
          </w:tcPr>
          <w:p>
            <w:pPr>
              <w:jc w:val="center"/>
              <w:ind w:right="480"/>
              <w:spacing w:after="0" w:line="188" w:lineRule="exact"/>
              <w:rPr>
                <w:sz w:val="20"/>
                <w:szCs w:val="20"/>
                <w:color w:val="auto"/>
              </w:rPr>
            </w:pPr>
            <w:r>
              <w:rPr>
                <w:rFonts w:ascii="Times New Roman" w:cs="Times New Roman" w:eastAsia="Times New Roman" w:hAnsi="Times New Roman"/>
                <w:sz w:val="18"/>
                <w:szCs w:val="18"/>
                <w:b w:val="1"/>
                <w:bCs w:val="1"/>
                <w:color w:val="auto"/>
                <w:w w:val="97"/>
              </w:rPr>
              <w:t>Gross</w:t>
            </w:r>
          </w:p>
        </w:tc>
        <w:tc>
          <w:tcPr>
            <w:tcW w:w="16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rPr>
              <w:t>Carrying</w:t>
            </w:r>
          </w:p>
        </w:tc>
        <w:tc>
          <w:tcPr>
            <w:tcW w:w="160" w:type="dxa"/>
            <w:vAlign w:val="bottom"/>
          </w:tcPr>
          <w:p>
            <w:pPr>
              <w:spacing w:after="0"/>
              <w:rPr>
                <w:sz w:val="18"/>
                <w:szCs w:val="18"/>
                <w:color w:val="auto"/>
              </w:rPr>
            </w:pPr>
          </w:p>
        </w:tc>
        <w:tc>
          <w:tcPr>
            <w:tcW w:w="156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22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rPr>
              <w:t>Intangible</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2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160" w:type="dxa"/>
            <w:vAlign w:val="bottom"/>
          </w:tcPr>
          <w:p>
            <w:pPr>
              <w:spacing w:after="0"/>
              <w:rPr>
                <w:sz w:val="20"/>
                <w:szCs w:val="20"/>
                <w:color w:val="auto"/>
              </w:rPr>
            </w:pPr>
          </w:p>
        </w:tc>
        <w:tc>
          <w:tcPr>
            <w:tcW w:w="156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20" w:type="dxa"/>
            <w:vAlign w:val="bottom"/>
          </w:tcPr>
          <w:p>
            <w:pPr>
              <w:spacing w:after="0"/>
              <w:rPr>
                <w:sz w:val="20"/>
                <w:szCs w:val="20"/>
                <w:color w:val="auto"/>
              </w:rPr>
            </w:pPr>
          </w:p>
        </w:tc>
        <w:tc>
          <w:tcPr>
            <w:tcW w:w="14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Assets, Net</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subject to amortization:</w:t>
            </w:r>
          </w:p>
        </w:tc>
        <w:tc>
          <w:tcPr>
            <w:tcW w:w="2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Customer relationships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3,550</w:t>
            </w:r>
          </w:p>
        </w:tc>
        <w:tc>
          <w:tcPr>
            <w:tcW w:w="1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(829)</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2,721</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2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834</w:t>
            </w:r>
          </w:p>
        </w:tc>
        <w:tc>
          <w:tcPr>
            <w:tcW w:w="16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(456)</w:t>
            </w:r>
          </w:p>
        </w:tc>
        <w:tc>
          <w:tcPr>
            <w:tcW w:w="2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378</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2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4,384</w:t>
            </w:r>
          </w:p>
        </w:tc>
        <w:tc>
          <w:tcPr>
            <w:tcW w:w="16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(1,285)</w:t>
            </w:r>
          </w:p>
        </w:tc>
        <w:tc>
          <w:tcPr>
            <w:tcW w:w="2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3,099</w:t>
            </w:r>
          </w:p>
        </w:tc>
        <w:tc>
          <w:tcPr>
            <w:tcW w:w="0" w:type="dxa"/>
            <w:vAlign w:val="bottom"/>
          </w:tcPr>
          <w:p>
            <w:pPr>
              <w:spacing w:after="0"/>
              <w:rPr>
                <w:sz w:val="1"/>
                <w:szCs w:val="1"/>
                <w:color w:val="auto"/>
              </w:rPr>
            </w:pPr>
          </w:p>
        </w:tc>
      </w:tr>
      <w:tr>
        <w:trPr>
          <w:trHeight w:val="216"/>
        </w:trPr>
        <w:tc>
          <w:tcPr>
            <w:tcW w:w="66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Trade names</w:t>
            </w:r>
          </w:p>
        </w:tc>
        <w:tc>
          <w:tcPr>
            <w:tcW w:w="26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9,338</w:t>
            </w:r>
          </w:p>
        </w:tc>
        <w:tc>
          <w:tcPr>
            <w:tcW w:w="160" w:type="dxa"/>
            <w:vAlign w:val="bottom"/>
          </w:tcPr>
          <w:p>
            <w:pPr>
              <w:spacing w:after="0"/>
              <w:rPr>
                <w:sz w:val="18"/>
                <w:szCs w:val="18"/>
                <w:color w:val="auto"/>
              </w:rPr>
            </w:pPr>
          </w:p>
        </w:tc>
        <w:tc>
          <w:tcPr>
            <w:tcW w:w="15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9,338</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16,043</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16,043</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660" w:type="dxa"/>
            <w:vAlign w:val="bottom"/>
          </w:tcPr>
          <w:p>
            <w:pPr>
              <w:spacing w:after="0"/>
              <w:rPr>
                <w:sz w:val="22"/>
                <w:szCs w:val="22"/>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29,765</w:t>
            </w:r>
          </w:p>
        </w:tc>
        <w:tc>
          <w:tcPr>
            <w:tcW w:w="2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(1,285)</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28,480</w:t>
            </w:r>
          </w:p>
        </w:tc>
        <w:tc>
          <w:tcPr>
            <w:tcW w:w="0" w:type="dxa"/>
            <w:vAlign w:val="bottom"/>
          </w:tcPr>
          <w:p>
            <w:pPr>
              <w:spacing w:after="0"/>
              <w:rPr>
                <w:sz w:val="1"/>
                <w:szCs w:val="1"/>
                <w:color w:val="auto"/>
              </w:rPr>
            </w:pPr>
          </w:p>
        </w:tc>
      </w:tr>
      <w:tr>
        <w:trPr>
          <w:trHeight w:val="413"/>
        </w:trPr>
        <w:tc>
          <w:tcPr>
            <w:tcW w:w="660" w:type="dxa"/>
            <w:vAlign w:val="bottom"/>
          </w:tcPr>
          <w:p>
            <w:pPr>
              <w:spacing w:after="0"/>
              <w:rPr>
                <w:sz w:val="24"/>
                <w:szCs w:val="24"/>
                <w:color w:val="auto"/>
              </w:rPr>
            </w:pPr>
          </w:p>
        </w:tc>
        <w:tc>
          <w:tcPr>
            <w:tcW w:w="5140" w:type="dxa"/>
            <w:vAlign w:val="bottom"/>
            <w:tcBorders>
              <w:top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130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1540" w:type="dxa"/>
            <w:vAlign w:val="bottom"/>
            <w:tcBorders>
              <w:top w:val="single" w:sz="8" w:color="auto"/>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November 25, 2017</w:t>
            </w:r>
          </w:p>
        </w:tc>
        <w:tc>
          <w:tcPr>
            <w:tcW w:w="180" w:type="dxa"/>
            <w:vAlign w:val="bottom"/>
            <w:tcBorders>
              <w:top w:val="single" w:sz="8" w:color="CCEEFF"/>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13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660" w:type="dxa"/>
            <w:vAlign w:val="bottom"/>
          </w:tcPr>
          <w:p>
            <w:pPr>
              <w:spacing w:after="0"/>
              <w:rPr>
                <w:sz w:val="16"/>
                <w:szCs w:val="16"/>
                <w:color w:val="auto"/>
              </w:rPr>
            </w:pPr>
          </w:p>
        </w:tc>
        <w:tc>
          <w:tcPr>
            <w:tcW w:w="5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20" w:type="dxa"/>
            <w:vAlign w:val="bottom"/>
            <w:gridSpan w:val="2"/>
          </w:tcPr>
          <w:p>
            <w:pPr>
              <w:jc w:val="center"/>
              <w:ind w:right="480"/>
              <w:spacing w:after="0" w:line="188" w:lineRule="exact"/>
              <w:rPr>
                <w:sz w:val="20"/>
                <w:szCs w:val="20"/>
                <w:color w:val="auto"/>
              </w:rPr>
            </w:pPr>
            <w:r>
              <w:rPr>
                <w:rFonts w:ascii="Times New Roman" w:cs="Times New Roman" w:eastAsia="Times New Roman" w:hAnsi="Times New Roman"/>
                <w:sz w:val="18"/>
                <w:szCs w:val="18"/>
                <w:b w:val="1"/>
                <w:bCs w:val="1"/>
                <w:color w:val="auto"/>
                <w:w w:val="97"/>
              </w:rPr>
              <w:t>Gross</w:t>
            </w:r>
          </w:p>
        </w:tc>
        <w:tc>
          <w:tcPr>
            <w:tcW w:w="16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rPr>
              <w:t>Carrying</w:t>
            </w:r>
          </w:p>
        </w:tc>
        <w:tc>
          <w:tcPr>
            <w:tcW w:w="160" w:type="dxa"/>
            <w:vAlign w:val="bottom"/>
          </w:tcPr>
          <w:p>
            <w:pPr>
              <w:spacing w:after="0"/>
              <w:rPr>
                <w:sz w:val="18"/>
                <w:szCs w:val="18"/>
                <w:color w:val="auto"/>
              </w:rPr>
            </w:pPr>
          </w:p>
        </w:tc>
        <w:tc>
          <w:tcPr>
            <w:tcW w:w="156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22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rPr>
              <w:t>Intangible</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2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160" w:type="dxa"/>
            <w:vAlign w:val="bottom"/>
          </w:tcPr>
          <w:p>
            <w:pPr>
              <w:spacing w:after="0"/>
              <w:rPr>
                <w:sz w:val="20"/>
                <w:szCs w:val="20"/>
                <w:color w:val="auto"/>
              </w:rPr>
            </w:pPr>
          </w:p>
        </w:tc>
        <w:tc>
          <w:tcPr>
            <w:tcW w:w="156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20" w:type="dxa"/>
            <w:vAlign w:val="bottom"/>
          </w:tcPr>
          <w:p>
            <w:pPr>
              <w:spacing w:after="0"/>
              <w:rPr>
                <w:sz w:val="20"/>
                <w:szCs w:val="20"/>
                <w:color w:val="auto"/>
              </w:rPr>
            </w:pPr>
          </w:p>
        </w:tc>
        <w:tc>
          <w:tcPr>
            <w:tcW w:w="14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Assets, Net</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subject to amortization:</w:t>
            </w:r>
          </w:p>
        </w:tc>
        <w:tc>
          <w:tcPr>
            <w:tcW w:w="2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Customer relationships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3,038</w:t>
            </w:r>
          </w:p>
        </w:tc>
        <w:tc>
          <w:tcPr>
            <w:tcW w:w="1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(574)</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2,464</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834</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(337)</w:t>
            </w:r>
          </w:p>
        </w:tc>
        <w:tc>
          <w:tcPr>
            <w:tcW w:w="2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497</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26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3,872</w:t>
            </w:r>
          </w:p>
        </w:tc>
        <w:tc>
          <w:tcPr>
            <w:tcW w:w="16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(911)</w:t>
            </w:r>
          </w:p>
        </w:tc>
        <w:tc>
          <w:tcPr>
            <w:tcW w:w="2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2,961</w:t>
            </w:r>
          </w:p>
        </w:tc>
        <w:tc>
          <w:tcPr>
            <w:tcW w:w="0" w:type="dxa"/>
            <w:vAlign w:val="bottom"/>
          </w:tcPr>
          <w:p>
            <w:pPr>
              <w:spacing w:after="0"/>
              <w:rPr>
                <w:sz w:val="1"/>
                <w:szCs w:val="1"/>
                <w:color w:val="auto"/>
              </w:rPr>
            </w:pPr>
          </w:p>
        </w:tc>
      </w:tr>
      <w:tr>
        <w:trPr>
          <w:trHeight w:val="216"/>
        </w:trPr>
        <w:tc>
          <w:tcPr>
            <w:tcW w:w="66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Trade names</w:t>
            </w:r>
          </w:p>
        </w:tc>
        <w:tc>
          <w:tcPr>
            <w:tcW w:w="26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2,490</w:t>
            </w:r>
          </w:p>
        </w:tc>
        <w:tc>
          <w:tcPr>
            <w:tcW w:w="160" w:type="dxa"/>
            <w:vAlign w:val="bottom"/>
          </w:tcPr>
          <w:p>
            <w:pPr>
              <w:spacing w:after="0"/>
              <w:rPr>
                <w:sz w:val="18"/>
                <w:szCs w:val="18"/>
                <w:color w:val="auto"/>
              </w:rPr>
            </w:pPr>
          </w:p>
        </w:tc>
        <w:tc>
          <w:tcPr>
            <w:tcW w:w="15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2,490</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11,900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11,900</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660" w:type="dxa"/>
            <w:vAlign w:val="bottom"/>
          </w:tcPr>
          <w:p>
            <w:pPr>
              <w:spacing w:after="0"/>
              <w:rPr>
                <w:sz w:val="20"/>
                <w:szCs w:val="20"/>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18,262</w:t>
            </w:r>
          </w:p>
        </w:tc>
        <w:tc>
          <w:tcPr>
            <w:tcW w:w="2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(911)</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17,351</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14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3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3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carrying amounts of goodwill by reportable segment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0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Wholesale</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Retail</w:t>
            </w:r>
          </w:p>
        </w:tc>
        <w:tc>
          <w:tcPr>
            <w:tcW w:w="160" w:type="dxa"/>
            <w:vAlign w:val="bottom"/>
          </w:tcPr>
          <w:p>
            <w:pPr>
              <w:spacing w:after="0"/>
              <w:rPr>
                <w:sz w:val="20"/>
                <w:szCs w:val="20"/>
                <w:color w:val="auto"/>
              </w:rPr>
            </w:pPr>
          </w:p>
        </w:tc>
        <w:tc>
          <w:tcPr>
            <w:tcW w:w="11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Logistics</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0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November 26, 2016</w:t>
            </w:r>
          </w:p>
        </w:tc>
        <w:tc>
          <w:tcPr>
            <w:tcW w:w="10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4,839</w:t>
            </w:r>
          </w:p>
        </w:tc>
        <w:tc>
          <w:tcPr>
            <w:tcW w:w="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4,929</w:t>
            </w:r>
          </w:p>
        </w:tc>
        <w:tc>
          <w:tcPr>
            <w:tcW w:w="3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11,588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Goodwill arising from store acquisition (Note 3)</w:t>
            </w: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206</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106</w:t>
            </w:r>
          </w:p>
        </w:tc>
        <w:tc>
          <w:tcPr>
            <w:tcW w:w="16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312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0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November 25, 2017</w:t>
            </w: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5,045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1,926</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4,929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11,900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Goodwill arising from Lane Venture acquisition (Note 3)</w:t>
            </w: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4,143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4,143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November 24, 2018</w:t>
            </w:r>
          </w:p>
        </w:tc>
        <w:tc>
          <w:tcPr>
            <w:tcW w:w="86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9,188</w:t>
            </w:r>
          </w:p>
        </w:tc>
        <w:tc>
          <w:tcPr>
            <w:tcW w:w="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1,926</w:t>
            </w:r>
          </w:p>
        </w:tc>
        <w:tc>
          <w:tcPr>
            <w:tcW w:w="2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4,929</w:t>
            </w:r>
          </w:p>
        </w:tc>
        <w:tc>
          <w:tcPr>
            <w:tcW w:w="3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16,043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998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There were no accumulated impairment losses on goodwill as of November 24, 2018, November 25, 2017 or November 26, 2016.</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47</w:t>
            </w: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502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weighted average useful lives of our finite-lived intangible assets and remaining amortization periods as of November 24, 2018 are as follows:</w:t>
      </w:r>
    </w:p>
    <w:p>
      <w:pPr>
        <w:spacing w:after="0" w:line="221" w:lineRule="exact"/>
        <w:rPr>
          <w:sz w:val="20"/>
          <w:szCs w:val="20"/>
          <w:color w:val="auto"/>
        </w:rPr>
      </w:pPr>
    </w:p>
    <w:tbl>
      <w:tblPr>
        <w:tblLayout w:type="fixed"/>
        <w:tblInd w:w="9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Remaining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200" w:type="dxa"/>
            <w:vAlign w:val="bottom"/>
          </w:tcPr>
          <w:p>
            <w:pPr>
              <w:jc w:val="center"/>
              <w:ind w:left="270"/>
              <w:spacing w:after="0"/>
              <w:rPr>
                <w:sz w:val="20"/>
                <w:szCs w:val="20"/>
                <w:color w:val="auto"/>
              </w:rPr>
            </w:pPr>
            <w:r>
              <w:rPr>
                <w:rFonts w:ascii="Times New Roman" w:cs="Times New Roman" w:eastAsia="Times New Roman" w:hAnsi="Times New Roman"/>
                <w:sz w:val="18"/>
                <w:szCs w:val="18"/>
                <w:b w:val="1"/>
                <w:bCs w:val="1"/>
                <w:color w:val="auto"/>
                <w:w w:val="97"/>
              </w:rPr>
              <w:t>Useful</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Amortization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200" w:type="dxa"/>
            <w:vAlign w:val="bottom"/>
          </w:tcPr>
          <w:p>
            <w:pPr>
              <w:jc w:val="center"/>
              <w:ind w:left="290"/>
              <w:spacing w:after="0"/>
              <w:rPr>
                <w:sz w:val="20"/>
                <w:szCs w:val="20"/>
                <w:color w:val="auto"/>
              </w:rPr>
            </w:pPr>
            <w:r>
              <w:rPr>
                <w:rFonts w:ascii="Times New Roman" w:cs="Times New Roman" w:eastAsia="Times New Roman" w:hAnsi="Times New Roman"/>
                <w:sz w:val="18"/>
                <w:szCs w:val="18"/>
                <w:b w:val="1"/>
                <w:bCs w:val="1"/>
                <w:color w:val="auto"/>
                <w:w w:val="98"/>
              </w:rPr>
              <w:t>Life in</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Period in</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860" w:type="dxa"/>
            <w:vAlign w:val="bottom"/>
          </w:tcPr>
          <w:p>
            <w:pPr>
              <w:spacing w:after="0"/>
              <w:rPr>
                <w:sz w:val="20"/>
                <w:szCs w:val="20"/>
                <w:color w:val="auto"/>
              </w:rPr>
            </w:pPr>
          </w:p>
        </w:tc>
        <w:tc>
          <w:tcPr>
            <w:tcW w:w="1200" w:type="dxa"/>
            <w:vAlign w:val="bottom"/>
          </w:tcPr>
          <w:p>
            <w:pPr>
              <w:jc w:val="center"/>
              <w:ind w:left="270"/>
              <w:spacing w:after="0"/>
              <w:rPr>
                <w:sz w:val="20"/>
                <w:szCs w:val="20"/>
                <w:color w:val="auto"/>
              </w:rPr>
            </w:pPr>
            <w:r>
              <w:rPr>
                <w:rFonts w:ascii="Times New Roman" w:cs="Times New Roman" w:eastAsia="Times New Roman" w:hAnsi="Times New Roman"/>
                <w:sz w:val="18"/>
                <w:szCs w:val="18"/>
                <w:b w:val="1"/>
                <w:bCs w:val="1"/>
                <w:color w:val="auto"/>
                <w:w w:val="97"/>
              </w:rPr>
              <w:t>Years</w:t>
            </w: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3"/>
              </w:rPr>
              <w:t>Years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860" w:type="dxa"/>
            <w:vAlign w:val="bottom"/>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5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14</w:t>
            </w:r>
          </w:p>
        </w:tc>
        <w:tc>
          <w:tcPr>
            <w:tcW w:w="1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5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w:t>
            </w:r>
          </w:p>
        </w:tc>
        <w:tc>
          <w:tcPr>
            <w:tcW w:w="16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bl>
    <w:p>
      <w:pPr>
        <w:spacing w:after="0" w:line="17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Amortization expense associated with intangible assets during fiscal 2018, 2017 and 2016 was $374, $322 and $322, respectively and is included in selling, general and administrative expense in our consolidated statement of income. All expense arising from the amortization of intangible assets is associated with our logistical services segment except for $51 in fiscal 2018 associated with our wholesale segment arising from Lane Venture (Note 3). Estimated future amortization expense for intangible assets that exist at November 24, 2018 is as follows:</w:t>
      </w:r>
    </w:p>
    <w:p>
      <w:pPr>
        <w:spacing w:after="0" w:line="200" w:lineRule="exact"/>
        <w:rPr>
          <w:sz w:val="20"/>
          <w:szCs w:val="20"/>
          <w:color w:val="auto"/>
        </w:rPr>
      </w:pP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7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2019</w:t>
            </w:r>
          </w:p>
        </w:tc>
        <w:tc>
          <w:tcPr>
            <w:tcW w:w="62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8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8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2023</w:t>
            </w: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80" w:type="dxa"/>
            <w:vAlign w:val="bottom"/>
          </w:tcPr>
          <w:p>
            <w:pPr>
              <w:spacing w:after="0"/>
              <w:rPr>
                <w:sz w:val="20"/>
                <w:szCs w:val="20"/>
                <w:color w:val="auto"/>
              </w:rPr>
            </w:pPr>
            <w:r>
              <w:rPr>
                <w:rFonts w:ascii="Times New Roman" w:cs="Times New Roman" w:eastAsia="Times New Roman" w:hAnsi="Times New Roman"/>
                <w:sz w:val="18"/>
                <w:szCs w:val="18"/>
                <w:color w:val="auto"/>
              </w:rPr>
              <w:t>Thereafter</w:t>
            </w:r>
          </w:p>
        </w:tc>
        <w:tc>
          <w:tcPr>
            <w:tcW w:w="2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1,424</w:t>
            </w:r>
          </w:p>
        </w:tc>
        <w:tc>
          <w:tcPr>
            <w:tcW w:w="8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74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75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w:t>
            </w:r>
          </w:p>
        </w:tc>
        <w:tc>
          <w:tcPr>
            <w:tcW w:w="620" w:type="dxa"/>
            <w:vAlign w:val="bottom"/>
            <w:tcBorders>
              <w:bottom w:val="single" w:sz="8" w:color="auto"/>
            </w:tcBorders>
            <w:gridSpan w:val="2"/>
          </w:tcPr>
          <w:p>
            <w:pPr>
              <w:jc w:val="right"/>
              <w:ind w:right="52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3,099</w:t>
            </w:r>
          </w:p>
        </w:tc>
        <w:tc>
          <w:tcPr>
            <w:tcW w:w="8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18"/>
          <w:szCs w:val="18"/>
          <w:b w:val="1"/>
          <w:bCs w:val="1"/>
          <w:color w:val="auto"/>
        </w:rPr>
        <w:t>9.</w:t>
      </w:r>
      <w:r>
        <w:rPr>
          <w:sz w:val="20"/>
          <w:szCs w:val="20"/>
          <w:color w:val="auto"/>
        </w:rPr>
        <w:tab/>
      </w:r>
      <w:r>
        <w:rPr>
          <w:rFonts w:ascii="Times New Roman" w:cs="Times New Roman" w:eastAsia="Times New Roman" w:hAnsi="Times New Roman"/>
          <w:sz w:val="17"/>
          <w:szCs w:val="17"/>
          <w:b w:val="1"/>
          <w:bCs w:val="1"/>
          <w:color w:val="auto"/>
        </w:rPr>
        <w:t>Unconsolidated Affiliated Companies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International Market Centers, L.P.</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connection with the sale of our interest in International Home Furnishings Center, Inc. on May 2, 2011, we acquired a minority interest in International Market Centers, L.P. (“IMC”) in exchange for $1,000. Our investment in IMC was included in other long-term assets in our consolidated balance sheet as of November 26, 2016 and was accounted for using the cost method as we did not have significant influence over IMC. During fiscal 2017 IMC was sold resulting in the redemption of our entire interest for total proceeds of $1,954 resulting in a gain of $954 which is included in gain on sale of investments in our consolidated statement of income.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1985, we acquired a minority interest in a privately-held, start-up provider of property and casualty insurance for $325. We have accounted for this investment on the cost method and it was included in other long-term assets in our consolidated balance sheet as of November 26, 2016. During fiscal 2017 we sold our entire interest for $3,592 in cash, resulting in a gain of $3,267 which is included in gain on sale of investments in our consolidated statement of income.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1" w:name="page52"/>
    <w:bookmarkEnd w:id="51"/>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6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10. Notes Payable and Bank Credit Facility</w:t>
            </w:r>
          </w:p>
        </w:tc>
        <w:tc>
          <w:tcPr>
            <w:tcW w:w="2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1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Our notes payable consist of the following:</w:t>
            </w:r>
          </w:p>
        </w:tc>
        <w:tc>
          <w:tcPr>
            <w:tcW w:w="2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40" w:type="dxa"/>
            <w:vAlign w:val="bottom"/>
            <w:gridSpan w:val="4"/>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November 24,</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38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Real estate notes payable</w:t>
            </w:r>
          </w:p>
        </w:tc>
        <w:tc>
          <w:tcPr>
            <w:tcW w:w="2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gridSpan w:val="4"/>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Less current portion</w:t>
            </w:r>
          </w:p>
        </w:tc>
        <w:tc>
          <w:tcPr>
            <w:tcW w:w="2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auto"/>
              </w:rPr>
              <w:t>(292)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8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8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long-term notes payable</w:t>
            </w:r>
          </w:p>
        </w:tc>
        <w:tc>
          <w:tcPr>
            <w:tcW w:w="2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4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November 25, 2017</w:t>
            </w: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3"/>
            <w:vMerge w:val="continue"/>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520" w:type="dxa"/>
            <w:vAlign w:val="bottom"/>
            <w:gridSpan w:val="2"/>
          </w:tcPr>
          <w:p>
            <w:pPr>
              <w:jc w:val="right"/>
              <w:ind w:right="640"/>
              <w:spacing w:after="0" w:line="188" w:lineRule="exact"/>
              <w:rPr>
                <w:sz w:val="20"/>
                <w:szCs w:val="20"/>
                <w:color w:val="auto"/>
              </w:rPr>
            </w:pPr>
            <w:r>
              <w:rPr>
                <w:rFonts w:ascii="Times New Roman" w:cs="Times New Roman" w:eastAsia="Times New Roman" w:hAnsi="Times New Roman"/>
                <w:sz w:val="18"/>
                <w:szCs w:val="18"/>
                <w:b w:val="1"/>
                <w:bCs w:val="1"/>
                <w:color w:val="auto"/>
              </w:rPr>
              <w:t>Principal</w:t>
            </w:r>
          </w:p>
        </w:tc>
        <w:tc>
          <w:tcPr>
            <w:tcW w:w="180" w:type="dxa"/>
            <w:vAlign w:val="bottom"/>
          </w:tcPr>
          <w:p>
            <w:pPr>
              <w:spacing w:after="0"/>
              <w:rPr>
                <w:sz w:val="16"/>
                <w:szCs w:val="16"/>
                <w:color w:val="auto"/>
              </w:rPr>
            </w:pPr>
          </w:p>
        </w:tc>
        <w:tc>
          <w:tcPr>
            <w:tcW w:w="1560" w:type="dxa"/>
            <w:vAlign w:val="bottom"/>
            <w:gridSpan w:val="2"/>
          </w:tcPr>
          <w:p>
            <w:pPr>
              <w:jc w:val="right"/>
              <w:ind w:right="460"/>
              <w:spacing w:after="0" w:line="188" w:lineRule="exact"/>
              <w:rPr>
                <w:sz w:val="20"/>
                <w:szCs w:val="20"/>
                <w:color w:val="auto"/>
              </w:rPr>
            </w:pPr>
            <w:r>
              <w:rPr>
                <w:rFonts w:ascii="Times New Roman" w:cs="Times New Roman" w:eastAsia="Times New Roman" w:hAnsi="Times New Roman"/>
                <w:sz w:val="18"/>
                <w:szCs w:val="18"/>
                <w:b w:val="1"/>
                <w:bCs w:val="1"/>
                <w:color w:val="auto"/>
              </w:rPr>
              <w:t>Unamortized</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jc w:val="right"/>
              <w:ind w:right="170"/>
              <w:spacing w:after="0" w:line="188" w:lineRule="exact"/>
              <w:rPr>
                <w:sz w:val="20"/>
                <w:szCs w:val="20"/>
                <w:color w:val="auto"/>
              </w:rPr>
            </w:pPr>
            <w:r>
              <w:rPr>
                <w:rFonts w:ascii="Times New Roman" w:cs="Times New Roman" w:eastAsia="Times New Roman" w:hAnsi="Times New Roman"/>
                <w:sz w:val="18"/>
                <w:szCs w:val="18"/>
                <w:b w:val="1"/>
                <w:bCs w:val="1"/>
                <w:color w:val="auto"/>
                <w:w w:val="97"/>
              </w:rPr>
              <w:t>Net Carrying</w:t>
            </w:r>
          </w:p>
        </w:tc>
        <w:tc>
          <w:tcPr>
            <w:tcW w:w="260" w:type="dxa"/>
            <w:vAlign w:val="bottom"/>
            <w:gridSpan w:val="3"/>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38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2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b w:val="1"/>
                <w:bCs w:val="1"/>
                <w:color w:val="auto"/>
              </w:rPr>
              <w:t>Balance</w:t>
            </w:r>
          </w:p>
        </w:tc>
        <w:tc>
          <w:tcPr>
            <w:tcW w:w="180" w:type="dxa"/>
            <w:vAlign w:val="bottom"/>
          </w:tcPr>
          <w:p>
            <w:pPr>
              <w:spacing w:after="0"/>
              <w:rPr>
                <w:sz w:val="20"/>
                <w:szCs w:val="20"/>
                <w:color w:val="auto"/>
              </w:rPr>
            </w:pPr>
          </w:p>
        </w:tc>
        <w:tc>
          <w:tcPr>
            <w:tcW w:w="1560" w:type="dxa"/>
            <w:vAlign w:val="bottom"/>
            <w:gridSpan w:val="2"/>
          </w:tcPr>
          <w:p>
            <w:pPr>
              <w:jc w:val="right"/>
              <w:ind w:right="620"/>
              <w:spacing w:after="0"/>
              <w:rPr>
                <w:sz w:val="20"/>
                <w:szCs w:val="20"/>
                <w:color w:val="auto"/>
              </w:rPr>
            </w:pPr>
            <w:r>
              <w:rPr>
                <w:rFonts w:ascii="Times New Roman" w:cs="Times New Roman" w:eastAsia="Times New Roman" w:hAnsi="Times New Roman"/>
                <w:sz w:val="18"/>
                <w:szCs w:val="18"/>
                <w:b w:val="1"/>
                <w:bCs w:val="1"/>
                <w:color w:val="auto"/>
              </w:rPr>
              <w:t>Discount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gridSpan w:val="4"/>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28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Zenith acquisition note payable</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2,987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Real estate notes payable</w:t>
            </w:r>
          </w:p>
        </w:tc>
        <w:tc>
          <w:tcPr>
            <w:tcW w:w="24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747</w:t>
            </w:r>
          </w:p>
        </w:tc>
        <w:tc>
          <w:tcPr>
            <w:tcW w:w="180" w:type="dxa"/>
            <w:vAlign w:val="bottom"/>
          </w:tcPr>
          <w:p>
            <w:pPr>
              <w:spacing w:after="0"/>
              <w:rPr>
                <w:sz w:val="18"/>
                <w:szCs w:val="18"/>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747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Total notes payable</w:t>
            </w:r>
          </w:p>
        </w:tc>
        <w:tc>
          <w:tcPr>
            <w:tcW w:w="2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3,747</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3,734</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current portion</w:t>
            </w:r>
          </w:p>
        </w:tc>
        <w:tc>
          <w:tcPr>
            <w:tcW w:w="2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(3,418)</w:t>
            </w:r>
          </w:p>
        </w:tc>
        <w:tc>
          <w:tcPr>
            <w:tcW w:w="1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(3,405)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tcBorders>
              <w:top w:val="single" w:sz="8" w:color="CCEEFF"/>
            </w:tcBorders>
            <w:gridSpan w:val="2"/>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1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long-term notes payable</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329</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329</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80" w:type="dxa"/>
            <w:vAlign w:val="bottom"/>
            <w:tcBorders>
              <w:top w:val="single" w:sz="8" w:color="CCEEFF"/>
            </w:tcBorders>
            <w:shd w:val="clear" w:color="auto" w:fill="CCEEFF"/>
          </w:tcPr>
          <w:p>
            <w:pPr>
              <w:spacing w:after="0" w:line="20" w:lineRule="exact"/>
              <w:rPr>
                <w:sz w:val="1"/>
                <w:szCs w:val="1"/>
                <w:color w:val="auto"/>
              </w:rPr>
            </w:pPr>
          </w:p>
        </w:tc>
        <w:tc>
          <w:tcPr>
            <w:tcW w:w="38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3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All remaining principal outstanding at November 24, 2018 will mature during fiscal 2019.</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Zenith Acquisition Note Payable</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final installment of the Zenith acquisition note was paid in full on February 2, 2018. Interest expense resulting from the amortization of the discount was $13, $95 and $204 for fiscal 2018, 2017 and 2016, respectively.</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Real Estate Notes Payable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Two of our retail real estate properties have been financed through commercial mortgages with interest rates of 6.73%. These mortgages are collateralized by the respective properties with net book values totaling approximately $5,599 and $5,727 at November 24, 2018 and November 25, 2017, respectively. The total balance outstanding under these mortgages was $293 and $747 at November 24, 2018 and November 25, 2017, respectively. The current portion of these mortgages due within one year was $293 and $418 as of November 24, 2018 and November 25, 2017, respectively.</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Fair Value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believe that the carrying amount of our notes payable approximates fair value at both November 24, 2018 and November 25, 2017. In estimating the fair value, we utilize current market interest rates for similar instruments. The inputs into these fair value calculations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 Value Measurements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Disclosures</w:t>
      </w:r>
      <w:r>
        <w:rPr>
          <w:rFonts w:ascii="Times New Roman" w:cs="Times New Roman" w:eastAsia="Times New Roman" w:hAnsi="Times New Roman"/>
          <w:sz w:val="18"/>
          <w:szCs w:val="18"/>
          <w:color w:val="auto"/>
        </w:rPr>
        <w:t>. See Note 4.</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Bank Credit Facility</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Effective November 15, 2018, we amended the credit facility with our bank, increasing line of credit of up to $25,000. This amended credit facility, which matures in December of 2021, is unsecured and contains covenants requiring us to maintain certain key financial ratios. We are in compliance with all covenants under the facility and expect to remain in compliance for the foreseeable future.</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$2,798 outstanding under standby letters of credit against our line, leaving availability under our credit line of $22,202. In addition, we have outstanding standby letters of credit with another bank totaling $381.</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interest paid during fiscal 2018, 2017 and 2016 was $88, $139 and $353, respectively.</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Post-Employment Benefit Obligations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Management Savings Plan</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May 1, 2017, our Board of Directors, upon the recommendation of the Organization, Compensation and Nominating Committee (the “Committee”), adopted the Bassett Furniture Industries, Incorporated Management Savings Plan (the “Plan”).The Plan is an unfunded, nonqualified deferred compensation plan maintained for the benefit of certain highly compensated or management level employees.</w:t>
      </w:r>
    </w:p>
    <w:p>
      <w:pPr>
        <w:spacing w:after="0" w:line="17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Plan is an account-based plan under which (i) participants may defer voluntarily the payment of current compensation to future years (“participant deferrals”) and (ii) the Company may make annual awards to participants payable in future years (“Company contributions”). The Plan permits each participant to defer up to 75% of base salary and up to 100% of any incentive compensation or other bonus, which amounts would be credited to a deferral account established for the participant. Such deferrals will be fully vested at the time of the deferral. Participant deferrals will be indexed to one or more deemed investment alternatives chosen by the participant from a range of alternatives made available under the Plan. Each participant’s account will be adjusted to reflect gains and losses based on the performance of the selected investment alternatives. A participant may receive distributions from the Plan:</w:t>
      </w:r>
    </w:p>
    <w:p>
      <w:pPr>
        <w:jc w:val="both"/>
        <w:ind w:firstLine="8"/>
        <w:spacing w:after="0" w:line="268" w:lineRule="auto"/>
        <w:tabs>
          <w:tab w:leader="none" w:pos="270" w:val="left"/>
        </w:tabs>
        <w:numPr>
          <w:ilvl w:val="0"/>
          <w:numId w:val="1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upon separation from service, in either a lump sum or annual installment payments over up to a 15 year period, as elected by the participant, (2) upon death or disability, in a lump sum, or (3) on a date or dates specified by the participant (“scheduled distributions”) with such scheduled payments made in either a lump sum or substantially equal annual installments over a period of up to five years, as elected by the participant. Participant contributions commenced during the third quarter of fiscal 2017. Company contributions will vest in full (1) on the third anniversary of the date such amounts are credited to the participant’s account, (2) the date that the participant reaches age 63 or (3) upon death or disability. Company contributions are subject to the same rules described above regarding the crediting of gains or losses from deemed investments and the timing of distributions. Expense associated with the Company contribution was $102 and $55 for fiscal 2018 and 2017, respectively. Our liability for Company contributions and participant deferrals at November 24, 2018 and November 25, 2017 was $749 and $55, respectively, and is included in post-employment benefit obligations in our consolidated balance sheets.</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May 2, 2017, we made Long Term Cash Awards (“LTC Awards”) totaling $2,000 under the Plan to certain management employees in the amount of $400 each. The LTC Awards vest in full on the first anniversary of the date of the award if the participant has reached age 63 by that time, or, if later, on the date the participant reaches age 63, provided in either instance that the participant is still employed by the Company at that time. If not previously vested, the awards will also vest immediately upon the death or disability of the participant prior to the participant’s separation from service. The awards will be payable in 10 equal annual installments following the participant’s death, disability or separation from service. We are accounting for the LTC Awards as a defined benefit pension plan.</w:t>
      </w:r>
    </w:p>
    <w:p>
      <w:pPr>
        <w:spacing w:after="0" w:line="18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fiscal 2018 and 2017, we invested $900 and $431 in life insurance policies covering all participants in the Plan. At November 24, 2018, these policies have a net death benefit of $14,998 for which the Company is the sole beneficiary. These policies are intended to provide a source of funds to meet the obligations arising from the deferred compensation and LTC Awards under the Plan, and serve as an economic hedge of the financial impact of changes in the liabilities. They are held in an irrevocable trust but are subject to claims of creditors in the event of the Company’s insolvency.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Supplemental Retirement Income Plan</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have an unfunded Supplemental Retirement Income Plan (the “Supplemental Plan”) that covers one current and certain former executives. Upon retirement, the Supplemental Plan provides for lifetime monthly payments in an amount equal to 65% of the participant’s final average compensation as defined in the Supplemental Plan, which is reduced by certain social security benefits to be received and other benefits provided by us. The Supplemental Plan also provides a death benefit that is calculated as (a) prior to retirement death, which pays the beneficiary 50% of final average annual compensation for a period of 120 months, or (b) post-retirement death, which pays the beneficiary 200% of final average compensation in a single payment. We own life insurance policies on these executives with a current net death benefit of $2,813 at November 24, 2018 and we expect to substantially fund this death benefit through the proceeds received upon the death of the executive. Funding for the remaining cash flows is expected to be provided through operations. There are no benefits payable as a result of a termination of employment for any reason other than death or retirement, other than a change of control provision which provides for the immediate vesting and payment of the retirement benefit under the Supplemental Plan in the event of an employment termination resulting from a change of control.</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3" w:name="page54"/>
    <w:bookmarkEnd w:id="53"/>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Aggregated summarized information for the Supplemental Plan and the LTC Awards, measured as of the end of each year presented,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7260" w:type="dxa"/>
            <w:vAlign w:val="bottom"/>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4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Change in Benefit Obligation:</w:t>
            </w:r>
          </w:p>
        </w:tc>
        <w:tc>
          <w:tcPr>
            <w:tcW w:w="10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tcPr>
          <w:p>
            <w:pPr>
              <w:spacing w:after="0"/>
              <w:rPr>
                <w:sz w:val="20"/>
                <w:szCs w:val="20"/>
                <w:color w:val="auto"/>
              </w:rPr>
            </w:pPr>
            <w:r>
              <w:rPr>
                <w:rFonts w:ascii="Times New Roman" w:cs="Times New Roman" w:eastAsia="Times New Roman" w:hAnsi="Times New Roman"/>
                <w:sz w:val="18"/>
                <w:szCs w:val="18"/>
                <w:color w:val="auto"/>
              </w:rPr>
              <w:t>Projected benefit obligation at beginning of year</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12,322</w:t>
            </w:r>
          </w:p>
        </w:tc>
        <w:tc>
          <w:tcPr>
            <w:tcW w:w="340" w:type="dxa"/>
            <w:vAlign w:val="bottom"/>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11,863</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Service cost</w:t>
            </w:r>
          </w:p>
        </w:tc>
        <w:tc>
          <w:tcPr>
            <w:tcW w:w="10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196</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Interest cost</w:t>
            </w:r>
          </w:p>
        </w:tc>
        <w:tc>
          <w:tcPr>
            <w:tcW w:w="102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418</w:t>
            </w:r>
          </w:p>
        </w:tc>
        <w:tc>
          <w:tcPr>
            <w:tcW w:w="34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Actuarial (gains) losses</w:t>
            </w:r>
          </w:p>
        </w:tc>
        <w:tc>
          <w:tcPr>
            <w:tcW w:w="10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(616)</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Benefits paid</w:t>
            </w:r>
          </w:p>
        </w:tc>
        <w:tc>
          <w:tcPr>
            <w:tcW w:w="10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(668)</w:t>
            </w:r>
          </w:p>
        </w:tc>
        <w:tc>
          <w:tcPr>
            <w:tcW w:w="340" w:type="dxa"/>
            <w:vAlign w:val="bottom"/>
          </w:tcPr>
          <w:p>
            <w:pPr>
              <w:spacing w:after="0"/>
              <w:rPr>
                <w:sz w:val="18"/>
                <w:szCs w:val="18"/>
                <w:color w:val="auto"/>
              </w:rPr>
            </w:pPr>
          </w:p>
        </w:tc>
        <w:tc>
          <w:tcPr>
            <w:tcW w:w="1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6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Projected benefit obligation at end of year</w:t>
            </w:r>
          </w:p>
        </w:tc>
        <w:tc>
          <w:tcPr>
            <w:tcW w:w="102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11,652</w:t>
            </w:r>
          </w:p>
        </w:tc>
        <w:tc>
          <w:tcPr>
            <w:tcW w:w="28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12,322</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60" w:type="dxa"/>
            <w:vAlign w:val="bottom"/>
            <w:tcBorders>
              <w:top w:val="single" w:sz="8" w:color="CCEEFF"/>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72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Benefit Obligation</w:t>
            </w:r>
          </w:p>
        </w:tc>
        <w:tc>
          <w:tcPr>
            <w:tcW w:w="1020" w:type="dxa"/>
            <w:vAlign w:val="bottom"/>
            <w:tcBorders>
              <w:bottom w:val="single" w:sz="8" w:color="auto"/>
            </w:tcBorders>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11,559</w:t>
            </w:r>
          </w:p>
        </w:tc>
        <w:tc>
          <w:tcPr>
            <w:tcW w:w="2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11,531</w:t>
            </w:r>
          </w:p>
        </w:tc>
        <w:tc>
          <w:tcPr>
            <w:tcW w:w="1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7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Discount rate used to value the ending benefit obligations:</w:t>
            </w:r>
          </w:p>
        </w:tc>
        <w:tc>
          <w:tcPr>
            <w:tcW w:w="10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4.00%</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Amounts recognized in the consolidated balance sheet:</w:t>
            </w:r>
          </w:p>
        </w:tc>
        <w:tc>
          <w:tcPr>
            <w:tcW w:w="10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Current liabilities</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798</w:t>
            </w:r>
          </w:p>
        </w:tc>
        <w:tc>
          <w:tcPr>
            <w:tcW w:w="340" w:type="dxa"/>
            <w:vAlign w:val="bottom"/>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Noncurrent liabilities</w:t>
            </w:r>
          </w:p>
        </w:tc>
        <w:tc>
          <w:tcPr>
            <w:tcW w:w="10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10,854</w:t>
            </w: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11,544</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60" w:type="dxa"/>
            <w:vAlign w:val="bottom"/>
            <w:shd w:val="clear" w:color="auto" w:fill="CCEEFF"/>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2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amounts recognized</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11,652</w:t>
            </w:r>
          </w:p>
        </w:tc>
        <w:tc>
          <w:tcPr>
            <w:tcW w:w="280" w:type="dxa"/>
            <w:vAlign w:val="bottom"/>
          </w:tcPr>
          <w:p>
            <w:pPr>
              <w:spacing w:after="0"/>
              <w:rPr>
                <w:sz w:val="18"/>
                <w:szCs w:val="18"/>
                <w:color w:val="auto"/>
              </w:rPr>
            </w:pPr>
          </w:p>
        </w:tc>
        <w:tc>
          <w:tcPr>
            <w:tcW w:w="340" w:type="dxa"/>
            <w:vAlign w:val="bottom"/>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12,322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6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2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Amounts recognized in accumulated other comprehensive income:</w:t>
            </w:r>
          </w:p>
        </w:tc>
        <w:tc>
          <w:tcPr>
            <w:tcW w:w="10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tcPr>
          <w:p>
            <w:pPr>
              <w:spacing w:after="0"/>
              <w:rPr>
                <w:sz w:val="20"/>
                <w:szCs w:val="20"/>
                <w:color w:val="auto"/>
              </w:rPr>
            </w:pPr>
            <w:r>
              <w:rPr>
                <w:rFonts w:ascii="Times New Roman" w:cs="Times New Roman" w:eastAsia="Times New Roman" w:hAnsi="Times New Roman"/>
                <w:sz w:val="18"/>
                <w:szCs w:val="18"/>
                <w:color w:val="auto"/>
              </w:rPr>
              <w:t>Transition obligation</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340" w:type="dxa"/>
            <w:vAlign w:val="bottom"/>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Prior service cost</w:t>
            </w:r>
          </w:p>
        </w:tc>
        <w:tc>
          <w:tcPr>
            <w:tcW w:w="10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806</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858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tcPr>
          <w:p>
            <w:pPr>
              <w:spacing w:after="0"/>
              <w:rPr>
                <w:sz w:val="20"/>
                <w:szCs w:val="20"/>
                <w:color w:val="auto"/>
              </w:rPr>
            </w:pPr>
            <w:r>
              <w:rPr>
                <w:rFonts w:ascii="Times New Roman" w:cs="Times New Roman" w:eastAsia="Times New Roman" w:hAnsi="Times New Roman"/>
                <w:sz w:val="18"/>
                <w:szCs w:val="18"/>
                <w:color w:val="auto"/>
              </w:rPr>
              <w:t>Actuarial loss</w:t>
            </w:r>
          </w:p>
        </w:tc>
        <w:tc>
          <w:tcPr>
            <w:tcW w:w="102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2,408</w:t>
            </w:r>
          </w:p>
        </w:tc>
        <w:tc>
          <w:tcPr>
            <w:tcW w:w="34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3,286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6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amount recognized</w:t>
            </w:r>
          </w:p>
        </w:tc>
        <w:tc>
          <w:tcPr>
            <w:tcW w:w="102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3,214</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4,186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60" w:type="dxa"/>
            <w:vAlign w:val="bottom"/>
            <w:tcBorders>
              <w:top w:val="single" w:sz="8" w:color="CCEEFF"/>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7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recognized in net periodic benefit cost and accumulated other comprehensive income:</w:t>
            </w:r>
          </w:p>
        </w:tc>
        <w:tc>
          <w:tcPr>
            <w:tcW w:w="1020" w:type="dxa"/>
            <w:vAlign w:val="bottom"/>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1,119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26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000" w:type="dxa"/>
            <w:vAlign w:val="bottom"/>
          </w:tcPr>
          <w:p>
            <w:pPr>
              <w:spacing w:after="0"/>
              <w:rPr>
                <w:sz w:val="20"/>
                <w:szCs w:val="20"/>
                <w:color w:val="auto"/>
              </w:rPr>
            </w:pPr>
          </w:p>
        </w:tc>
        <w:tc>
          <w:tcPr>
            <w:tcW w:w="16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2018</w:t>
            </w:r>
          </w:p>
        </w:tc>
        <w:tc>
          <w:tcPr>
            <w:tcW w:w="4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Components of Net Periodic Pension Cost:</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Times New Roman" w:cs="Times New Roman" w:eastAsia="Times New Roman" w:hAnsi="Times New Roman"/>
                <w:sz w:val="18"/>
                <w:szCs w:val="18"/>
                <w:color w:val="auto"/>
              </w:rPr>
              <w:t>Service cost</w:t>
            </w:r>
          </w:p>
        </w:tc>
        <w:tc>
          <w:tcPr>
            <w:tcW w:w="1640" w:type="dxa"/>
            <w:vAlign w:val="bottom"/>
            <w:gridSpan w:val="2"/>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196</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146</w:t>
            </w:r>
          </w:p>
        </w:tc>
        <w:tc>
          <w:tcPr>
            <w:tcW w:w="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105</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cost</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418</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423</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374</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transition obligation</w:t>
            </w: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42</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42</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prior service cost</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126</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other loss</w:t>
            </w: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262</w:t>
            </w:r>
          </w:p>
        </w:tc>
        <w:tc>
          <w:tcPr>
            <w:tcW w:w="34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323</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195</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Net periodic pension cost</w:t>
            </w:r>
          </w:p>
        </w:tc>
        <w:tc>
          <w:tcPr>
            <w:tcW w:w="1640" w:type="dxa"/>
            <w:vAlign w:val="bottom"/>
            <w:gridSpan w:val="2"/>
          </w:tcPr>
          <w:p>
            <w:pPr>
              <w:ind w:left="62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1,044</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934</w:t>
            </w:r>
          </w:p>
        </w:tc>
        <w:tc>
          <w:tcPr>
            <w:tcW w:w="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716</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50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Assumptions used to determine net periodic pension cost:</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Times New Roman" w:cs="Times New Roman" w:eastAsia="Times New Roman" w:hAnsi="Times New Roman"/>
                <w:sz w:val="18"/>
                <w:szCs w:val="18"/>
                <w:color w:val="auto"/>
              </w:rPr>
              <w:t>Discount rate</w:t>
            </w: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3.50%</w:t>
            </w:r>
          </w:p>
        </w:tc>
        <w:tc>
          <w:tcPr>
            <w:tcW w:w="340" w:type="dxa"/>
            <w:vAlign w:val="bottom"/>
          </w:tcPr>
          <w:p>
            <w:pPr>
              <w:spacing w:after="0"/>
              <w:rPr>
                <w:sz w:val="18"/>
                <w:szCs w:val="18"/>
                <w:color w:val="auto"/>
              </w:rPr>
            </w:pPr>
          </w:p>
        </w:tc>
        <w:tc>
          <w:tcPr>
            <w:tcW w:w="13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3.75%</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3.75%</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Increase in future compensation levels</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3.00%</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3.00%</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3.00%</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50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Estimated Future Benefit Payments (with mortality):</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Fiscal 2019</w:t>
            </w: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798</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Fiscal 2020</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748</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Fiscal 2021</w:t>
            </w: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698</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Fiscal 2022</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1,003</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Fiscal 2023</w:t>
            </w:r>
          </w:p>
        </w:tc>
        <w:tc>
          <w:tcPr>
            <w:tcW w:w="6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948</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Fiscal 2024 through 2028</w:t>
            </w:r>
          </w:p>
        </w:tc>
        <w:tc>
          <w:tcPr>
            <w:tcW w:w="6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3,935</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000" w:type="dxa"/>
            <w:vAlign w:val="bottom"/>
          </w:tcPr>
          <w:p>
            <w:pPr>
              <w:spacing w:after="0"/>
              <w:rPr>
                <w:sz w:val="24"/>
                <w:szCs w:val="24"/>
                <w:color w:val="auto"/>
              </w:rPr>
            </w:pPr>
          </w:p>
        </w:tc>
        <w:tc>
          <w:tcPr>
            <w:tcW w:w="164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51</w:t>
            </w: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500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Of the $3,214 recognized in accumulated other comprehensive income at November 24, 2018, amounts expected to be recognized as components of net periodic pension cost during fiscal 2019 are as follows:</w:t>
      </w:r>
    </w:p>
    <w:p>
      <w:pPr>
        <w:spacing w:after="0" w:line="180" w:lineRule="exact"/>
        <w:rPr>
          <w:sz w:val="20"/>
          <w:szCs w:val="20"/>
          <w:color w:val="auto"/>
        </w:rPr>
      </w:pPr>
    </w:p>
    <w:tbl>
      <w:tblPr>
        <w:tblLayout w:type="fixed"/>
        <w:tblInd w:w="1300" w:type="dxa"/>
        <w:tblCellMar>
          <w:top w:w="0" w:type="dxa"/>
          <w:left w:w="0" w:type="dxa"/>
          <w:bottom w:w="0" w:type="dxa"/>
          <w:right w:w="0" w:type="dxa"/>
        </w:tblCellMar>
      </w:tblPr>
      <w:tr>
        <w:trPr>
          <w:trHeight w:val="216"/>
        </w:trPr>
        <w:tc>
          <w:tcPr>
            <w:tcW w:w="8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Prior service cost</w:t>
            </w:r>
          </w:p>
        </w:tc>
        <w:tc>
          <w:tcPr>
            <w:tcW w:w="680" w:type="dxa"/>
            <w:vAlign w:val="bottom"/>
            <w:shd w:val="clear" w:color="auto" w:fill="CCEEFF"/>
          </w:tcPr>
          <w:p>
            <w:pPr>
              <w:jc w:val="right"/>
              <w:ind w:right="4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spacing w:after="0"/>
              <w:rPr>
                <w:sz w:val="20"/>
                <w:szCs w:val="20"/>
                <w:color w:val="auto"/>
              </w:rPr>
            </w:pPr>
            <w:r>
              <w:rPr>
                <w:rFonts w:ascii="Times New Roman" w:cs="Times New Roman" w:eastAsia="Times New Roman" w:hAnsi="Times New Roman"/>
                <w:sz w:val="18"/>
                <w:szCs w:val="18"/>
                <w:color w:val="auto"/>
              </w:rPr>
              <w:t>Other loss</w:t>
            </w:r>
          </w:p>
        </w:tc>
        <w:tc>
          <w:tcPr>
            <w:tcW w:w="6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184</w:t>
            </w:r>
          </w:p>
        </w:tc>
        <w:tc>
          <w:tcPr>
            <w:tcW w:w="100" w:type="dxa"/>
            <w:vAlign w:val="bottom"/>
          </w:tcPr>
          <w:p>
            <w:pPr>
              <w:spacing w:after="0"/>
              <w:rPr>
                <w:sz w:val="18"/>
                <w:szCs w:val="18"/>
                <w:color w:val="auto"/>
              </w:rPr>
            </w:pPr>
          </w:p>
        </w:tc>
      </w:tr>
      <w:tr>
        <w:trPr>
          <w:trHeight w:val="210"/>
        </w:trPr>
        <w:tc>
          <w:tcPr>
            <w:tcW w:w="80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spacing w:after="0"/>
              <w:rPr>
                <w:sz w:val="20"/>
                <w:szCs w:val="20"/>
                <w:color w:val="auto"/>
              </w:rPr>
            </w:pPr>
            <w:r>
              <w:rPr>
                <w:rFonts w:ascii="Times New Roman" w:cs="Times New Roman" w:eastAsia="Times New Roman" w:hAnsi="Times New Roman"/>
                <w:sz w:val="18"/>
                <w:szCs w:val="18"/>
                <w:color w:val="auto"/>
              </w:rPr>
              <w:t>Total expected to be amortized to net periodic pension cost in 2019</w:t>
            </w:r>
          </w:p>
        </w:tc>
        <w:tc>
          <w:tcPr>
            <w:tcW w:w="68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310</w:t>
            </w:r>
          </w:p>
        </w:tc>
        <w:tc>
          <w:tcPr>
            <w:tcW w:w="100" w:type="dxa"/>
            <w:vAlign w:val="bottom"/>
          </w:tcPr>
          <w:p>
            <w:pPr>
              <w:spacing w:after="0"/>
              <w:rPr>
                <w:sz w:val="18"/>
                <w:szCs w:val="18"/>
                <w:color w:val="auto"/>
              </w:rPr>
            </w:pPr>
          </w:p>
        </w:tc>
      </w:tr>
      <w:tr>
        <w:trPr>
          <w:trHeight w:val="20"/>
        </w:trPr>
        <w:tc>
          <w:tcPr>
            <w:tcW w:w="80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net periodic pension cost other than the service cost component are included in other loss, net in our consolidated statements of income.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Deferred Compensation Plan</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an unfunded Deferred Compensation Plan that covers one current and certain former executives and provides for voluntary deferral of compensation. This plan has been frozen with no additional participants or benefits permitted. We recognized expense of $216, $216, and $228 in fiscal 2018, 2017, and 2016, respectively, associated with the plan. Our liability under this plan was $1,837 and $1,916 as of November 24, 2018 and November 25, 2017, respectively. The non-current portion of this obligation is included in post-employment benefit obligations in our consolidated balance sheets, with the current portion included in accrued compensation and benefits.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Defined Contribution Plan</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 qualified defined contribution plan (Employee Savings/Retirement Plan) that covers substantially all employees who elect to participate and have fulfilled the necessary service requirements. Employee contributions to the Plan are matched at the rate of 25% of up to 8% of gross pay, regardless of years of service. Expense for employer matching contributions was $1,128, $1,068 and $865 during fiscal 2018, 2017 and 2016, respectively. The increase in contribution expense for fiscal 2018 over fiscal 2017 was largely due to a larger contribution base due to general compensation level increases. The increase in contribution expense for fiscal 2017 over fiscal 2016 was largely due to a larger contribution base due to increased incentive compensation.</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Accumulated Other Comprehensive Loss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activity in accumulated other comprehensive loss for the fiscal years ended November 24, 2018 and November 25, 2017, which is comprised solely of post-retirement benefit costs related to our SERP and LTC Awards, is as follows:</w:t>
      </w:r>
    </w:p>
    <w:p>
      <w:pPr>
        <w:sectPr>
          <w:pgSz w:w="11900" w:h="16838" w:orient="portrait"/>
          <w:cols w:equalWidth="0" w:num="1">
            <w:col w:w="11420"/>
          </w:cols>
          <w:pgMar w:left="240" w:top="576" w:right="239" w:bottom="1440" w:gutter="0" w:footer="0" w:header="0"/>
        </w:sectPr>
      </w:pPr>
    </w:p>
    <w:p>
      <w:pPr>
        <w:spacing w:after="0" w:line="378"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Balance at November 26,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-119380</wp:posOffset>
            </wp:positionV>
            <wp:extent cx="5797550" cy="1371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97550" cy="137160"/>
                    </a:xfrm>
                    <a:prstGeom prst="rect">
                      <a:avLst/>
                    </a:prstGeom>
                    <a:noFill/>
                  </pic:spPr>
                </pic:pic>
              </a:graphicData>
            </a:graphic>
          </wp:anchor>
        </w:drawing>
      </w:r>
    </w:p>
    <w:p>
      <w:pPr>
        <w:spacing w:after="0" w:line="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Recognition of prior service cost</w:t>
      </w:r>
    </w:p>
    <w:p>
      <w:pPr>
        <w:spacing w:after="0" w:line="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Actuarial gains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-130810</wp:posOffset>
            </wp:positionV>
            <wp:extent cx="5797550" cy="1371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797550" cy="137160"/>
                    </a:xfrm>
                    <a:prstGeom prst="rect">
                      <a:avLst/>
                    </a:prstGeom>
                    <a:noFill/>
                  </pic:spPr>
                </pic:pic>
              </a:graphicData>
            </a:graphic>
          </wp:anchor>
        </w:drawing>
      </w:r>
    </w:p>
    <w:p>
      <w:pPr>
        <w:ind w:left="1300" w:right="860"/>
        <w:spacing w:after="0" w:line="258" w:lineRule="auto"/>
        <w:rPr>
          <w:sz w:val="20"/>
          <w:szCs w:val="20"/>
          <w:color w:val="auto"/>
        </w:rPr>
      </w:pPr>
      <w:r>
        <w:rPr>
          <w:rFonts w:ascii="Times New Roman" w:cs="Times New Roman" w:eastAsia="Times New Roman" w:hAnsi="Times New Roman"/>
          <w:sz w:val="18"/>
          <w:szCs w:val="18"/>
          <w:color w:val="auto"/>
        </w:rPr>
        <w:t>Net pension amortization reclassified from accumulated other comprehensive loss Tax effects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-144780</wp:posOffset>
            </wp:positionV>
            <wp:extent cx="5797550" cy="1460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797550" cy="146050"/>
                    </a:xfrm>
                    <a:prstGeom prst="rect">
                      <a:avLst/>
                    </a:prstGeom>
                    <a:noFill/>
                  </pic:spPr>
                </pic:pic>
              </a:graphicData>
            </a:graphic>
          </wp:anchor>
        </w:drawing>
      </w:r>
    </w:p>
    <w:p>
      <w:pPr>
        <w:ind w:left="1300"/>
        <w:spacing w:after="0"/>
        <w:rPr>
          <w:sz w:val="20"/>
          <w:szCs w:val="20"/>
          <w:color w:val="auto"/>
        </w:rPr>
      </w:pPr>
      <w:r>
        <w:rPr>
          <w:rFonts w:ascii="Times New Roman" w:cs="Times New Roman" w:eastAsia="Times New Roman" w:hAnsi="Times New Roman"/>
          <w:sz w:val="18"/>
          <w:szCs w:val="18"/>
          <w:color w:val="auto"/>
        </w:rPr>
        <w:t>Balance at November 25, 2017</w:t>
      </w:r>
    </w:p>
    <w:p>
      <w:pPr>
        <w:ind w:left="1300"/>
        <w:spacing w:after="0" w:line="186" w:lineRule="auto"/>
        <w:rPr>
          <w:sz w:val="20"/>
          <w:szCs w:val="20"/>
          <w:color w:val="auto"/>
        </w:rPr>
      </w:pPr>
      <w:r>
        <w:rPr>
          <w:rFonts w:ascii="Times New Roman" w:cs="Times New Roman" w:eastAsia="Times New Roman" w:hAnsi="Times New Roman"/>
          <w:sz w:val="18"/>
          <w:szCs w:val="18"/>
          <w:color w:val="auto"/>
        </w:rPr>
        <w:t xml:space="preserve">Reclassification of certain tax effects to retained earnings </w:t>
      </w:r>
      <w:r>
        <w:rPr>
          <w:rFonts w:ascii="Times New Roman" w:cs="Times New Roman" w:eastAsia="Times New Roman" w:hAnsi="Times New Roman"/>
          <w:sz w:val="30"/>
          <w:szCs w:val="30"/>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-163195</wp:posOffset>
            </wp:positionV>
            <wp:extent cx="5797550" cy="16319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97550" cy="163195"/>
                    </a:xfrm>
                    <a:prstGeom prst="rect">
                      <a:avLst/>
                    </a:prstGeom>
                    <a:noFill/>
                  </pic:spPr>
                </pic:pic>
              </a:graphicData>
            </a:graphic>
          </wp:anchor>
        </w:drawing>
      </w:r>
    </w:p>
    <w:p>
      <w:pPr>
        <w:ind w:left="1300"/>
        <w:spacing w:after="0"/>
        <w:rPr>
          <w:sz w:val="20"/>
          <w:szCs w:val="20"/>
          <w:color w:val="auto"/>
        </w:rPr>
      </w:pPr>
      <w:r>
        <w:rPr>
          <w:rFonts w:ascii="Times New Roman" w:cs="Times New Roman" w:eastAsia="Times New Roman" w:hAnsi="Times New Roman"/>
          <w:sz w:val="18"/>
          <w:szCs w:val="18"/>
          <w:color w:val="auto"/>
        </w:rPr>
        <w:t>Actuarial gains</w:t>
      </w:r>
    </w:p>
    <w:p>
      <w:pPr>
        <w:spacing w:after="0" w:line="7" w:lineRule="exact"/>
        <w:rPr>
          <w:sz w:val="20"/>
          <w:szCs w:val="20"/>
          <w:color w:val="auto"/>
        </w:rPr>
      </w:pPr>
    </w:p>
    <w:p>
      <w:pPr>
        <w:ind w:left="1300" w:right="860"/>
        <w:spacing w:after="0" w:line="271" w:lineRule="auto"/>
        <w:rPr>
          <w:sz w:val="20"/>
          <w:szCs w:val="20"/>
          <w:color w:val="auto"/>
        </w:rPr>
      </w:pPr>
      <w:r>
        <w:rPr>
          <w:rFonts w:ascii="Times New Roman" w:cs="Times New Roman" w:eastAsia="Times New Roman" w:hAnsi="Times New Roman"/>
          <w:sz w:val="18"/>
          <w:szCs w:val="18"/>
          <w:color w:val="auto"/>
        </w:rPr>
        <w:t>Net pension amortization reclassified from accumulated other comprehensive loss Tax effects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-295910</wp:posOffset>
            </wp:positionV>
            <wp:extent cx="5797550" cy="1371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797550" cy="137160"/>
                    </a:xfrm>
                    <a:prstGeom prst="rect">
                      <a:avLst/>
                    </a:prstGeom>
                    <a:noFill/>
                  </pic:spPr>
                </pic:pic>
              </a:graphicData>
            </a:graphic>
          </wp:anchor>
        </w:drawing>
        <w:drawing>
          <wp:anchor simplePos="0" relativeHeight="251657728" behindDoc="1" locked="0" layoutInCell="0" allowOverlap="1">
            <wp:simplePos x="0" y="0"/>
            <wp:positionH relativeFrom="column">
              <wp:posOffset>828675</wp:posOffset>
            </wp:positionH>
            <wp:positionV relativeFrom="paragraph">
              <wp:posOffset>-13335</wp:posOffset>
            </wp:positionV>
            <wp:extent cx="5797550" cy="16319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797550" cy="163195"/>
                    </a:xfrm>
                    <a:prstGeom prst="rect">
                      <a:avLst/>
                    </a:prstGeom>
                    <a:noFill/>
                  </pic:spPr>
                </pic:pic>
              </a:graphicData>
            </a:graphic>
          </wp:anchor>
        </w:drawing>
      </w:r>
    </w:p>
    <w:p>
      <w:pPr>
        <w:ind w:left="1300"/>
        <w:spacing w:after="0"/>
        <w:rPr>
          <w:sz w:val="20"/>
          <w:szCs w:val="20"/>
          <w:color w:val="auto"/>
        </w:rPr>
      </w:pPr>
      <w:r>
        <w:rPr>
          <w:rFonts w:ascii="Times New Roman" w:cs="Times New Roman" w:eastAsia="Times New Roman" w:hAnsi="Times New Roman"/>
          <w:sz w:val="18"/>
          <w:szCs w:val="18"/>
          <w:color w:val="auto"/>
        </w:rPr>
        <w:t>Balance at November 24, 2018</w:t>
      </w:r>
    </w:p>
    <w:p>
      <w:pPr>
        <w:spacing w:after="0" w:line="20" w:lineRule="exact"/>
        <w:rPr>
          <w:sz w:val="20"/>
          <w:szCs w:val="20"/>
          <w:color w:val="auto"/>
        </w:rPr>
      </w:pPr>
      <w:r>
        <w:rPr>
          <w:sz w:val="20"/>
          <w:szCs w:val="20"/>
          <w:color w:val="auto"/>
        </w:rPr>
        <w:br w:type="column"/>
      </w:r>
    </w:p>
    <w:p>
      <w:pPr>
        <w:spacing w:after="0" w:line="358" w:lineRule="exact"/>
        <w:rPr>
          <w:sz w:val="20"/>
          <w:szCs w:val="20"/>
          <w:color w:val="auto"/>
        </w:rPr>
      </w:pPr>
    </w:p>
    <w:p>
      <w:pPr>
        <w:ind w:left="1080" w:hanging="1080"/>
        <w:spacing w:after="0"/>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(2,553)</w:t>
      </w:r>
    </w:p>
    <w:p>
      <w:pPr>
        <w:spacing w:after="0" w:line="27" w:lineRule="exact"/>
        <w:rPr>
          <w:rFonts w:ascii="Times New Roman" w:cs="Times New Roman" w:eastAsia="Times New Roman" w:hAnsi="Times New Roman"/>
          <w:sz w:val="18"/>
          <w:szCs w:val="18"/>
          <w:color w:val="auto"/>
        </w:rPr>
      </w:pPr>
    </w:p>
    <w:p>
      <w:pPr>
        <w:ind w:left="12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(932)</w:t>
      </w:r>
    </w:p>
    <w:p>
      <w:pPr>
        <w:spacing w:after="0" w:line="9" w:lineRule="exact"/>
        <w:rPr>
          <w:rFonts w:ascii="Times New Roman" w:cs="Times New Roman" w:eastAsia="Times New Roman" w:hAnsi="Times New Roman"/>
          <w:sz w:val="18"/>
          <w:szCs w:val="18"/>
          <w:color w:val="auto"/>
        </w:rPr>
      </w:pPr>
    </w:p>
    <w:p>
      <w:pPr>
        <w:ind w:left="12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448</w:t>
      </w:r>
    </w:p>
    <w:p>
      <w:pPr>
        <w:spacing w:after="0" w:line="9" w:lineRule="exact"/>
        <w:rPr>
          <w:rFonts w:ascii="Times New Roman" w:cs="Times New Roman" w:eastAsia="Times New Roman" w:hAnsi="Times New Roman"/>
          <w:sz w:val="18"/>
          <w:szCs w:val="18"/>
          <w:color w:val="auto"/>
        </w:rPr>
      </w:pPr>
    </w:p>
    <w:p>
      <w:pPr>
        <w:ind w:left="12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447</w:t>
      </w:r>
    </w:p>
    <w:p>
      <w:pPr>
        <w:spacing w:after="0" w:line="9" w:lineRule="exact"/>
        <w:rPr>
          <w:rFonts w:ascii="Times New Roman" w:cs="Times New Roman" w:eastAsia="Times New Roman" w:hAnsi="Times New Roman"/>
          <w:sz w:val="18"/>
          <w:szCs w:val="18"/>
          <w:color w:val="auto"/>
        </w:rPr>
      </w:pPr>
    </w:p>
    <w:p>
      <w:pPr>
        <w:ind w:left="13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20</w:t>
      </w:r>
    </w:p>
    <w:p>
      <w:pPr>
        <w:spacing w:after="0" w:line="9" w:lineRule="exact"/>
        <w:rPr>
          <w:sz w:val="20"/>
          <w:szCs w:val="20"/>
          <w:color w:val="auto"/>
        </w:rPr>
      </w:pPr>
    </w:p>
    <w:p>
      <w:pPr>
        <w:jc w:val="right"/>
        <w:ind w:right="1000"/>
        <w:spacing w:after="0"/>
        <w:rPr>
          <w:sz w:val="20"/>
          <w:szCs w:val="20"/>
          <w:color w:val="auto"/>
        </w:rPr>
      </w:pPr>
      <w:r>
        <w:rPr>
          <w:rFonts w:ascii="Times New Roman" w:cs="Times New Roman" w:eastAsia="Times New Roman" w:hAnsi="Times New Roman"/>
          <w:sz w:val="18"/>
          <w:szCs w:val="18"/>
          <w:color w:val="auto"/>
        </w:rPr>
        <w:t>(2,570)</w:t>
      </w:r>
    </w:p>
    <w:p>
      <w:pPr>
        <w:spacing w:after="0" w:line="45" w:lineRule="exact"/>
        <w:rPr>
          <w:sz w:val="20"/>
          <w:szCs w:val="20"/>
          <w:color w:val="auto"/>
        </w:rPr>
      </w:pPr>
    </w:p>
    <w:p>
      <w:pPr>
        <w:jc w:val="right"/>
        <w:ind w:right="1000"/>
        <w:spacing w:after="0"/>
        <w:rPr>
          <w:sz w:val="20"/>
          <w:szCs w:val="20"/>
          <w:color w:val="auto"/>
        </w:rPr>
      </w:pPr>
      <w:r>
        <w:rPr>
          <w:rFonts w:ascii="Times New Roman" w:cs="Times New Roman" w:eastAsia="Times New Roman" w:hAnsi="Times New Roman"/>
          <w:sz w:val="18"/>
          <w:szCs w:val="18"/>
          <w:color w:val="auto"/>
        </w:rPr>
        <w:t>(545)</w:t>
      </w:r>
    </w:p>
    <w:p>
      <w:pPr>
        <w:spacing w:after="0" w:line="27"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18"/>
          <w:szCs w:val="18"/>
          <w:color w:val="auto"/>
        </w:rPr>
        <w:t>616</w:t>
      </w:r>
    </w:p>
    <w:p>
      <w:pPr>
        <w:spacing w:after="0" w:line="9"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18"/>
          <w:szCs w:val="18"/>
          <w:color w:val="auto"/>
        </w:rPr>
        <w:t>430</w:t>
      </w:r>
    </w:p>
    <w:p>
      <w:pPr>
        <w:spacing w:after="0" w:line="9" w:lineRule="exact"/>
        <w:rPr>
          <w:sz w:val="20"/>
          <w:szCs w:val="20"/>
          <w:color w:val="auto"/>
        </w:rPr>
      </w:pPr>
    </w:p>
    <w:p>
      <w:pPr>
        <w:jc w:val="right"/>
        <w:ind w:right="1000"/>
        <w:spacing w:after="0"/>
        <w:rPr>
          <w:sz w:val="20"/>
          <w:szCs w:val="20"/>
          <w:color w:val="auto"/>
        </w:rPr>
      </w:pPr>
      <w:r>
        <w:rPr>
          <w:rFonts w:ascii="Times New Roman" w:cs="Times New Roman" w:eastAsia="Times New Roman" w:hAnsi="Times New Roman"/>
          <w:sz w:val="18"/>
          <w:szCs w:val="18"/>
          <w:color w:val="auto"/>
        </w:rPr>
        <w:t>(269)</w:t>
      </w:r>
    </w:p>
    <w:p>
      <w:pPr>
        <w:spacing w:after="0" w:line="9" w:lineRule="exact"/>
        <w:rPr>
          <w:sz w:val="20"/>
          <w:szCs w:val="20"/>
          <w:color w:val="auto"/>
        </w:rPr>
      </w:pPr>
    </w:p>
    <w:p>
      <w:pPr>
        <w:ind w:left="1080" w:hanging="1080"/>
        <w:spacing w:after="0"/>
        <w:tabs>
          <w:tab w:leader="none" w:pos="10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(2,338)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-130810</wp:posOffset>
            </wp:positionV>
            <wp:extent cx="98615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986155" cy="8890"/>
                    </a:xfrm>
                    <a:prstGeom prst="rect">
                      <a:avLst/>
                    </a:prstGeom>
                    <a:noFill/>
                  </pic:spPr>
                </pic:pic>
              </a:graphicData>
            </a:graphic>
          </wp:anchor>
        </w:drawing>
      </w:r>
    </w:p>
    <w:p>
      <w:pPr>
        <w:spacing w:after="0" w:line="235" w:lineRule="exact"/>
        <w:rPr>
          <w:sz w:val="20"/>
          <w:szCs w:val="20"/>
          <w:color w:val="auto"/>
        </w:rPr>
      </w:pPr>
    </w:p>
    <w:p>
      <w:pPr>
        <w:sectPr>
          <w:pgSz w:w="11900" w:h="16838" w:orient="portrait"/>
          <w:cols w:equalWidth="0" w:num="2">
            <w:col w:w="8080" w:space="720"/>
            <w:col w:w="2620"/>
          </w:cols>
          <w:pgMar w:left="240" w:top="576" w:right="239" w:bottom="1440" w:gutter="0" w:footer="0" w:header="0"/>
          <w:type w:val="continuous"/>
        </w:sectPr>
      </w:pPr>
    </w:p>
    <w:p>
      <w:pPr>
        <w:spacing w:after="0" w:line="25" w:lineRule="exact"/>
        <w:rPr>
          <w:sz w:val="20"/>
          <w:szCs w:val="20"/>
          <w:color w:val="auto"/>
        </w:rPr>
      </w:pPr>
    </w:p>
    <w:p>
      <w:pPr>
        <w:ind w:left="1300" w:right="580" w:firstLine="5"/>
        <w:spacing w:after="0" w:line="282" w:lineRule="auto"/>
        <w:tabs>
          <w:tab w:leader="none" w:pos="156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Note 2 regarding the adoption of ASU 2018-02 which resulted in the transfer of certain tax effects carried over from prior years to retained earnings as of the beginning of fiscal 2018.</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type w:val="continuous"/>
        </w:sectPr>
      </w:pPr>
    </w:p>
    <w:bookmarkStart w:id="55" w:name="page56"/>
    <w:bookmarkEnd w:id="55"/>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Capital Stock and Stock Compensation</w:t>
      </w:r>
    </w:p>
    <w:p>
      <w:pPr>
        <w:spacing w:after="0" w:line="22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color w:val="auto"/>
        </w:rPr>
        <w:t xml:space="preserve">We account for our stock-based employee and director compensation plans in accordance with ASC 718, </w:t>
      </w:r>
      <w:r>
        <w:rPr>
          <w:rFonts w:ascii="Times New Roman" w:cs="Times New Roman" w:eastAsia="Times New Roman" w:hAnsi="Times New Roman"/>
          <w:sz w:val="18"/>
          <w:szCs w:val="18"/>
          <w:i w:val="1"/>
          <w:iCs w:val="1"/>
          <w:color w:val="auto"/>
        </w:rPr>
        <w:t>Compensation – Stock Compensation</w:t>
      </w:r>
      <w:r>
        <w:rPr>
          <w:rFonts w:ascii="Times New Roman" w:cs="Times New Roman" w:eastAsia="Times New Roman" w:hAnsi="Times New Roman"/>
          <w:sz w:val="18"/>
          <w:szCs w:val="18"/>
          <w:color w:val="auto"/>
        </w:rPr>
        <w:t>. ASC 718 requires recognition of the cost of employee services received in exchange for an award of equity instruments in the financial statements over the period the employee is required to perform the services in exchange for the award (presumptively the vesting period) which we recognize on a straight-line basis. Compensation expense related to restricted stock and stock options included in selling, general and administrative expenses in our consolidated statements of income for fiscal 2018, 2017 and 2016 was as follows:</w:t>
      </w:r>
    </w:p>
    <w:p>
      <w:pPr>
        <w:spacing w:after="0" w:line="178"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8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b w:val="1"/>
                <w:bCs w:val="1"/>
                <w:color w:val="auto"/>
              </w:rPr>
              <w:t>2018</w:t>
            </w:r>
          </w:p>
        </w:tc>
        <w:tc>
          <w:tcPr>
            <w:tcW w:w="5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 based compensation expense</w:t>
            </w:r>
          </w:p>
        </w:tc>
        <w:tc>
          <w:tcPr>
            <w:tcW w:w="1820" w:type="dxa"/>
            <w:vAlign w:val="bottom"/>
            <w:gridSpan w:val="2"/>
            <w:shd w:val="clear" w:color="auto" w:fill="CCEEFF"/>
          </w:tcPr>
          <w:p>
            <w:pPr>
              <w:jc w:val="right"/>
              <w:ind w:right="98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1,133</w:t>
            </w:r>
          </w:p>
        </w:tc>
        <w:tc>
          <w:tcPr>
            <w:tcW w:w="340" w:type="dxa"/>
            <w:vAlign w:val="bottom"/>
            <w:shd w:val="clear" w:color="auto" w:fill="CCEEFF"/>
          </w:tcPr>
          <w:p>
            <w:pPr>
              <w:jc w:val="right"/>
              <w:ind w:right="175"/>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1,028</w:t>
            </w:r>
          </w:p>
        </w:tc>
        <w:tc>
          <w:tcPr>
            <w:tcW w:w="5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903</w:t>
            </w: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Incentive Stock Compensation Plans</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On April 14, 2010, our shareholders approved the Bassett Furniture Industries, Incorporated 2010 Stock Incentive Plan which was amended and restated effective January 13, 2016 (the “2010 Plan”). All present and future non-employee directors, key employees and outside consultants for the Company are eligible to receive incentive awards under the 2010 Plan. Our Organization, Compensation and Nominating Committee (the “Compensation Committee”) selects eligible key employees and outside consultants to receive awards under the 2010 Plan in its discretion. Our Board of Directors or any committee designated by the Board of Directors selects eligible non-employee directors to receive awards under the 2010 Plan in its discretion. 1,250,000 shares of common stock are reserved for issuance under the 2010 Plan as amended. Participants may receive the following types of incentive awards under the 2010 Plan: stock options, stock appreciation rights, payment shares, restricted stock, restricted stock units and performance shares. Stock options may be incentive stock options or non-qualified stock options. Stock appreciation rights may be granted in tandem with stock options or as a freestanding award. Non-employee directors and outside consultants are eligible to receive restricted stock and restricted stock units only. We expect to issue new common stock upon the exercise of options.</w:t>
      </w:r>
    </w:p>
    <w:p>
      <w:pPr>
        <w:spacing w:after="0" w:line="18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fair value of each option award is estimated on the date of grant using the Black-Scholes option pricing model. The risk free rate is based on the U.S. Treasury rate for the expected life at the time of grant, volatility is based on the average long-term implied volatilities of peer companies, the expected life is based on the estimated average of the life of options using the simplified method. Forfeitures are recognized as they occur. We utilize the simplified method to determine the expected life of our options due to insufficient exercise activity during recent years as a basis from which to estimate future exercise patterns.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Stock Options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new grants of options made in 2018, 2017 or 2016.</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outstanding options under our plans during the year ended November 24, 2018 were as follows: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7"/>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Exercise Price</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860" w:type="dxa"/>
            <w:vAlign w:val="bottom"/>
          </w:tcPr>
          <w:p>
            <w:pPr>
              <w:spacing w:after="0"/>
              <w:rPr>
                <w:sz w:val="20"/>
                <w:szCs w:val="20"/>
                <w:color w:val="auto"/>
              </w:rPr>
            </w:pP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Number of Shares</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Per Share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November 25, 2017</w:t>
            </w: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11,750</w:t>
            </w:r>
          </w:p>
        </w:tc>
        <w:tc>
          <w:tcPr>
            <w:tcW w:w="1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Granted</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Exercised</w:t>
            </w:r>
          </w:p>
        </w:tc>
        <w:tc>
          <w:tcPr>
            <w:tcW w:w="16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(3,400)</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Forfeited/Expired</w:t>
            </w: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68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November 24, 2018</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8,350</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8.02</w:t>
            </w:r>
          </w:p>
        </w:tc>
        <w:tc>
          <w:tcPr>
            <w:tcW w:w="0" w:type="dxa"/>
            <w:vAlign w:val="bottom"/>
          </w:tcPr>
          <w:p>
            <w:pPr>
              <w:spacing w:after="0"/>
              <w:rPr>
                <w:sz w:val="1"/>
                <w:szCs w:val="1"/>
                <w:color w:val="auto"/>
              </w:rPr>
            </w:pPr>
          </w:p>
        </w:tc>
      </w:tr>
      <w:tr>
        <w:trPr>
          <w:trHeight w:val="197"/>
        </w:trPr>
        <w:tc>
          <w:tcPr>
            <w:tcW w:w="688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Exercisable at November 24, 2018</w:t>
            </w:r>
          </w:p>
        </w:tc>
        <w:tc>
          <w:tcPr>
            <w:tcW w:w="15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8,350</w:t>
            </w:r>
          </w:p>
        </w:tc>
        <w:tc>
          <w:tcPr>
            <w:tcW w:w="120" w:type="dxa"/>
            <w:vAlign w:val="bottom"/>
          </w:tcPr>
          <w:p>
            <w:pPr>
              <w:spacing w:after="0"/>
              <w:rPr>
                <w:sz w:val="17"/>
                <w:szCs w:val="17"/>
                <w:color w:val="auto"/>
              </w:rPr>
            </w:pPr>
          </w:p>
        </w:tc>
        <w:tc>
          <w:tcPr>
            <w:tcW w:w="240" w:type="dxa"/>
            <w:vAlign w:val="bottom"/>
            <w:gridSpan w:val="2"/>
          </w:tcPr>
          <w:p>
            <w:pPr>
              <w:jc w:val="right"/>
              <w:ind w:right="80"/>
              <w:spacing w:after="0" w:line="196" w:lineRule="exact"/>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tcPr>
          <w:p>
            <w:pPr>
              <w:jc w:val="right"/>
              <w:ind w:right="100"/>
              <w:spacing w:after="0" w:line="196" w:lineRule="exact"/>
              <w:rPr>
                <w:sz w:val="20"/>
                <w:szCs w:val="20"/>
                <w:color w:val="auto"/>
              </w:rPr>
            </w:pPr>
            <w:r>
              <w:rPr>
                <w:rFonts w:ascii="Times New Roman" w:cs="Times New Roman" w:eastAsia="Times New Roman" w:hAnsi="Times New Roman"/>
                <w:sz w:val="18"/>
                <w:szCs w:val="18"/>
                <w:color w:val="auto"/>
              </w:rPr>
              <w:t>8.02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All remaining options outstanding at November 24, 2018 are exercisable at $8.02 per share with a remaining contractual life of 2.6 years and an aggregate intrinsic value of $102. There were no non-vested options outstanding under our plans during the year ended November 24, 2018.</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6" w:name="page57"/>
    <w:bookmarkEnd w:id="56"/>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Additional information regarding activity in our stock options during fiscal 2018, 2017 and 2016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114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36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intrinsic value of options exercised</w:t>
            </w:r>
          </w:p>
        </w:tc>
        <w:tc>
          <w:tcPr>
            <w:tcW w:w="1140" w:type="dxa"/>
            <w:vAlign w:val="bottom"/>
            <w:shd w:val="clear" w:color="auto" w:fill="CCEEFF"/>
          </w:tcPr>
          <w:p>
            <w:pPr>
              <w:jc w:val="right"/>
              <w:ind w:right="95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75</w:t>
            </w:r>
          </w:p>
        </w:tc>
        <w:tc>
          <w:tcPr>
            <w:tcW w:w="4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564</w:t>
            </w:r>
          </w:p>
        </w:tc>
        <w:tc>
          <w:tcPr>
            <w:tcW w:w="4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Times New Roman" w:cs="Times New Roman" w:eastAsia="Times New Roman" w:hAnsi="Times New Roman"/>
                <w:sz w:val="18"/>
                <w:szCs w:val="18"/>
                <w:color w:val="auto"/>
              </w:rPr>
              <w:t>Total cash received from the exercise of options</w:t>
            </w:r>
          </w:p>
        </w:tc>
        <w:tc>
          <w:tcPr>
            <w:tcW w:w="1140" w:type="dxa"/>
            <w:vAlign w:val="bottom"/>
          </w:tcPr>
          <w:p>
            <w:pPr>
              <w:spacing w:after="0"/>
              <w:rPr>
                <w:sz w:val="18"/>
                <w:szCs w:val="18"/>
                <w:color w:val="auto"/>
              </w:rPr>
            </w:pPr>
          </w:p>
        </w:tc>
        <w:tc>
          <w:tcPr>
            <w:tcW w:w="5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27</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310</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Excess tax benefits recognized in income tax expense upon the exercise of options</w:t>
            </w:r>
          </w:p>
        </w:tc>
        <w:tc>
          <w:tcPr>
            <w:tcW w:w="11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16</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188</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Restricted Shares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outstanding non-vested restricted shares during the year ended November 24, 2018 were as follows: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7"/>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Average Grant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Date Fair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Value Per</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860" w:type="dxa"/>
            <w:vAlign w:val="bottom"/>
          </w:tcPr>
          <w:p>
            <w:pPr>
              <w:spacing w:after="0"/>
              <w:rPr>
                <w:sz w:val="20"/>
                <w:szCs w:val="20"/>
                <w:color w:val="auto"/>
              </w:rPr>
            </w:pP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rPr>
              <w:t>Number of Shares</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7"/>
              </w:rPr>
              <w:t>Share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Non-vested restricted shares outstanding at November 25, 2017</w:t>
            </w:r>
          </w:p>
        </w:tc>
        <w:tc>
          <w:tcPr>
            <w:tcW w:w="1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99,138</w:t>
            </w:r>
          </w:p>
        </w:tc>
        <w:tc>
          <w:tcPr>
            <w:tcW w:w="2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Granted</w:t>
            </w:r>
          </w:p>
        </w:tc>
        <w:tc>
          <w:tcPr>
            <w:tcW w:w="16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45,036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34.41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Vested</w:t>
            </w:r>
          </w:p>
        </w:tc>
        <w:tc>
          <w:tcPr>
            <w:tcW w:w="16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(63,138)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Forfeited</w:t>
            </w: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68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Non-vested restricted shares outstanding at November 24, 2018</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81,036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32.03</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Restricted share awards granted in fiscal 2018 included the grant of 36,000 shares on January 11, 2018 which were subject to a performance condition as well as a service condition. The performance condition was based on a measure of the Company’s operating cash flow for 2018 and has now been satisfied. The awards will remain subject to an additional two-year service requirement and will vest on the third anniversary of the grant. The remaining grants for 2018 consisted of 6,036 restricted shares granted to our non-employee directors on March 8, 2018 which will vest on the first anniversary of the grant, and 3,000 restricted shares granted to an employee on October 2, 2018 which will vest on the third anniversary of the grant.</w:t>
      </w:r>
    </w:p>
    <w:p>
      <w:pPr>
        <w:spacing w:after="0" w:line="1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fiscal 2018, 63,138 restricted shares were vested and released, of which 56,600 shares had been granted to employees and 6,538 shares to directors. Of the shares released to employees, 19,810 shares were withheld by the Company to cover withholding taxes of $674. During fiscal 2017 and 2016, 21,210 shares and 2,940 shares, respectively, were withheld to cover withholding taxes of $641 and $77, respectively, arising from the vesting of restricted shares. During fiscal 2018, 2017 and 2016, excess tax benefits of $207, $366 and $46, respectively, were recognized within income tax expense upon the release of vested shares.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Additional information regarding our outstanding non-vested restricted shares at November 24, 2018 is as follows:</w:t>
      </w:r>
    </w:p>
    <w:p>
      <w:pPr>
        <w:spacing w:after="0" w:line="221" w:lineRule="exact"/>
        <w:rPr>
          <w:sz w:val="20"/>
          <w:szCs w:val="20"/>
          <w:color w:val="auto"/>
        </w:rPr>
      </w:pPr>
    </w:p>
    <w:tbl>
      <w:tblPr>
        <w:tblLayout w:type="fixed"/>
        <w:tblInd w:w="1160" w:type="dxa"/>
        <w:tblCellMar>
          <w:top w:w="0" w:type="dxa"/>
          <w:left w:w="0" w:type="dxa"/>
          <w:bottom w:w="0" w:type="dxa"/>
          <w:right w:w="0" w:type="dxa"/>
        </w:tblCellMar>
      </w:tblPr>
      <w:tr>
        <w:trPr>
          <w:trHeight w:val="216"/>
        </w:trPr>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16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Remaining</w:t>
            </w:r>
          </w:p>
        </w:tc>
      </w:tr>
      <w:tr>
        <w:trPr>
          <w:trHeight w:val="216"/>
        </w:trPr>
        <w:tc>
          <w:tcPr>
            <w:tcW w:w="2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Restricted</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8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7"/>
              </w:rPr>
              <w:t>Share Value</w:t>
            </w:r>
          </w:p>
        </w:tc>
        <w:tc>
          <w:tcPr>
            <w:tcW w:w="180" w:type="dxa"/>
            <w:vAlign w:val="bottom"/>
          </w:tcPr>
          <w:p>
            <w:pPr>
              <w:spacing w:after="0"/>
              <w:rPr>
                <w:sz w:val="18"/>
                <w:szCs w:val="18"/>
                <w:color w:val="auto"/>
              </w:rPr>
            </w:pPr>
          </w:p>
        </w:tc>
        <w:tc>
          <w:tcPr>
            <w:tcW w:w="21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Restriction</w:t>
            </w:r>
          </w:p>
        </w:tc>
      </w:tr>
      <w:tr>
        <w:trPr>
          <w:trHeight w:val="216"/>
        </w:trPr>
        <w:tc>
          <w:tcPr>
            <w:tcW w:w="2100" w:type="dxa"/>
            <w:vAlign w:val="bottom"/>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Grant</w:t>
            </w:r>
          </w:p>
        </w:tc>
        <w:tc>
          <w:tcPr>
            <w:tcW w:w="100" w:type="dxa"/>
            <w:vAlign w:val="bottom"/>
          </w:tcPr>
          <w:p>
            <w:pPr>
              <w:spacing w:after="0"/>
              <w:rPr>
                <w:sz w:val="18"/>
                <w:szCs w:val="18"/>
                <w:color w:val="auto"/>
              </w:rPr>
            </w:pPr>
          </w:p>
        </w:tc>
        <w:tc>
          <w:tcPr>
            <w:tcW w:w="22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Shares</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8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rPr>
              <w:t>at Grant Date</w:t>
            </w:r>
          </w:p>
        </w:tc>
        <w:tc>
          <w:tcPr>
            <w:tcW w:w="180" w:type="dxa"/>
            <w:vAlign w:val="bottom"/>
          </w:tcPr>
          <w:p>
            <w:pPr>
              <w:spacing w:after="0"/>
              <w:rPr>
                <w:sz w:val="18"/>
                <w:szCs w:val="18"/>
                <w:color w:val="auto"/>
              </w:rPr>
            </w:pPr>
          </w:p>
        </w:tc>
        <w:tc>
          <w:tcPr>
            <w:tcW w:w="21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7"/>
              </w:rPr>
              <w:t>Period</w:t>
            </w:r>
          </w:p>
        </w:tc>
      </w:tr>
      <w:tr>
        <w:trPr>
          <w:trHeight w:val="238"/>
        </w:trPr>
        <w:tc>
          <w:tcPr>
            <w:tcW w:w="2100" w:type="dxa"/>
            <w:vAlign w:val="bottom"/>
          </w:tcPr>
          <w:p>
            <w:pPr>
              <w:jc w:val="right"/>
              <w:ind w:right="790"/>
              <w:spacing w:after="0"/>
              <w:rPr>
                <w:sz w:val="20"/>
                <w:szCs w:val="20"/>
                <w:color w:val="auto"/>
              </w:rPr>
            </w:pPr>
            <w:r>
              <w:rPr>
                <w:rFonts w:ascii="Times New Roman" w:cs="Times New Roman" w:eastAsia="Times New Roman" w:hAnsi="Times New Roman"/>
                <w:sz w:val="18"/>
                <w:szCs w:val="18"/>
                <w:b w:val="1"/>
                <w:bCs w:val="1"/>
                <w:color w:val="auto"/>
              </w:rPr>
              <w:t>Date</w:t>
            </w:r>
          </w:p>
        </w:tc>
        <w:tc>
          <w:tcPr>
            <w:tcW w:w="100" w:type="dxa"/>
            <w:vAlign w:val="bottom"/>
          </w:tcPr>
          <w:p>
            <w:pPr>
              <w:spacing w:after="0"/>
              <w:rPr>
                <w:sz w:val="20"/>
                <w:szCs w:val="20"/>
                <w:color w:val="auto"/>
              </w:rPr>
            </w:pPr>
          </w:p>
        </w:tc>
        <w:tc>
          <w:tcPr>
            <w:tcW w:w="22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Outstanding</w:t>
            </w: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88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9"/>
              </w:rPr>
              <w:t>Per Share</w:t>
            </w:r>
          </w:p>
        </w:tc>
        <w:tc>
          <w:tcPr>
            <w:tcW w:w="180" w:type="dxa"/>
            <w:vAlign w:val="bottom"/>
          </w:tcPr>
          <w:p>
            <w:pPr>
              <w:spacing w:after="0"/>
              <w:rPr>
                <w:sz w:val="20"/>
                <w:szCs w:val="20"/>
                <w:color w:val="auto"/>
              </w:rPr>
            </w:pPr>
          </w:p>
        </w:tc>
        <w:tc>
          <w:tcPr>
            <w:tcW w:w="21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4"/>
              </w:rPr>
              <w:t>(Years)</w:t>
            </w:r>
          </w:p>
        </w:tc>
      </w:tr>
      <w:tr>
        <w:trPr>
          <w:trHeight w:val="426"/>
        </w:trPr>
        <w:tc>
          <w:tcPr>
            <w:tcW w:w="21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20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88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08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216"/>
        </w:trPr>
        <w:tc>
          <w:tcPr>
            <w:tcW w:w="2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January 10, 2017</w:t>
            </w:r>
          </w:p>
        </w:tc>
        <w:tc>
          <w:tcPr>
            <w:tcW w:w="2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36,000</w:t>
            </w:r>
          </w:p>
        </w:tc>
        <w:tc>
          <w:tcPr>
            <w:tcW w:w="5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29.05</w:t>
            </w:r>
          </w:p>
        </w:tc>
        <w:tc>
          <w:tcPr>
            <w:tcW w:w="226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w w:val="97"/>
              </w:rPr>
              <w:t>1.1</w:t>
            </w:r>
          </w:p>
        </w:tc>
        <w:tc>
          <w:tcPr>
            <w:tcW w:w="80" w:type="dxa"/>
            <w:vAlign w:val="bottom"/>
            <w:shd w:val="clear" w:color="auto" w:fill="CCEEFF"/>
          </w:tcPr>
          <w:p>
            <w:pPr>
              <w:spacing w:after="0"/>
              <w:rPr>
                <w:sz w:val="18"/>
                <w:szCs w:val="18"/>
                <w:color w:val="auto"/>
              </w:rPr>
            </w:pPr>
          </w:p>
        </w:tc>
      </w:tr>
      <w:tr>
        <w:trPr>
          <w:trHeight w:val="216"/>
        </w:trPr>
        <w:tc>
          <w:tcPr>
            <w:tcW w:w="2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January 11, 2018</w:t>
            </w:r>
          </w:p>
        </w:tc>
        <w:tc>
          <w:tcPr>
            <w:tcW w:w="2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36,000</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35.75</w:t>
            </w:r>
          </w:p>
        </w:tc>
        <w:tc>
          <w:tcPr>
            <w:tcW w:w="226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2.1</w:t>
            </w:r>
          </w:p>
        </w:tc>
        <w:tc>
          <w:tcPr>
            <w:tcW w:w="80" w:type="dxa"/>
            <w:vAlign w:val="bottom"/>
          </w:tcPr>
          <w:p>
            <w:pPr>
              <w:spacing w:after="0"/>
              <w:rPr>
                <w:sz w:val="18"/>
                <w:szCs w:val="18"/>
                <w:color w:val="auto"/>
              </w:rPr>
            </w:pPr>
          </w:p>
        </w:tc>
      </w:tr>
      <w:tr>
        <w:trPr>
          <w:trHeight w:val="216"/>
        </w:trPr>
        <w:tc>
          <w:tcPr>
            <w:tcW w:w="2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March 8, 2018</w:t>
            </w:r>
          </w:p>
        </w:tc>
        <w:tc>
          <w:tcPr>
            <w:tcW w:w="2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6,036</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33.07</w:t>
            </w:r>
          </w:p>
        </w:tc>
        <w:tc>
          <w:tcPr>
            <w:tcW w:w="2260" w:type="dxa"/>
            <w:vAlign w:val="bottom"/>
            <w:gridSpan w:val="2"/>
            <w:shd w:val="clear" w:color="auto" w:fill="CCEEFF"/>
          </w:tcPr>
          <w:p>
            <w:pPr>
              <w:jc w:val="center"/>
              <w:ind w:left="70"/>
              <w:spacing w:after="0"/>
              <w:rPr>
                <w:sz w:val="20"/>
                <w:szCs w:val="20"/>
                <w:color w:val="auto"/>
              </w:rPr>
            </w:pPr>
            <w:r>
              <w:rPr>
                <w:rFonts w:ascii="Times New Roman" w:cs="Times New Roman" w:eastAsia="Times New Roman" w:hAnsi="Times New Roman"/>
                <w:sz w:val="18"/>
                <w:szCs w:val="18"/>
                <w:color w:val="auto"/>
                <w:w w:val="97"/>
              </w:rPr>
              <w:t>0.3</w:t>
            </w:r>
          </w:p>
        </w:tc>
        <w:tc>
          <w:tcPr>
            <w:tcW w:w="80" w:type="dxa"/>
            <w:vAlign w:val="bottom"/>
            <w:shd w:val="clear" w:color="auto" w:fill="CCEEFF"/>
          </w:tcPr>
          <w:p>
            <w:pPr>
              <w:spacing w:after="0"/>
              <w:rPr>
                <w:sz w:val="18"/>
                <w:szCs w:val="18"/>
                <w:color w:val="auto"/>
              </w:rPr>
            </w:pPr>
          </w:p>
        </w:tc>
      </w:tr>
      <w:tr>
        <w:trPr>
          <w:trHeight w:val="216"/>
        </w:trPr>
        <w:tc>
          <w:tcPr>
            <w:tcW w:w="2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October 2, 2018</w:t>
            </w:r>
          </w:p>
        </w:tc>
        <w:tc>
          <w:tcPr>
            <w:tcW w:w="100" w:type="dxa"/>
            <w:vAlign w:val="bottom"/>
          </w:tcPr>
          <w:p>
            <w:pPr>
              <w:spacing w:after="0"/>
              <w:rPr>
                <w:sz w:val="18"/>
                <w:szCs w:val="18"/>
                <w:color w:val="auto"/>
              </w:rPr>
            </w:pPr>
          </w:p>
        </w:tc>
        <w:tc>
          <w:tcPr>
            <w:tcW w:w="2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3,000</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20.97</w:t>
            </w:r>
          </w:p>
        </w:tc>
        <w:tc>
          <w:tcPr>
            <w:tcW w:w="226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2.9</w:t>
            </w:r>
          </w:p>
        </w:tc>
        <w:tc>
          <w:tcPr>
            <w:tcW w:w="80" w:type="dxa"/>
            <w:vAlign w:val="bottom"/>
          </w:tcPr>
          <w:p>
            <w:pPr>
              <w:spacing w:after="0"/>
              <w:rPr>
                <w:sz w:val="18"/>
                <w:szCs w:val="18"/>
                <w:color w:val="auto"/>
              </w:rPr>
            </w:pPr>
          </w:p>
        </w:tc>
      </w:tr>
      <w:tr>
        <w:trPr>
          <w:trHeight w:val="250"/>
        </w:trPr>
        <w:tc>
          <w:tcPr>
            <w:tcW w:w="2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81,036</w:t>
            </w:r>
          </w:p>
        </w:tc>
        <w:tc>
          <w:tcPr>
            <w:tcW w:w="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8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208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Unrecognized compensation cost related to these non-vested restricted shares at November 24, 2018 is $1,627, substantially all of which is expected to be recognized over approximately a two year period.</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Employee Stock Purchase Plan</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2000, we adopted and implemented an Employee Stock Purchase Plan (“2000 ESPP”) that allows eligible employees to purchase a limited number of shares of our stock at 85% of market value. Under the 2000 ESPP we sold 8,502 shares to employees in fiscal 2016, which resulted in an immaterial amount of compensation expense. The 2000 ESPP reached the cumulative number of shares authorized for purchase under the plan during the third quarter of fiscal 2016.</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March of 2017 we adopted and implemented the 2017 Employee Stock Purchase Plan (“2017 ESPP”) that allows eligible employees to purchase a limited number of shares of our stock at 85% of market value. Under the 2017 ESPP we sold 14,967 and 6,275 shares to employees during fiscal 2018 and 2017, respectively, which resulted in an immaterial amount of compensation expense. There are 228,758 shares remaining available for sale under the 2017 ESPP at November 24, 2018.</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14. Income Taxes</w:t>
            </w:r>
          </w:p>
        </w:tc>
        <w:tc>
          <w:tcPr>
            <w:tcW w:w="10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components of the income tax provision are as follows:</w:t>
            </w:r>
          </w:p>
        </w:tc>
        <w:tc>
          <w:tcPr>
            <w:tcW w:w="10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82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2018</w:t>
            </w: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2017</w:t>
            </w:r>
          </w:p>
        </w:tc>
        <w:tc>
          <w:tcPr>
            <w:tcW w:w="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jc w:val="right"/>
              <w:ind w:right="490"/>
              <w:spacing w:after="0"/>
              <w:rPr>
                <w:sz w:val="20"/>
                <w:szCs w:val="20"/>
                <w:color w:val="auto"/>
              </w:rPr>
            </w:pPr>
            <w:r>
              <w:rPr>
                <w:rFonts w:ascii="Times New Roman" w:cs="Times New Roman" w:eastAsia="Times New Roman" w:hAnsi="Times New Roman"/>
                <w:sz w:val="18"/>
                <w:szCs w:val="18"/>
                <w:color w:val="auto"/>
              </w:rPr>
              <w:t>2016</w:t>
            </w:r>
          </w:p>
        </w:tc>
        <w:tc>
          <w:tcPr>
            <w:tcW w:w="100" w:type="dxa"/>
            <w:vAlign w:val="bottom"/>
          </w:tcPr>
          <w:p>
            <w:pPr>
              <w:spacing w:after="0"/>
              <w:rPr>
                <w:sz w:val="24"/>
                <w:szCs w:val="24"/>
                <w:color w:val="auto"/>
              </w:rPr>
            </w:pPr>
          </w:p>
        </w:tc>
      </w:tr>
      <w:tr>
        <w:trPr>
          <w:trHeight w:val="210"/>
        </w:trPr>
        <w:tc>
          <w:tcPr>
            <w:tcW w:w="8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w:t>
            </w:r>
          </w:p>
        </w:tc>
        <w:tc>
          <w:tcPr>
            <w:tcW w:w="10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Federal</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(1,137)</w:t>
            </w:r>
          </w:p>
        </w:tc>
        <w:tc>
          <w:tcPr>
            <w:tcW w:w="1120" w:type="dxa"/>
            <w:vAlign w:val="bottom"/>
            <w:gridSpan w:val="2"/>
          </w:tcPr>
          <w:p>
            <w:pPr>
              <w:jc w:val="right"/>
              <w:ind w:right="96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7,887</w:t>
            </w:r>
          </w:p>
        </w:tc>
        <w:tc>
          <w:tcPr>
            <w:tcW w:w="18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3,728</w:t>
            </w:r>
          </w:p>
        </w:tc>
      </w:tr>
      <w:tr>
        <w:trPr>
          <w:trHeight w:val="216"/>
        </w:trPr>
        <w:tc>
          <w:tcPr>
            <w:tcW w:w="82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State</w:t>
            </w:r>
          </w:p>
        </w:tc>
        <w:tc>
          <w:tcPr>
            <w:tcW w:w="10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2,035</w:t>
            </w:r>
          </w:p>
        </w:tc>
        <w:tc>
          <w:tcPr>
            <w:tcW w:w="18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896</w:t>
            </w:r>
          </w:p>
        </w:tc>
      </w:tr>
      <w:tr>
        <w:trPr>
          <w:trHeight w:val="216"/>
        </w:trPr>
        <w:tc>
          <w:tcPr>
            <w:tcW w:w="82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w:t>
            </w:r>
          </w:p>
        </w:tc>
        <w:tc>
          <w:tcPr>
            <w:tcW w:w="10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Federal</w:t>
            </w:r>
          </w:p>
        </w:tc>
        <w:tc>
          <w:tcPr>
            <w:tcW w:w="10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(200)</w:t>
            </w: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4,559</w:t>
            </w:r>
          </w:p>
        </w:tc>
      </w:tr>
      <w:tr>
        <w:trPr>
          <w:trHeight w:val="216"/>
        </w:trPr>
        <w:tc>
          <w:tcPr>
            <w:tcW w:w="82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State</w:t>
            </w:r>
          </w:p>
        </w:tc>
        <w:tc>
          <w:tcPr>
            <w:tcW w:w="10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(102)</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765</w:t>
            </w:r>
          </w:p>
        </w:tc>
      </w:tr>
      <w:tr>
        <w:trPr>
          <w:trHeight w:val="20"/>
        </w:trPr>
        <w:tc>
          <w:tcPr>
            <w:tcW w:w="820" w:type="dxa"/>
            <w:vAlign w:val="bottom"/>
          </w:tcPr>
          <w:p>
            <w:pPr>
              <w:spacing w:after="0" w:line="20" w:lineRule="exact"/>
              <w:rPr>
                <w:sz w:val="1"/>
                <w:szCs w:val="1"/>
                <w:color w:val="auto"/>
              </w:rPr>
            </w:pPr>
          </w:p>
        </w:tc>
        <w:tc>
          <w:tcPr>
            <w:tcW w:w="5140" w:type="dxa"/>
            <w:vAlign w:val="bottom"/>
            <w:shd w:val="clear" w:color="auto" w:fill="CCEEFF"/>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2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0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3,988</w:t>
            </w:r>
          </w:p>
        </w:tc>
        <w:tc>
          <w:tcPr>
            <w:tcW w:w="140" w:type="dxa"/>
            <w:vAlign w:val="bottom"/>
          </w:tcPr>
          <w:p>
            <w:pPr>
              <w:spacing w:after="0"/>
              <w:rPr>
                <w:sz w:val="18"/>
                <w:szCs w:val="18"/>
                <w:color w:val="auto"/>
              </w:rPr>
            </w:pPr>
          </w:p>
        </w:tc>
        <w:tc>
          <w:tcPr>
            <w:tcW w:w="1120" w:type="dxa"/>
            <w:vAlign w:val="bottom"/>
            <w:gridSpan w:val="2"/>
          </w:tcPr>
          <w:p>
            <w:pPr>
              <w:jc w:val="right"/>
              <w:ind w:right="96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9,620</w:t>
            </w:r>
          </w:p>
        </w:tc>
        <w:tc>
          <w:tcPr>
            <w:tcW w:w="18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9,948</w:t>
            </w:r>
          </w:p>
        </w:tc>
      </w:tr>
      <w:tr>
        <w:trPr>
          <w:trHeight w:val="20"/>
        </w:trPr>
        <w:tc>
          <w:tcPr>
            <w:tcW w:w="82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December 22, 2017, The Tax Cuts and Jobs Act (the “Act”) was signed into law. The Act reduced the federal statutory corporate income tax rate from 35% to 21% effective January 1, 2018 for all corporate taxpayers, while most other provisions of the Act take effect for fiscal years beginning on or after January 1, 2018. Therefore, we computed our income tax expense for fiscal 2018 using a blended federal statutory rate of 22.2%. The 21% federal statutory rate, as well as certain other provisions of the Act including the elimination of the domestic manufacturing deduction and new limitations on certain business deductions, will apply to our 2019 fiscal year and thereafter. The federal rate reduction had a significant impact on our provision for income taxes for fiscal 2018 due to a discrete charge of $1,331 arising from the re-measurement of our deferred tax assets. We believe that our accounting for the income tax effects of the Act is complete as of November 24, 2018.</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the statutory federal income tax rate and the effective income tax rate, as a percentage of income before income taxes, is as follows:</w:t>
      </w:r>
    </w:p>
    <w:p>
      <w:pPr>
        <w:spacing w:after="0" w:line="225" w:lineRule="exact"/>
        <w:rPr>
          <w:sz w:val="20"/>
          <w:szCs w:val="20"/>
          <w:color w:val="auto"/>
        </w:rPr>
      </w:pPr>
    </w:p>
    <w:tbl>
      <w:tblPr>
        <w:tblLayout w:type="fixed"/>
        <w:tblInd w:w="500" w:type="dxa"/>
        <w:tblCellMar>
          <w:top w:w="0" w:type="dxa"/>
          <w:left w:w="0" w:type="dxa"/>
          <w:bottom w:w="0" w:type="dxa"/>
          <w:right w:w="0" w:type="dxa"/>
        </w:tblCellMar>
      </w:tblPr>
      <w:tr>
        <w:trPr>
          <w:trHeight w:val="234"/>
        </w:trPr>
        <w:tc>
          <w:tcPr>
            <w:tcW w:w="5040" w:type="dxa"/>
            <w:vAlign w:val="bottom"/>
          </w:tcPr>
          <w:p>
            <w:pPr>
              <w:spacing w:after="0"/>
              <w:rPr>
                <w:sz w:val="20"/>
                <w:szCs w:val="20"/>
                <w:color w:val="auto"/>
              </w:rPr>
            </w:pPr>
          </w:p>
        </w:tc>
        <w:tc>
          <w:tcPr>
            <w:tcW w:w="108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2018</w:t>
            </w:r>
          </w:p>
        </w:tc>
        <w:tc>
          <w:tcPr>
            <w:tcW w:w="44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2017</w:t>
            </w:r>
          </w:p>
        </w:tc>
        <w:tc>
          <w:tcPr>
            <w:tcW w:w="44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color w:val="auto"/>
              </w:rPr>
              <w:t>2016</w:t>
            </w:r>
          </w:p>
        </w:tc>
        <w:tc>
          <w:tcPr>
            <w:tcW w:w="160" w:type="dxa"/>
            <w:vAlign w:val="bottom"/>
          </w:tcPr>
          <w:p>
            <w:pPr>
              <w:spacing w:after="0"/>
              <w:rPr>
                <w:sz w:val="20"/>
                <w:szCs w:val="20"/>
                <w:color w:val="auto"/>
              </w:rPr>
            </w:pPr>
          </w:p>
        </w:tc>
      </w:tr>
      <w:tr>
        <w:trPr>
          <w:trHeight w:val="210"/>
        </w:trPr>
        <w:tc>
          <w:tcPr>
            <w:tcW w:w="61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Statutory federal income tax rate</w:t>
            </w:r>
          </w:p>
        </w:tc>
        <w:tc>
          <w:tcPr>
            <w:tcW w:w="7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22.2%</w:t>
            </w:r>
          </w:p>
        </w:tc>
        <w:tc>
          <w:tcPr>
            <w:tcW w:w="10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35.0%</w:t>
            </w:r>
          </w:p>
        </w:tc>
        <w:tc>
          <w:tcPr>
            <w:tcW w:w="1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35.0%</w:t>
            </w:r>
          </w:p>
        </w:tc>
      </w:tr>
      <w:tr>
        <w:trPr>
          <w:trHeight w:val="216"/>
        </w:trPr>
        <w:tc>
          <w:tcPr>
            <w:tcW w:w="6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Revaluation of deferred tax assets resulting from new enacted rates</w:t>
            </w:r>
          </w:p>
        </w:tc>
        <w:tc>
          <w:tcPr>
            <w:tcW w:w="7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10.9</w:t>
            </w:r>
          </w:p>
        </w:tc>
        <w:tc>
          <w:tcPr>
            <w:tcW w:w="1060" w:type="dxa"/>
            <w:vAlign w:val="bottom"/>
          </w:tcPr>
          <w:p>
            <w:pPr>
              <w:spacing w:after="0"/>
              <w:rPr>
                <w:sz w:val="18"/>
                <w:szCs w:val="18"/>
                <w:color w:val="auto"/>
              </w:rPr>
            </w:pPr>
          </w:p>
        </w:tc>
        <w:tc>
          <w:tcPr>
            <w:tcW w:w="7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1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State income tax, net of federal benefit</w:t>
            </w:r>
          </w:p>
        </w:tc>
        <w:tc>
          <w:tcPr>
            <w:tcW w:w="7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4.6</w:t>
            </w:r>
          </w:p>
        </w:tc>
        <w:tc>
          <w:tcPr>
            <w:tcW w:w="10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3.9</w:t>
            </w:r>
          </w:p>
        </w:tc>
        <w:tc>
          <w:tcPr>
            <w:tcW w:w="1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6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Excess tax benefits from stock-based compensation</w:t>
            </w: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w:t>
            </w:r>
          </w:p>
        </w:tc>
        <w:tc>
          <w:tcPr>
            <w:tcW w:w="106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(1.8)</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(0.3)</w:t>
            </w:r>
          </w:p>
        </w:tc>
      </w:tr>
      <w:tr>
        <w:trPr>
          <w:trHeight w:val="216"/>
        </w:trPr>
        <w:tc>
          <w:tcPr>
            <w:tcW w:w="5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0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(3.5)</w:t>
            </w:r>
          </w:p>
        </w:tc>
        <w:tc>
          <w:tcPr>
            <w:tcW w:w="10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(2.6)</w:t>
            </w:r>
          </w:p>
        </w:tc>
        <w:tc>
          <w:tcPr>
            <w:tcW w:w="16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(0.3)</w:t>
            </w:r>
          </w:p>
        </w:tc>
      </w:tr>
      <w:tr>
        <w:trPr>
          <w:trHeight w:val="20"/>
        </w:trPr>
        <w:tc>
          <w:tcPr>
            <w:tcW w:w="5040" w:type="dxa"/>
            <w:vAlign w:val="bottom"/>
            <w:shd w:val="clear" w:color="auto" w:fill="CCEEFF"/>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10"/>
        </w:trPr>
        <w:tc>
          <w:tcPr>
            <w:tcW w:w="5040" w:type="dxa"/>
            <w:vAlign w:val="bottom"/>
          </w:tcPr>
          <w:p>
            <w:pPr>
              <w:spacing w:after="0"/>
              <w:rPr>
                <w:sz w:val="20"/>
                <w:szCs w:val="20"/>
                <w:color w:val="auto"/>
              </w:rPr>
            </w:pPr>
            <w:r>
              <w:rPr>
                <w:rFonts w:ascii="Times New Roman" w:cs="Times New Roman" w:eastAsia="Times New Roman" w:hAnsi="Times New Roman"/>
                <w:sz w:val="18"/>
                <w:szCs w:val="18"/>
                <w:color w:val="auto"/>
              </w:rPr>
              <w:t>Effective income tax rate</w:t>
            </w:r>
          </w:p>
        </w:tc>
        <w:tc>
          <w:tcPr>
            <w:tcW w:w="1080" w:type="dxa"/>
            <w:vAlign w:val="bottom"/>
          </w:tcPr>
          <w:p>
            <w:pPr>
              <w:spacing w:after="0"/>
              <w:rPr>
                <w:sz w:val="18"/>
                <w:szCs w:val="18"/>
                <w:color w:val="auto"/>
              </w:rPr>
            </w:pPr>
          </w:p>
        </w:tc>
        <w:tc>
          <w:tcPr>
            <w:tcW w:w="7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32.7%</w:t>
            </w:r>
          </w:p>
        </w:tc>
        <w:tc>
          <w:tcPr>
            <w:tcW w:w="106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34.5%</w:t>
            </w:r>
          </w:p>
        </w:tc>
        <w:tc>
          <w:tcPr>
            <w:tcW w:w="1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38.6%</w:t>
            </w:r>
          </w:p>
        </w:tc>
      </w:tr>
      <w:tr>
        <w:trPr>
          <w:trHeight w:val="20"/>
        </w:trPr>
        <w:tc>
          <w:tcPr>
            <w:tcW w:w="504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198"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Excess tax benefits in the amount of $223, $554 and $87 were recognized as a component of income tax expense during fiscal 2018, 2017 and 2016, respectively, resulting from the exercise of stock options and the release of restricted shares.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income tax effects of temporary differences and carryforwards, which give rise to significant portions of the deferred income tax assets and deferred income tax liabilities, are as follows:</w:t>
      </w:r>
    </w:p>
    <w:p>
      <w:pPr>
        <w:spacing w:after="0" w:line="158"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460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November 24,</w:t>
            </w:r>
          </w:p>
        </w:tc>
        <w:tc>
          <w:tcPr>
            <w:tcW w:w="160" w:type="dxa"/>
            <w:vAlign w:val="bottom"/>
          </w:tcPr>
          <w:p>
            <w:pPr>
              <w:spacing w:after="0"/>
              <w:rPr>
                <w:sz w:val="18"/>
                <w:szCs w:val="18"/>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November 25,</w:t>
            </w:r>
          </w:p>
        </w:tc>
      </w:tr>
      <w:tr>
        <w:trPr>
          <w:trHeight w:val="238"/>
        </w:trPr>
        <w:tc>
          <w:tcPr>
            <w:tcW w:w="460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80" w:type="dxa"/>
            <w:vAlign w:val="bottom"/>
          </w:tcPr>
          <w:p>
            <w:pPr>
              <w:spacing w:after="0"/>
              <w:rPr>
                <w:sz w:val="20"/>
                <w:szCs w:val="20"/>
                <w:color w:val="auto"/>
              </w:rPr>
            </w:pPr>
          </w:p>
        </w:tc>
      </w:tr>
      <w:tr>
        <w:trPr>
          <w:trHeight w:val="210"/>
        </w:trPr>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income tax assets: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Trade accounts receivable</w:t>
            </w:r>
          </w:p>
        </w:tc>
        <w:tc>
          <w:tcPr>
            <w:tcW w:w="1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192</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239</w:t>
            </w: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Inventories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1,755</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2,606</w:t>
            </w:r>
          </w:p>
        </w:tc>
      </w:tr>
      <w:tr>
        <w:trPr>
          <w:trHeight w:val="216"/>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Notes receivable</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109</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550</w:t>
            </w: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3,619</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5,555</w:t>
            </w:r>
          </w:p>
        </w:tc>
      </w:tr>
      <w:tr>
        <w:trPr>
          <w:trHeight w:val="216"/>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State net operating loss carryforwards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218</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583</w:t>
            </w: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Unrealized loss from affiliates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15</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69</w:t>
            </w:r>
          </w:p>
        </w:tc>
      </w:tr>
      <w:tr>
        <w:trPr>
          <w:trHeight w:val="216"/>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deferred rents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3,199</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3,906</w:t>
            </w: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1,290</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1,878</w:t>
            </w:r>
          </w:p>
        </w:tc>
      </w:tr>
      <w:tr>
        <w:trPr>
          <w:trHeight w:val="20"/>
        </w:trPr>
        <w:tc>
          <w:tcPr>
            <w:tcW w:w="460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Gross deferred income tax assets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10,397</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15,386</w:t>
            </w:r>
          </w:p>
        </w:tc>
      </w:tr>
      <w:tr>
        <w:trPr>
          <w:trHeight w:val="216"/>
        </w:trPr>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Valuation allowance</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460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deferred income tax assets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10,397</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15,386</w:t>
            </w:r>
          </w:p>
        </w:tc>
      </w:tr>
      <w:tr>
        <w:trPr>
          <w:trHeight w:val="216"/>
        </w:trPr>
        <w:tc>
          <w:tcPr>
            <w:tcW w:w="460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Deferred income tax liabilities: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Property and equipment</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5,353</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5,426</w:t>
            </w:r>
          </w:p>
        </w:tc>
      </w:tr>
      <w:tr>
        <w:trPr>
          <w:trHeight w:val="216"/>
        </w:trPr>
        <w:tc>
          <w:tcPr>
            <w:tcW w:w="46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Intangible assets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1,060</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1,185</w:t>
            </w: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Prepaid expenses and other</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718</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382</w:t>
            </w:r>
          </w:p>
        </w:tc>
      </w:tr>
      <w:tr>
        <w:trPr>
          <w:trHeight w:val="210"/>
        </w:trPr>
        <w:tc>
          <w:tcPr>
            <w:tcW w:w="4600" w:type="dxa"/>
            <w:vAlign w:val="bottom"/>
            <w:tcBorders>
              <w:top w:val="single" w:sz="8" w:color="CCEEFF"/>
            </w:tcBorders>
          </w:tcPr>
          <w:p>
            <w:pPr>
              <w:spacing w:after="0"/>
              <w:rPr>
                <w:sz w:val="18"/>
                <w:szCs w:val="18"/>
                <w:color w:val="auto"/>
              </w:rPr>
            </w:pPr>
          </w:p>
        </w:tc>
        <w:tc>
          <w:tcPr>
            <w:tcW w:w="17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deferred income tax liabilities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7,131</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6,993</w:t>
            </w:r>
          </w:p>
        </w:tc>
      </w:tr>
      <w:tr>
        <w:trPr>
          <w:trHeight w:val="210"/>
        </w:trPr>
        <w:tc>
          <w:tcPr>
            <w:tcW w:w="4600" w:type="dxa"/>
            <w:vAlign w:val="bottom"/>
            <w:tcBorders>
              <w:top w:val="single" w:sz="8" w:color="CCEEFF"/>
            </w:tcBorders>
          </w:tcPr>
          <w:p>
            <w:pPr>
              <w:spacing w:after="0"/>
              <w:rPr>
                <w:sz w:val="18"/>
                <w:szCs w:val="18"/>
                <w:color w:val="auto"/>
              </w:rPr>
            </w:pPr>
          </w:p>
        </w:tc>
        <w:tc>
          <w:tcPr>
            <w:tcW w:w="17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46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deferred income tax assets</w:t>
            </w:r>
          </w:p>
        </w:tc>
        <w:tc>
          <w:tcPr>
            <w:tcW w:w="18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3,266</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8,393</w:t>
            </w:r>
          </w:p>
        </w:tc>
      </w:tr>
      <w:tr>
        <w:trPr>
          <w:trHeight w:val="20"/>
        </w:trPr>
        <w:tc>
          <w:tcPr>
            <w:tcW w:w="4600" w:type="dxa"/>
            <w:vAlign w:val="bottom"/>
            <w:tcBorders>
              <w:top w:val="single" w:sz="8" w:color="CCEEFF"/>
            </w:tcBorders>
            <w:shd w:val="clear" w:color="auto" w:fill="CCEEFF"/>
          </w:tcPr>
          <w:p>
            <w:pPr>
              <w:spacing w:after="0" w:line="20" w:lineRule="exact"/>
              <w:rPr>
                <w:sz w:val="1"/>
                <w:szCs w:val="1"/>
                <w:color w:val="auto"/>
              </w:rPr>
            </w:pPr>
          </w:p>
        </w:tc>
        <w:tc>
          <w:tcPr>
            <w:tcW w:w="17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state net operating loss carryforwards available to offset future taxable state income of $4,647, which expire in varying amounts between 2021 and 2027. Realization is dependent on generating sufficient taxable income prior to expiration of the loss carryforwards.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Income taxes paid, net of refunds received, during 2018, 2017 and 2016 were $1,431, $7,516, and $9,949, respectively.</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regularly evaluate, assess and adjust our accrued liabilities for unrecognized tax benefits in light of changing facts and circumstances, which could cause the effective tax rate to fluctuate from period to period. Our accrued liabilities for uncertain tax benefits at November 24, 2018 and November 25, 2017 were not material.</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Significant judgment is required in evaluating the Company's federal and state tax positions and in the determination of its tax provision. Despite our belief that the liability for unrecognized tax benefits is adequate, it is often difficult to predict the final outcome or the timing of the resolution of any particular tax matter. We may adjust these liabilities as relevant circumstances evolve, such as guidance from the relevant tax authority, or resolution of issues in the courts. These adjustments are recognized as a component of income tax expense in the period in which they are identified. The Company also cannot predict when or if any other future tax payments related to these tax positions may occur.</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remain subject to examination for tax years 2015 through 2018 for all of our major tax jurisdictions.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59" w:name="page60"/>
    <w:bookmarkEnd w:id="59"/>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Other Gains and Losses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Gains on Sales of Retail Store Locations</w:t>
      </w:r>
    </w:p>
    <w:p>
      <w:pPr>
        <w:spacing w:after="0" w:line="227"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Selling, general and administrative expenses for the year ended November 24, 2018 includes a gain of $165 resulting from the sale of our retail store location in Spring, Texas for $2,463 in cash. The store was closed in October of 2018 and repositioned to a new location serving the Houston market in The Woodlands, Texas, which opened in November of 2018.</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Selling, general and administrative expenses for the year ended November 25, 2017 includes a gain of $1,220 resulting from the sale of our retail store location in Las Vegas, Nevada for $4,335 in cash. The store was closed in August of 2017 in preparation for its repositioning to a new location serving the Las Vegas market, in Summerlin, Nevada, which opened in January of 2018.</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from Antitrust Litigation Settlement</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Cost of furniture and accessories sold for the year ended November 26, 2016 includes the benefit of $1,428 of income we received from the settlement of class action litigation. This benefit is included in our wholesale segment. We were a member of the certified class of consumers that were plaintiffs in the Polyurethane Foam Antitrust Litigation against various producers of flexible polyurethane foam. The litigation alleged a price-fixing conspiracy in the flexible polyurethane foam industry that caused indirect purchasers to pay higher prices for products that contain flexible polyurethane foam. In 2015 a settlement was reached with several of the producers, though other producers named in the suit filed appeals blocking distribution of the settlement. In June of 2016 the final producer appeal was dismissed and we received $1,428 in cash representing our share of the settlement, which is included in cash provided by operating activities in our statement of cash flows for the year ended November 26, 2016.</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Asset Impairment Charges and Lease Exit Costs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During fiscal 2018 income from operations included $469 of non-cash asset impairment charges recognized on the assets of an underperforming retail location in Torrance, California, and a $301 charge for the accrual of lease exit costs incurred in connection with the closing of a Company-owned retail store location in San Antonio, Texas at the end of fiscal 2018.</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There were no asset impairment charges or lease exit costs incurred against income from operations during fiscal 2017 or 2016. See Note 2 regarding non-operating impairment charges incurred in connection with our investments in retail real estate.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Leases and Lease Guarantees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Leases</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retail and logistical services segments. We also lease tractors and trailers used in our logistical services segment and local delivery trucks and service vans used in our retail segment. Our real estate lease terms range from one to 15 years and generally have renewal options of between five and 15 years. Some store leases contain contingent rental provisions based upon sales volume. Our transportation equipment leases have terms ranging from two to seven years with fixed monthly rental payments plus variable charges based upon mileage. The following schedule shows future minimum lease payments under non-cancellable operating leases with terms in excess of one year as of November 24, 2018:</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Warehousing</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3"/>
              </w:rPr>
              <w:t>&amp;</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Distribution</w:t>
            </w:r>
          </w:p>
        </w:tc>
        <w:tc>
          <w:tcPr>
            <w:tcW w:w="1480" w:type="dxa"/>
            <w:vAlign w:val="bottom"/>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Transportation</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37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w w:val="97"/>
              </w:rPr>
              <w:t>Retail Stores</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Centers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Equipment</w:t>
            </w:r>
          </w:p>
        </w:tc>
        <w:tc>
          <w:tcPr>
            <w:tcW w:w="16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2019</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23,631</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4,999</w:t>
            </w:r>
          </w:p>
        </w:tc>
        <w:tc>
          <w:tcPr>
            <w:tcW w:w="22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3,398</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1,693</w:t>
            </w:r>
          </w:p>
        </w:tc>
        <w:tc>
          <w:tcPr>
            <w:tcW w:w="3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33,721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23,073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4,127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3,193</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32,030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20,597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3,274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2,176</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970</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27,017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18,166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3,097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1,444</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23,194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2023</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15,964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1,785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637</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18,386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Thereafter</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50,117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558</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51,112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37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future minimum lease payments</w:t>
            </w: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151,548</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17,719</w:t>
            </w:r>
          </w:p>
        </w:tc>
        <w:tc>
          <w:tcPr>
            <w:tcW w:w="22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11,406</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4,787</w:t>
            </w:r>
          </w:p>
        </w:tc>
        <w:tc>
          <w:tcPr>
            <w:tcW w:w="3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185,460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Lease expense was $38,970, $34,372 and $31,867 for 2018, 2017, and 2016, respectively. Lease expense for leases with escalating minimum payments over the lease term is recognized on a straight-line basis. Our liability for accrued straight-line rent expense was $5,844 and $4,821 at November 24, 2018 and November 25, 2017, respectively, and is included in other accrued liabilities in our consolidated balance sheets. Improvement allowances received from lessors at the inception of a lease are deferred and amortized over the term of the lease. The unamortized balance of such amounts was $6,716 and $5,264 at November 24, 2018 and November 25, 2017, respectively, with the non-current portion of $5,715 and $4,504, respectively, included in other liabilities in our consolidated balance sheets and the remaining current portion included in other accrued liabilities.</w:t>
      </w:r>
    </w:p>
    <w:p>
      <w:pPr>
        <w:spacing w:after="0" w:line="18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addition to subleasing certain of these properties, we own retail real estate which we in turn lease to licensee operators of BHF stores. We also own real estate for closed stores which we lease to non-licensees. The following schedule shows minimum future rental income related to pass-through rental expense on subleased property as well as rental income on real estate owned by Bassett.</w:t>
      </w:r>
    </w:p>
    <w:p>
      <w:pPr>
        <w:spacing w:after="0" w:line="194"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2019</w:t>
            </w:r>
          </w:p>
        </w:tc>
        <w:tc>
          <w:tcPr>
            <w:tcW w:w="298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1,765</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23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23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23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2023</w:t>
            </w:r>
          </w:p>
        </w:tc>
        <w:tc>
          <w:tcPr>
            <w:tcW w:w="23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Thereafter</w:t>
            </w:r>
          </w:p>
        </w:tc>
        <w:tc>
          <w:tcPr>
            <w:tcW w:w="238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minimum future rental income</w:t>
            </w:r>
          </w:p>
        </w:tc>
        <w:tc>
          <w:tcPr>
            <w:tcW w:w="298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4,705</w:t>
            </w:r>
          </w:p>
        </w:tc>
        <w:tc>
          <w:tcPr>
            <w:tcW w:w="80" w:type="dxa"/>
            <w:vAlign w:val="bottom"/>
            <w:shd w:val="clear" w:color="auto" w:fill="CCEEFF"/>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5120" w:type="dxa"/>
            <w:vAlign w:val="bottom"/>
            <w:tcBorders>
              <w:top w:val="single" w:sz="8" w:color="CCEEFF"/>
            </w:tcBorders>
            <w:shd w:val="clear" w:color="auto" w:fill="CCEEFF"/>
          </w:tcPr>
          <w:p>
            <w:pPr>
              <w:spacing w:after="0" w:line="20" w:lineRule="exact"/>
              <w:rPr>
                <w:sz w:val="1"/>
                <w:szCs w:val="1"/>
                <w:color w:val="auto"/>
              </w:rPr>
            </w:pPr>
          </w:p>
        </w:tc>
        <w:tc>
          <w:tcPr>
            <w:tcW w:w="238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Real estate rental net loss (rental income less lease costs, depreciation, insurance, and taxes), related to licensee stores and other investment real estate, was $23, $48 and $59 in 2018, 2017 and 2016, respectively, and is reflected in other loss, net in the accompanying consolidated statements of income.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Guarantees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part of the strategy for our store program, we have guaranteed certain lease obligations of licensee operators. Lease guarantees range from one to three years. We were contingently liable under licensee lease obligation guarantees in the amount of $2,021 and $2,743 at November 24, 2018 and November 25, 2017, respectively.</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1" w:name="page62"/>
    <w:bookmarkEnd w:id="61"/>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the event of default by an independent dealer under the guaranteed lease, we believe that the risk of loss is mitigated through a combination of options that include, but are not limited to, arranging for a replacement dealer, liquidating the collateral, and pursuing payment under the personal guarantees of the independent dealer. The proceeds of the above options are estimated to cover the maximum amount of our future payments under the guarantee obligations, net of reserves. The fair value of lease guarantees (an estimate of the cost to the Company to perform on these guarantees) at November 24, 2018 and November 25, 2017, were not material.</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17. Contingencies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involved in various claims and actions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18. Earnings Per Share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the computation of basic and diluted earnings per share:</w:t>
      </w:r>
    </w:p>
    <w:p>
      <w:pPr>
        <w:spacing w:after="0" w:line="221" w:lineRule="exact"/>
        <w:rPr>
          <w:sz w:val="20"/>
          <w:szCs w:val="20"/>
          <w:color w:val="auto"/>
        </w:rPr>
      </w:pPr>
    </w:p>
    <w:tbl>
      <w:tblPr>
        <w:tblLayout w:type="fixed"/>
        <w:tblInd w:w="50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Numerator:</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44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8,218</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18,256</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15,829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56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Denominator:</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Denominator for basic income per share - weighted average shares</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10,651,351</w:t>
            </w:r>
          </w:p>
        </w:tc>
        <w:tc>
          <w:tcPr>
            <w:tcW w:w="32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10,649,225</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10,732,217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Effect of dilutive securities</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40,424</w:t>
            </w:r>
          </w:p>
        </w:tc>
        <w:tc>
          <w:tcPr>
            <w:tcW w:w="32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82,850</w:t>
            </w: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130,204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20" w:type="dxa"/>
            <w:vAlign w:val="bottom"/>
          </w:tcPr>
          <w:p>
            <w:pPr>
              <w:spacing w:after="0"/>
              <w:rPr>
                <w:sz w:val="16"/>
                <w:szCs w:val="16"/>
                <w:color w:val="auto"/>
              </w:rPr>
            </w:pPr>
          </w:p>
        </w:tc>
        <w:tc>
          <w:tcPr>
            <w:tcW w:w="5620" w:type="dxa"/>
            <w:vAlign w:val="bottom"/>
            <w:shd w:val="clear" w:color="auto" w:fill="CCEEFF"/>
          </w:tcPr>
          <w:p>
            <w:pPr>
              <w:ind w:left="140"/>
              <w:spacing w:after="0" w:line="191" w:lineRule="exact"/>
              <w:rPr>
                <w:sz w:val="20"/>
                <w:szCs w:val="20"/>
                <w:color w:val="auto"/>
              </w:rPr>
            </w:pPr>
            <w:r>
              <w:rPr>
                <w:rFonts w:ascii="Times New Roman" w:cs="Times New Roman" w:eastAsia="Times New Roman" w:hAnsi="Times New Roman"/>
                <w:sz w:val="18"/>
                <w:szCs w:val="18"/>
                <w:color w:val="auto"/>
              </w:rPr>
              <w:t>Denominator for diluted income per share — weighted average shares and</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40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10,691,775</w:t>
            </w:r>
          </w:p>
        </w:tc>
        <w:tc>
          <w:tcPr>
            <w:tcW w:w="320" w:type="dxa"/>
            <w:vAlign w:val="bottom"/>
            <w:shd w:val="clear" w:color="auto" w:fill="CCEEFF"/>
          </w:tcPr>
          <w:p>
            <w:pPr>
              <w:spacing w:after="0"/>
              <w:rPr>
                <w:sz w:val="16"/>
                <w:szCs w:val="16"/>
                <w:color w:val="auto"/>
              </w:rPr>
            </w:pPr>
          </w:p>
        </w:tc>
        <w:tc>
          <w:tcPr>
            <w:tcW w:w="140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10,732,075</w:t>
            </w:r>
          </w:p>
        </w:tc>
        <w:tc>
          <w:tcPr>
            <w:tcW w:w="340" w:type="dxa"/>
            <w:vAlign w:val="bottom"/>
            <w:shd w:val="clear" w:color="auto" w:fill="CCEEFF"/>
          </w:tcPr>
          <w:p>
            <w:pPr>
              <w:spacing w:after="0"/>
              <w:rPr>
                <w:sz w:val="16"/>
                <w:szCs w:val="16"/>
                <w:color w:val="auto"/>
              </w:rPr>
            </w:pPr>
          </w:p>
        </w:tc>
        <w:tc>
          <w:tcPr>
            <w:tcW w:w="12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10,862,421</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620" w:type="dxa"/>
            <w:vAlign w:val="bottom"/>
            <w:shd w:val="clear" w:color="auto" w:fill="CCEEFF"/>
          </w:tcPr>
          <w:p>
            <w:pPr>
              <w:ind w:left="300"/>
              <w:spacing w:after="0" w:line="194" w:lineRule="exact"/>
              <w:rPr>
                <w:sz w:val="20"/>
                <w:szCs w:val="20"/>
                <w:color w:val="auto"/>
              </w:rPr>
            </w:pPr>
            <w:r>
              <w:rPr>
                <w:rFonts w:ascii="Times New Roman" w:cs="Times New Roman" w:eastAsia="Times New Roman" w:hAnsi="Times New Roman"/>
                <w:sz w:val="18"/>
                <w:szCs w:val="18"/>
                <w:color w:val="auto"/>
              </w:rPr>
              <w:t>assumed conversions</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400" w:type="dxa"/>
            <w:vAlign w:val="bottom"/>
            <w:gridSpan w:val="2"/>
            <w:vMerge w:val="continue"/>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400" w:type="dxa"/>
            <w:vAlign w:val="bottom"/>
            <w:gridSpan w:val="2"/>
            <w:vMerge w:val="continue"/>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280" w:type="dxa"/>
            <w:vAlign w:val="bottom"/>
            <w:gridSpan w:val="2"/>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62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income per share:</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 per share — basic</w:t>
            </w:r>
          </w:p>
        </w:tc>
        <w:tc>
          <w:tcPr>
            <w:tcW w:w="44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0.77</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1.71</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56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Diluted income per share:</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6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 per share — diluted</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0.77</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1.70</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fiscal 2018, 2017 and 2016, the following potentially dilutive shares were excluded from the computations as there effect was anti-dilutive:</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240" w:type="dxa"/>
            <w:vAlign w:val="bottom"/>
            <w:gridSpan w:val="2"/>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4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30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500" w:type="dxa"/>
            <w:vAlign w:val="bottom"/>
          </w:tcPr>
          <w:p>
            <w:pPr>
              <w:spacing w:after="0"/>
              <w:rPr>
                <w:sz w:val="18"/>
                <w:szCs w:val="18"/>
                <w:color w:val="auto"/>
              </w:rPr>
            </w:pPr>
          </w:p>
        </w:tc>
        <w:tc>
          <w:tcPr>
            <w:tcW w:w="6720" w:type="dxa"/>
            <w:vAlign w:val="bottom"/>
            <w:gridSpan w:val="2"/>
            <w:shd w:val="clear" w:color="auto" w:fill="CCEEFF"/>
          </w:tcPr>
          <w:p>
            <w:pPr>
              <w:jc w:val="right"/>
              <w:ind w:right="4750"/>
              <w:spacing w:after="0"/>
              <w:rPr>
                <w:sz w:val="20"/>
                <w:szCs w:val="20"/>
                <w:color w:val="auto"/>
              </w:rPr>
            </w:pPr>
            <w:r>
              <w:rPr>
                <w:rFonts w:ascii="Times New Roman" w:cs="Times New Roman" w:eastAsia="Times New Roman" w:hAnsi="Times New Roman"/>
                <w:sz w:val="18"/>
                <w:szCs w:val="18"/>
                <w:color w:val="auto"/>
                <w:w w:val="98"/>
              </w:rPr>
              <w:t>Unvested restricted shares</w:t>
            </w:r>
          </w:p>
        </w:tc>
        <w:tc>
          <w:tcPr>
            <w:tcW w:w="7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45,036</w:t>
            </w:r>
          </w:p>
        </w:tc>
        <w:tc>
          <w:tcPr>
            <w:tcW w:w="12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7,814</w:t>
            </w:r>
          </w:p>
        </w:tc>
        <w:tc>
          <w:tcPr>
            <w:tcW w:w="100" w:type="dxa"/>
            <w:vAlign w:val="bottom"/>
          </w:tcPr>
          <w:p>
            <w:pPr>
              <w:spacing w:after="0"/>
              <w:rPr>
                <w:sz w:val="18"/>
                <w:szCs w:val="18"/>
                <w:color w:val="auto"/>
              </w:rPr>
            </w:pPr>
          </w:p>
        </w:tc>
      </w:tr>
      <w:tr>
        <w:trPr>
          <w:trHeight w:val="432"/>
        </w:trPr>
        <w:tc>
          <w:tcPr>
            <w:tcW w:w="6240" w:type="dxa"/>
            <w:vAlign w:val="bottom"/>
            <w:gridSpan w:val="2"/>
          </w:tcPr>
          <w:p>
            <w:pPr>
              <w:jc w:val="right"/>
              <w:ind w:right="350"/>
              <w:spacing w:after="0"/>
              <w:rPr>
                <w:sz w:val="20"/>
                <w:szCs w:val="20"/>
                <w:color w:val="auto"/>
              </w:rPr>
            </w:pPr>
            <w:r>
              <w:rPr>
                <w:rFonts w:ascii="Times New Roman" w:cs="Times New Roman" w:eastAsia="Times New Roman" w:hAnsi="Times New Roman"/>
                <w:sz w:val="18"/>
                <w:szCs w:val="18"/>
                <w:color w:val="auto"/>
              </w:rPr>
              <w:t>59</w:t>
            </w:r>
          </w:p>
        </w:tc>
        <w:tc>
          <w:tcPr>
            <w:tcW w:w="9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5"/>
        </w:trPr>
        <w:tc>
          <w:tcPr>
            <w:tcW w:w="500" w:type="dxa"/>
            <w:vAlign w:val="bottom"/>
            <w:tcBorders>
              <w:bottom w:val="single" w:sz="8" w:color="auto"/>
            </w:tcBorders>
          </w:tcPr>
          <w:p>
            <w:pPr>
              <w:spacing w:after="0"/>
              <w:rPr>
                <w:sz w:val="10"/>
                <w:szCs w:val="10"/>
                <w:color w:val="auto"/>
              </w:rPr>
            </w:pPr>
          </w:p>
        </w:tc>
        <w:tc>
          <w:tcPr>
            <w:tcW w:w="57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76" w:right="23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19. Segment Information</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We have strategically aligned our business into three reportable segments as defined in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and as described below:</w:t>
      </w:r>
    </w:p>
    <w:p>
      <w:pPr>
        <w:spacing w:after="0" w:line="223" w:lineRule="exact"/>
        <w:rPr>
          <w:sz w:val="20"/>
          <w:szCs w:val="20"/>
          <w:color w:val="auto"/>
        </w:rPr>
      </w:pPr>
    </w:p>
    <w:p>
      <w:pPr>
        <w:jc w:val="both"/>
        <w:ind w:left="660" w:hanging="328"/>
        <w:spacing w:after="0" w:line="257" w:lineRule="auto"/>
        <w:tabs>
          <w:tab w:leader="none" w:pos="660"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to a network of Bassett stores (Company-owned and licensee-owned stores retail stores) and independent furniture retailers. Our wholesale segment includes our wood and upholstery operations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loss, net, in our consolidated statements of income.</w:t>
      </w:r>
    </w:p>
    <w:p>
      <w:pPr>
        <w:spacing w:after="0" w:line="182" w:lineRule="exact"/>
        <w:rPr>
          <w:rFonts w:ascii="Times New Roman" w:cs="Times New Roman" w:eastAsia="Times New Roman" w:hAnsi="Times New Roman"/>
          <w:sz w:val="18"/>
          <w:szCs w:val="18"/>
          <w:b w:val="1"/>
          <w:bCs w:val="1"/>
          <w:color w:val="auto"/>
        </w:rPr>
      </w:pPr>
    </w:p>
    <w:p>
      <w:pPr>
        <w:jc w:val="both"/>
        <w:ind w:left="660" w:hanging="328"/>
        <w:spacing w:after="0" w:line="268" w:lineRule="auto"/>
        <w:tabs>
          <w:tab w:leader="none" w:pos="660"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Retail – Company-owned stores. </w:t>
      </w:r>
      <w:r>
        <w:rPr>
          <w:rFonts w:ascii="Times New Roman" w:cs="Times New Roman" w:eastAsia="Times New Roman" w:hAnsi="Times New Roman"/>
          <w:sz w:val="18"/>
          <w:szCs w:val="18"/>
          <w:color w:val="auto"/>
        </w:rPr>
        <w:t>Our retail segment consists of Company-owned stores and includes the revenues, expenses, assets and liabilities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capital expenditures directly related to these stores and the Company-owned distribution network utilized to deliver products to our retail customers.</w:t>
      </w:r>
    </w:p>
    <w:p>
      <w:pPr>
        <w:spacing w:after="0" w:line="170" w:lineRule="exact"/>
        <w:rPr>
          <w:rFonts w:ascii="Times New Roman" w:cs="Times New Roman" w:eastAsia="Times New Roman" w:hAnsi="Times New Roman"/>
          <w:sz w:val="18"/>
          <w:szCs w:val="18"/>
          <w:b w:val="1"/>
          <w:bCs w:val="1"/>
          <w:color w:val="auto"/>
        </w:rPr>
      </w:pPr>
    </w:p>
    <w:p>
      <w:pPr>
        <w:jc w:val="both"/>
        <w:ind w:left="660" w:hanging="328"/>
        <w:spacing w:after="0" w:line="259" w:lineRule="auto"/>
        <w:tabs>
          <w:tab w:leader="none" w:pos="660"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Logistical services. </w:t>
      </w:r>
      <w:r>
        <w:rPr>
          <w:rFonts w:ascii="Times New Roman" w:cs="Times New Roman" w:eastAsia="Times New Roman" w:hAnsi="Times New Roman"/>
          <w:sz w:val="18"/>
          <w:szCs w:val="18"/>
          <w:color w:val="auto"/>
        </w:rPr>
        <w:t>With our acquisition of Zenith on February 2, 2015, we created the logistical services operating segment which reflects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operations of Zenith. In addition to providing shipping and warehousing services for the Company, Zenith also provides similar services to other customers, primarily in the furniture industry. Revenue from the performance of these services to other customers is included in logistics revenue in our consolidated statement of income. Zenith’s operating costs are included in selling, general and administrative expenses and total $81,468, $80,068 and $79,725 for fiscal 2018, 2017 and 2016, respectively.</w:t>
      </w:r>
    </w:p>
    <w:p>
      <w:pPr>
        <w:spacing w:after="0" w:line="18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During the fourth quarter of fiscal 2018, we substantially completed transferring operational control of home delivery services for BHF stores from Zenith to our retail segment, including the transfer of the assets and many of the employees used in providing that service. Accordingly, the results for the retail and logistical services segments for all periods presented have been restated to present the depreciation and amortization, capital expenditures and identifiable assets associated with home delivery services formerly provided by Zenith to the Bassett retail segment as though they had been incurred within the retail segment, and intercompany revenues for those services are no longer included in the logistical services segment. The impact of the restatement upon the income (loss) from operations for both the logistical services and retail segments was not material. Concurrently with the transfer of home delivery operations to retail, Zenith also ceased providing such services to third party customers. Revenues from Zenith’s home delivery services formerly provided to third party customers and the associated costs thereof continue to be reported in the logistical services segment. Zenith continues to provide other intercompany shipping and warehousing services to Bassett which are eliminated in consolidation.</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Inter-company sales elimination represents the elimination of wholesale sales to our Company-owned stores and the elimination of Zenith logistics revenue from our wholesale segment.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operations.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segment information for each of the last three fiscal years: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Sales</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Wholesale</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255,958</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249,193</w:t>
            </w:r>
          </w:p>
        </w:tc>
        <w:tc>
          <w:tcPr>
            <w:tcW w:w="4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240,346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268,883</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268,264</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254,667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Logistical services</w:t>
            </w:r>
          </w:p>
        </w:tc>
        <w:tc>
          <w:tcPr>
            <w:tcW w:w="36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82,866</w:t>
            </w: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83,030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83,236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Inter-company eliminations:</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360" w:type="dxa"/>
            <w:vAlign w:val="bottom"/>
          </w:tcPr>
          <w:p>
            <w:pPr>
              <w:spacing w:after="0"/>
              <w:rPr>
                <w:sz w:val="18"/>
                <w:szCs w:val="18"/>
                <w:color w:val="auto"/>
              </w:rPr>
            </w:pPr>
          </w:p>
        </w:tc>
        <w:tc>
          <w:tcPr>
            <w:tcW w:w="14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(122,372)</w:t>
            </w:r>
          </w:p>
        </w:tc>
        <w:tc>
          <w:tcPr>
            <w:tcW w:w="34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(119,360)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(117,817)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Logistical services</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(28,480)</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(28,624)</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(28,394)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456,855</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452,503</w:t>
            </w:r>
          </w:p>
        </w:tc>
        <w:tc>
          <w:tcPr>
            <w:tcW w:w="4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432,038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(loss) from Operations</w:t>
            </w: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Wholesale</w:t>
            </w: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12,274</w:t>
            </w: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19,121</w:t>
            </w:r>
          </w:p>
        </w:tc>
        <w:tc>
          <w:tcPr>
            <w:tcW w:w="4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18,672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tcPr>
          <w:p>
            <w:pPr>
              <w:spacing w:after="0"/>
              <w:rPr>
                <w:sz w:val="18"/>
                <w:szCs w:val="18"/>
                <w:color w:val="auto"/>
              </w:rPr>
            </w:pPr>
          </w:p>
        </w:tc>
        <w:tc>
          <w:tcPr>
            <w:tcW w:w="14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(312)</w:t>
            </w: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3,490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4,333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Logistical services</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1,398</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2,962</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3,511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Inter-company elimination</w:t>
            </w:r>
          </w:p>
        </w:tc>
        <w:tc>
          <w:tcPr>
            <w:tcW w:w="36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1,494</w:t>
            </w: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1,445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1,677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Lease exit costs</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(301)</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Asset impairment charges</w:t>
            </w:r>
          </w:p>
        </w:tc>
        <w:tc>
          <w:tcPr>
            <w:tcW w:w="360" w:type="dxa"/>
            <w:vAlign w:val="bottom"/>
          </w:tcPr>
          <w:p>
            <w:pPr>
              <w:spacing w:after="0"/>
              <w:rPr>
                <w:sz w:val="18"/>
                <w:szCs w:val="18"/>
                <w:color w:val="auto"/>
              </w:rPr>
            </w:pPr>
          </w:p>
        </w:tc>
        <w:tc>
          <w:tcPr>
            <w:tcW w:w="14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(469)</w:t>
            </w: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 income from operations</w:t>
            </w: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14,084</w:t>
            </w:r>
          </w:p>
        </w:tc>
        <w:tc>
          <w:tcPr>
            <w:tcW w:w="18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27,018</w:t>
            </w:r>
          </w:p>
        </w:tc>
        <w:tc>
          <w:tcPr>
            <w:tcW w:w="4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28,193</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560" w:type="dxa"/>
            <w:vAlign w:val="bottom"/>
            <w:tcBorders>
              <w:top w:val="single" w:sz="8" w:color="CCEEFF"/>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Depreciation and Amortization</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Wholesale</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3,038</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2,648</w:t>
            </w:r>
          </w:p>
        </w:tc>
        <w:tc>
          <w:tcPr>
            <w:tcW w:w="4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2,053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6,096</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6,355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6,260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Logistical services</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4,069</w:t>
            </w: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4,309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3,936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13,203</w:t>
            </w:r>
          </w:p>
        </w:tc>
        <w:tc>
          <w:tcPr>
            <w:tcW w:w="18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13,312</w:t>
            </w:r>
          </w:p>
        </w:tc>
        <w:tc>
          <w:tcPr>
            <w:tcW w:w="4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12,249</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560" w:type="dxa"/>
            <w:vAlign w:val="bottom"/>
            <w:tcBorders>
              <w:top w:val="single" w:sz="8" w:color="CCEEFF"/>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Capital Expenditures</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Wholesale</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4,194</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4,875</w:t>
            </w:r>
          </w:p>
        </w:tc>
        <w:tc>
          <w:tcPr>
            <w:tcW w:w="4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7,232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12,769</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8,108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5,932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Logistical services</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1,338</w:t>
            </w: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2,517</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8,337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18,301</w:t>
            </w:r>
          </w:p>
        </w:tc>
        <w:tc>
          <w:tcPr>
            <w:tcW w:w="180" w:type="dxa"/>
            <w:vAlign w:val="bottom"/>
            <w:shd w:val="clear" w:color="auto" w:fill="CCEEFF"/>
          </w:tcPr>
          <w:p>
            <w:pPr>
              <w:spacing w:after="0"/>
              <w:rPr>
                <w:sz w:val="21"/>
                <w:szCs w:val="21"/>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15,500</w:t>
            </w:r>
          </w:p>
        </w:tc>
        <w:tc>
          <w:tcPr>
            <w:tcW w:w="4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21,501</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560" w:type="dxa"/>
            <w:vAlign w:val="bottom"/>
            <w:tcBorders>
              <w:top w:val="single" w:sz="8" w:color="CCEEFF"/>
            </w:tcBorders>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Identifiable Assets</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Wholesale</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144,209</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152,181</w:t>
            </w:r>
          </w:p>
        </w:tc>
        <w:tc>
          <w:tcPr>
            <w:tcW w:w="4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139,477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Retail</w:t>
            </w:r>
          </w:p>
        </w:tc>
        <w:tc>
          <w:tcPr>
            <w:tcW w:w="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96,241</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90,186</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90,091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Logistical services</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51,191</w:t>
            </w: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51,381</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48,699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291,641</w:t>
            </w:r>
          </w:p>
        </w:tc>
        <w:tc>
          <w:tcPr>
            <w:tcW w:w="18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293,748</w:t>
            </w:r>
          </w:p>
        </w:tc>
        <w:tc>
          <w:tcPr>
            <w:tcW w:w="4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278,267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breakdown of wholesale sales by product category for each of the last three fiscal years is provided below:</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444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6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6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6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4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Wood</w:t>
            </w:r>
          </w:p>
        </w:tc>
        <w:tc>
          <w:tcPr>
            <w:tcW w:w="1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35%</w:t>
            </w:r>
          </w:p>
        </w:tc>
        <w:tc>
          <w:tcPr>
            <w:tcW w:w="1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w:t>
            </w:r>
          </w:p>
        </w:tc>
        <w:tc>
          <w:tcPr>
            <w:tcW w:w="16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Upholstery</w:t>
            </w:r>
          </w:p>
        </w:tc>
        <w:tc>
          <w:tcPr>
            <w:tcW w:w="1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65%</w:t>
            </w:r>
          </w:p>
        </w:tc>
        <w:tc>
          <w:tcPr>
            <w:tcW w:w="1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65%</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440" w:type="dxa"/>
            <w:vAlign w:val="bottom"/>
            <w:shd w:val="clear" w:color="auto" w:fill="CCEEFF"/>
          </w:tcPr>
          <w:p>
            <w:pPr>
              <w:spacing w:after="0"/>
              <w:rPr>
                <w:sz w:val="21"/>
                <w:szCs w:val="21"/>
                <w:color w:val="auto"/>
              </w:rPr>
            </w:pPr>
          </w:p>
        </w:tc>
        <w:tc>
          <w:tcPr>
            <w:tcW w:w="1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w:t>
            </w:r>
          </w:p>
        </w:tc>
        <w:tc>
          <w:tcPr>
            <w:tcW w:w="1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w:t>
            </w:r>
          </w:p>
        </w:tc>
        <w:tc>
          <w:tcPr>
            <w:tcW w:w="16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3"/>
        </w:trPr>
        <w:tc>
          <w:tcPr>
            <w:tcW w:w="20" w:type="dxa"/>
            <w:vAlign w:val="bottom"/>
          </w:tcPr>
          <w:p>
            <w:pPr>
              <w:spacing w:after="0"/>
              <w:rPr>
                <w:sz w:val="24"/>
                <w:szCs w:val="24"/>
                <w:color w:val="auto"/>
              </w:rPr>
            </w:pPr>
          </w:p>
        </w:tc>
        <w:tc>
          <w:tcPr>
            <w:tcW w:w="4440" w:type="dxa"/>
            <w:vAlign w:val="bottom"/>
            <w:tcBorders>
              <w:top w:val="single" w:sz="8" w:color="CCEEFF"/>
            </w:tcBorders>
          </w:tcPr>
          <w:p>
            <w:pPr>
              <w:spacing w:after="0"/>
              <w:rPr>
                <w:sz w:val="24"/>
                <w:szCs w:val="24"/>
                <w:color w:val="auto"/>
              </w:rPr>
            </w:pPr>
          </w:p>
        </w:tc>
        <w:tc>
          <w:tcPr>
            <w:tcW w:w="1520" w:type="dxa"/>
            <w:vAlign w:val="bottom"/>
            <w:tcBorders>
              <w:top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61</w:t>
            </w:r>
          </w:p>
        </w:tc>
        <w:tc>
          <w:tcPr>
            <w:tcW w:w="260" w:type="dxa"/>
            <w:vAlign w:val="bottom"/>
            <w:tcBorders>
              <w:top w:val="single" w:sz="8" w:color="CCEEFF"/>
            </w:tcBorders>
          </w:tcPr>
          <w:p>
            <w:pPr>
              <w:spacing w:after="0"/>
              <w:rPr>
                <w:sz w:val="24"/>
                <w:szCs w:val="24"/>
                <w:color w:val="auto"/>
              </w:rPr>
            </w:pPr>
          </w:p>
        </w:tc>
        <w:tc>
          <w:tcPr>
            <w:tcW w:w="152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152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44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64" w:name="page65"/>
    <w:bookmarkEnd w:id="64"/>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 – Continued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0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20. Quarterly Results of Operations</w:t>
            </w:r>
          </w:p>
        </w:tc>
        <w:tc>
          <w:tcPr>
            <w:tcW w:w="9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648"/>
        </w:trPr>
        <w:tc>
          <w:tcPr>
            <w:tcW w:w="34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1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87"/>
        </w:trPr>
        <w:tc>
          <w:tcPr>
            <w:tcW w:w="34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gridSpan w:val="2"/>
          </w:tcPr>
          <w:p>
            <w:pPr>
              <w:jc w:val="center"/>
              <w:ind w:right="260"/>
              <w:spacing w:after="0" w:line="188" w:lineRule="exact"/>
              <w:rPr>
                <w:sz w:val="20"/>
                <w:szCs w:val="20"/>
                <w:color w:val="auto"/>
              </w:rPr>
            </w:pPr>
            <w:r>
              <w:rPr>
                <w:rFonts w:ascii="Times New Roman" w:cs="Times New Roman" w:eastAsia="Times New Roman" w:hAnsi="Times New Roman"/>
                <w:sz w:val="18"/>
                <w:szCs w:val="18"/>
                <w:b w:val="1"/>
                <w:bCs w:val="1"/>
                <w:color w:val="auto"/>
              </w:rPr>
              <w:t>First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gridSpan w:val="2"/>
          </w:tcPr>
          <w:p>
            <w:pPr>
              <w:jc w:val="center"/>
              <w:ind w:right="360"/>
              <w:spacing w:after="0" w:line="188" w:lineRule="exact"/>
              <w:rPr>
                <w:sz w:val="20"/>
                <w:szCs w:val="20"/>
                <w:color w:val="auto"/>
              </w:rPr>
            </w:pPr>
            <w:r>
              <w:rPr>
                <w:rFonts w:ascii="Times New Roman" w:cs="Times New Roman" w:eastAsia="Times New Roman" w:hAnsi="Times New Roman"/>
                <w:sz w:val="18"/>
                <w:szCs w:val="18"/>
                <w:b w:val="1"/>
                <w:bCs w:val="1"/>
                <w:color w:val="auto"/>
              </w:rPr>
              <w:t>Second</w:t>
            </w:r>
          </w:p>
        </w:tc>
        <w:tc>
          <w:tcPr>
            <w:tcW w:w="120" w:type="dxa"/>
            <w:vAlign w:val="bottom"/>
          </w:tcPr>
          <w:p>
            <w:pPr>
              <w:spacing w:after="0"/>
              <w:rPr>
                <w:sz w:val="16"/>
                <w:szCs w:val="16"/>
                <w:color w:val="auto"/>
              </w:rPr>
            </w:pPr>
          </w:p>
        </w:tc>
        <w:tc>
          <w:tcPr>
            <w:tcW w:w="1280" w:type="dxa"/>
            <w:vAlign w:val="bottom"/>
            <w:gridSpan w:val="2"/>
          </w:tcPr>
          <w:p>
            <w:pPr>
              <w:jc w:val="center"/>
              <w:ind w:right="300"/>
              <w:spacing w:after="0" w:line="188" w:lineRule="exact"/>
              <w:rPr>
                <w:sz w:val="20"/>
                <w:szCs w:val="20"/>
                <w:color w:val="auto"/>
              </w:rPr>
            </w:pPr>
            <w:r>
              <w:rPr>
                <w:rFonts w:ascii="Times New Roman" w:cs="Times New Roman" w:eastAsia="Times New Roman" w:hAnsi="Times New Roman"/>
                <w:sz w:val="18"/>
                <w:szCs w:val="18"/>
                <w:b w:val="1"/>
                <w:bCs w:val="1"/>
                <w:color w:val="auto"/>
              </w:rPr>
              <w:t>Third</w:t>
            </w:r>
          </w:p>
        </w:tc>
        <w:tc>
          <w:tcPr>
            <w:tcW w:w="140" w:type="dxa"/>
            <w:vAlign w:val="bottom"/>
          </w:tcPr>
          <w:p>
            <w:pPr>
              <w:spacing w:after="0"/>
              <w:rPr>
                <w:sz w:val="16"/>
                <w:szCs w:val="16"/>
                <w:color w:val="auto"/>
              </w:rPr>
            </w:pPr>
          </w:p>
        </w:tc>
        <w:tc>
          <w:tcPr>
            <w:tcW w:w="1080" w:type="dxa"/>
            <w:vAlign w:val="bottom"/>
          </w:tcPr>
          <w:p>
            <w:pPr>
              <w:jc w:val="center"/>
              <w:ind w:righ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Fourth</w:t>
            </w:r>
          </w:p>
        </w:tc>
        <w:tc>
          <w:tcPr>
            <w:tcW w:w="100" w:type="dxa"/>
            <w:vAlign w:val="bottom"/>
          </w:tcPr>
          <w:p>
            <w:pPr>
              <w:spacing w:after="0"/>
              <w:rPr>
                <w:sz w:val="16"/>
                <w:szCs w:val="16"/>
                <w:color w:val="auto"/>
              </w:rPr>
            </w:pPr>
          </w:p>
        </w:tc>
      </w:tr>
      <w:tr>
        <w:trPr>
          <w:trHeight w:val="238"/>
        </w:trPr>
        <w:tc>
          <w:tcPr>
            <w:tcW w:w="3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Quarter (1)</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Quarter (2)</w:t>
            </w:r>
          </w:p>
        </w:tc>
        <w:tc>
          <w:tcPr>
            <w:tcW w:w="120" w:type="dxa"/>
            <w:vAlign w:val="bottom"/>
          </w:tcPr>
          <w:p>
            <w:pPr>
              <w:spacing w:after="0"/>
              <w:rPr>
                <w:sz w:val="20"/>
                <w:szCs w:val="20"/>
                <w:color w:val="auto"/>
              </w:rPr>
            </w:pPr>
          </w:p>
        </w:tc>
        <w:tc>
          <w:tcPr>
            <w:tcW w:w="12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Quarter</w:t>
            </w:r>
          </w:p>
        </w:tc>
        <w:tc>
          <w:tcPr>
            <w:tcW w:w="140" w:type="dxa"/>
            <w:vAlign w:val="bottom"/>
          </w:tcPr>
          <w:p>
            <w:pPr>
              <w:spacing w:after="0"/>
              <w:rPr>
                <w:sz w:val="20"/>
                <w:szCs w:val="20"/>
                <w:color w:val="auto"/>
              </w:rPr>
            </w:pPr>
          </w:p>
        </w:tc>
        <w:tc>
          <w:tcPr>
            <w:tcW w:w="11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Quarter (3)</w:t>
            </w:r>
          </w:p>
        </w:tc>
      </w:tr>
      <w:tr>
        <w:trPr>
          <w:trHeight w:val="210"/>
        </w:trPr>
        <w:tc>
          <w:tcPr>
            <w:tcW w:w="3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96,123</w:t>
            </w: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102,675</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99,807</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103,864</w:t>
            </w:r>
          </w:p>
        </w:tc>
        <w:tc>
          <w:tcPr>
            <w:tcW w:w="10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Logistics</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14,149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14,305</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13,149</w:t>
            </w: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12,783</w:t>
            </w:r>
          </w:p>
        </w:tc>
      </w:tr>
      <w:tr>
        <w:trPr>
          <w:trHeight w:val="20"/>
        </w:trPr>
        <w:tc>
          <w:tcPr>
            <w:tcW w:w="340" w:type="dxa"/>
            <w:vAlign w:val="bottom"/>
          </w:tcPr>
          <w:p>
            <w:pPr>
              <w:spacing w:after="0" w:line="20" w:lineRule="exact"/>
              <w:rPr>
                <w:sz w:val="1"/>
                <w:szCs w:val="1"/>
                <w:color w:val="auto"/>
              </w:rPr>
            </w:pPr>
          </w:p>
        </w:tc>
        <w:tc>
          <w:tcPr>
            <w:tcW w:w="3660" w:type="dxa"/>
            <w:vAlign w:val="bottom"/>
            <w:shd w:val="clear" w:color="auto" w:fill="CCEEFF"/>
          </w:tcPr>
          <w:p>
            <w:pPr>
              <w:spacing w:after="0" w:line="20" w:lineRule="exact"/>
              <w:rPr>
                <w:sz w:val="1"/>
                <w:szCs w:val="1"/>
                <w:color w:val="auto"/>
              </w:rPr>
            </w:pPr>
          </w:p>
        </w:tc>
        <w:tc>
          <w:tcPr>
            <w:tcW w:w="9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340" w:type="dxa"/>
            <w:vAlign w:val="bottom"/>
          </w:tcPr>
          <w:p>
            <w:pPr>
              <w:spacing w:after="0"/>
              <w:rPr>
                <w:sz w:val="18"/>
                <w:szCs w:val="18"/>
                <w:color w:val="auto"/>
              </w:rPr>
            </w:pPr>
          </w:p>
        </w:tc>
        <w:tc>
          <w:tcPr>
            <w:tcW w:w="366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Total sales revenue</w:t>
            </w: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110,272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116,980</w:t>
            </w: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112,956</w:t>
            </w:r>
          </w:p>
        </w:tc>
        <w:tc>
          <w:tcPr>
            <w:tcW w:w="14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116,647</w:t>
            </w: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43,269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45,660</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44,821</w:t>
            </w: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45,831</w:t>
            </w:r>
          </w:p>
        </w:tc>
      </w:tr>
      <w:tr>
        <w:trPr>
          <w:trHeight w:val="216"/>
        </w:trPr>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2,050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5,663</w:t>
            </w: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4,324</w:t>
            </w: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2,047</w:t>
            </w:r>
          </w:p>
        </w:tc>
        <w:tc>
          <w:tcPr>
            <w:tcW w:w="10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 (loss)</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(913)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4,289</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2,945</w:t>
            </w: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1,897</w:t>
            </w:r>
          </w:p>
        </w:tc>
        <w:tc>
          <w:tcPr>
            <w:tcW w:w="100" w:type="dxa"/>
            <w:vAlign w:val="bottom"/>
            <w:shd w:val="clear" w:color="auto" w:fill="CCEEFF"/>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Basic earnings (loss) per share</w:t>
            </w: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(0.09)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0.40</w:t>
            </w: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0.28</w:t>
            </w:r>
          </w:p>
        </w:tc>
        <w:tc>
          <w:tcPr>
            <w:tcW w:w="14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0.18</w:t>
            </w: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Diluted earnings (loss) per share</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(0.09)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0.40</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0.28</w:t>
            </w: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0.18</w:t>
            </w:r>
          </w:p>
        </w:tc>
      </w:tr>
      <w:tr>
        <w:trPr>
          <w:trHeight w:val="459"/>
        </w:trPr>
        <w:tc>
          <w:tcPr>
            <w:tcW w:w="34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2017</w:t>
            </w:r>
          </w:p>
        </w:tc>
        <w:tc>
          <w:tcPr>
            <w:tcW w:w="1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87"/>
        </w:trPr>
        <w:tc>
          <w:tcPr>
            <w:tcW w:w="34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gridSpan w:val="2"/>
          </w:tcPr>
          <w:p>
            <w:pPr>
              <w:jc w:val="center"/>
              <w:ind w:right="260"/>
              <w:spacing w:after="0" w:line="188" w:lineRule="exact"/>
              <w:rPr>
                <w:sz w:val="20"/>
                <w:szCs w:val="20"/>
                <w:color w:val="auto"/>
              </w:rPr>
            </w:pPr>
            <w:r>
              <w:rPr>
                <w:rFonts w:ascii="Times New Roman" w:cs="Times New Roman" w:eastAsia="Times New Roman" w:hAnsi="Times New Roman"/>
                <w:sz w:val="18"/>
                <w:szCs w:val="18"/>
                <w:b w:val="1"/>
                <w:bCs w:val="1"/>
                <w:color w:val="auto"/>
              </w:rPr>
              <w:t>First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gridSpan w:val="2"/>
          </w:tcPr>
          <w:p>
            <w:pPr>
              <w:jc w:val="center"/>
              <w:ind w:right="360"/>
              <w:spacing w:after="0" w:line="188" w:lineRule="exact"/>
              <w:rPr>
                <w:sz w:val="20"/>
                <w:szCs w:val="20"/>
                <w:color w:val="auto"/>
              </w:rPr>
            </w:pPr>
            <w:r>
              <w:rPr>
                <w:rFonts w:ascii="Times New Roman" w:cs="Times New Roman" w:eastAsia="Times New Roman" w:hAnsi="Times New Roman"/>
                <w:sz w:val="18"/>
                <w:szCs w:val="18"/>
                <w:b w:val="1"/>
                <w:bCs w:val="1"/>
                <w:color w:val="auto"/>
              </w:rPr>
              <w:t>Second</w:t>
            </w:r>
          </w:p>
        </w:tc>
        <w:tc>
          <w:tcPr>
            <w:tcW w:w="120" w:type="dxa"/>
            <w:vAlign w:val="bottom"/>
          </w:tcPr>
          <w:p>
            <w:pPr>
              <w:spacing w:after="0"/>
              <w:rPr>
                <w:sz w:val="16"/>
                <w:szCs w:val="16"/>
                <w:color w:val="auto"/>
              </w:rPr>
            </w:pPr>
          </w:p>
        </w:tc>
        <w:tc>
          <w:tcPr>
            <w:tcW w:w="1280" w:type="dxa"/>
            <w:vAlign w:val="bottom"/>
            <w:gridSpan w:val="2"/>
          </w:tcPr>
          <w:p>
            <w:pPr>
              <w:jc w:val="center"/>
              <w:ind w:right="300"/>
              <w:spacing w:after="0" w:line="188" w:lineRule="exact"/>
              <w:rPr>
                <w:sz w:val="20"/>
                <w:szCs w:val="20"/>
                <w:color w:val="auto"/>
              </w:rPr>
            </w:pPr>
            <w:r>
              <w:rPr>
                <w:rFonts w:ascii="Times New Roman" w:cs="Times New Roman" w:eastAsia="Times New Roman" w:hAnsi="Times New Roman"/>
                <w:sz w:val="18"/>
                <w:szCs w:val="18"/>
                <w:b w:val="1"/>
                <w:bCs w:val="1"/>
                <w:color w:val="auto"/>
              </w:rPr>
              <w:t>Third</w:t>
            </w:r>
          </w:p>
        </w:tc>
        <w:tc>
          <w:tcPr>
            <w:tcW w:w="140" w:type="dxa"/>
            <w:vAlign w:val="bottom"/>
          </w:tcPr>
          <w:p>
            <w:pPr>
              <w:spacing w:after="0"/>
              <w:rPr>
                <w:sz w:val="16"/>
                <w:szCs w:val="16"/>
                <w:color w:val="auto"/>
              </w:rPr>
            </w:pPr>
          </w:p>
        </w:tc>
        <w:tc>
          <w:tcPr>
            <w:tcW w:w="1080" w:type="dxa"/>
            <w:vAlign w:val="bottom"/>
          </w:tcPr>
          <w:p>
            <w:pPr>
              <w:jc w:val="center"/>
              <w:ind w:right="50"/>
              <w:spacing w:after="0" w:line="188" w:lineRule="exact"/>
              <w:rPr>
                <w:sz w:val="20"/>
                <w:szCs w:val="20"/>
                <w:color w:val="auto"/>
              </w:rPr>
            </w:pPr>
            <w:r>
              <w:rPr>
                <w:rFonts w:ascii="Times New Roman" w:cs="Times New Roman" w:eastAsia="Times New Roman" w:hAnsi="Times New Roman"/>
                <w:sz w:val="18"/>
                <w:szCs w:val="18"/>
                <w:b w:val="1"/>
                <w:bCs w:val="1"/>
                <w:color w:val="auto"/>
                <w:w w:val="99"/>
              </w:rPr>
              <w:t>Fourth</w:t>
            </w:r>
          </w:p>
        </w:tc>
        <w:tc>
          <w:tcPr>
            <w:tcW w:w="100" w:type="dxa"/>
            <w:vAlign w:val="bottom"/>
          </w:tcPr>
          <w:p>
            <w:pPr>
              <w:spacing w:after="0"/>
              <w:rPr>
                <w:sz w:val="16"/>
                <w:szCs w:val="16"/>
                <w:color w:val="auto"/>
              </w:rPr>
            </w:pPr>
          </w:p>
        </w:tc>
      </w:tr>
      <w:tr>
        <w:trPr>
          <w:trHeight w:val="238"/>
        </w:trPr>
        <w:tc>
          <w:tcPr>
            <w:tcW w:w="3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Quarter</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Quarter (4)</w:t>
            </w:r>
          </w:p>
        </w:tc>
        <w:tc>
          <w:tcPr>
            <w:tcW w:w="120" w:type="dxa"/>
            <w:vAlign w:val="bottom"/>
          </w:tcPr>
          <w:p>
            <w:pPr>
              <w:spacing w:after="0"/>
              <w:rPr>
                <w:sz w:val="20"/>
                <w:szCs w:val="20"/>
                <w:color w:val="auto"/>
              </w:rPr>
            </w:pPr>
          </w:p>
        </w:tc>
        <w:tc>
          <w:tcPr>
            <w:tcW w:w="12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Quarter (5)</w:t>
            </w:r>
          </w:p>
        </w:tc>
        <w:tc>
          <w:tcPr>
            <w:tcW w:w="140" w:type="dxa"/>
            <w:vAlign w:val="bottom"/>
          </w:tcPr>
          <w:p>
            <w:pPr>
              <w:spacing w:after="0"/>
              <w:rPr>
                <w:sz w:val="20"/>
                <w:szCs w:val="20"/>
                <w:color w:val="auto"/>
              </w:rPr>
            </w:pPr>
          </w:p>
        </w:tc>
        <w:tc>
          <w:tcPr>
            <w:tcW w:w="11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Quarter (6)</w:t>
            </w:r>
          </w:p>
        </w:tc>
      </w:tr>
      <w:tr>
        <w:trPr>
          <w:trHeight w:val="210"/>
        </w:trPr>
        <w:tc>
          <w:tcPr>
            <w:tcW w:w="3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93,698</w:t>
            </w: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100,294</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100,152</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103,953</w:t>
            </w:r>
          </w:p>
        </w:tc>
        <w:tc>
          <w:tcPr>
            <w:tcW w:w="10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Logistics</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12,194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13,831</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14,109</w:t>
            </w: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14,272</w:t>
            </w:r>
          </w:p>
        </w:tc>
      </w:tr>
      <w:tr>
        <w:trPr>
          <w:trHeight w:val="20"/>
        </w:trPr>
        <w:tc>
          <w:tcPr>
            <w:tcW w:w="340" w:type="dxa"/>
            <w:vAlign w:val="bottom"/>
          </w:tcPr>
          <w:p>
            <w:pPr>
              <w:spacing w:after="0" w:line="20" w:lineRule="exact"/>
              <w:rPr>
                <w:sz w:val="1"/>
                <w:szCs w:val="1"/>
                <w:color w:val="auto"/>
              </w:rPr>
            </w:pPr>
          </w:p>
        </w:tc>
        <w:tc>
          <w:tcPr>
            <w:tcW w:w="3660" w:type="dxa"/>
            <w:vAlign w:val="bottom"/>
            <w:shd w:val="clear" w:color="auto" w:fill="CCEEFF"/>
          </w:tcPr>
          <w:p>
            <w:pPr>
              <w:spacing w:after="0" w:line="20" w:lineRule="exact"/>
              <w:rPr>
                <w:sz w:val="1"/>
                <w:szCs w:val="1"/>
                <w:color w:val="auto"/>
              </w:rPr>
            </w:pPr>
          </w:p>
        </w:tc>
        <w:tc>
          <w:tcPr>
            <w:tcW w:w="96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340" w:type="dxa"/>
            <w:vAlign w:val="bottom"/>
          </w:tcPr>
          <w:p>
            <w:pPr>
              <w:spacing w:after="0"/>
              <w:rPr>
                <w:sz w:val="18"/>
                <w:szCs w:val="18"/>
                <w:color w:val="auto"/>
              </w:rPr>
            </w:pPr>
          </w:p>
        </w:tc>
        <w:tc>
          <w:tcPr>
            <w:tcW w:w="366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Total sales revenue</w:t>
            </w: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105,892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114,125</w:t>
            </w: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114,261</w:t>
            </w:r>
          </w:p>
        </w:tc>
        <w:tc>
          <w:tcPr>
            <w:tcW w:w="14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118,225</w:t>
            </w: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41,898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44,981</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45,320</w:t>
            </w: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45,380</w:t>
            </w:r>
          </w:p>
        </w:tc>
      </w:tr>
      <w:tr>
        <w:trPr>
          <w:trHeight w:val="216"/>
        </w:trPr>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4,664</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7,600</w:t>
            </w: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7,260</w:t>
            </w:r>
          </w:p>
        </w:tc>
        <w:tc>
          <w:tcPr>
            <w:tcW w:w="1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7,494</w:t>
            </w:r>
          </w:p>
        </w:tc>
        <w:tc>
          <w:tcPr>
            <w:tcW w:w="100" w:type="dxa"/>
            <w:vAlign w:val="bottom"/>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2,861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5,842</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4,579</w:t>
            </w: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4,974</w:t>
            </w:r>
          </w:p>
        </w:tc>
        <w:tc>
          <w:tcPr>
            <w:tcW w:w="100" w:type="dxa"/>
            <w:vAlign w:val="bottom"/>
            <w:shd w:val="clear" w:color="auto" w:fill="CCEEFF"/>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36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Basic earnings per share</w:t>
            </w: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0.27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0.55</w:t>
            </w:r>
          </w:p>
        </w:tc>
        <w:tc>
          <w:tcPr>
            <w:tcW w:w="12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0.43</w:t>
            </w:r>
          </w:p>
        </w:tc>
        <w:tc>
          <w:tcPr>
            <w:tcW w:w="14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0.46</w:t>
            </w:r>
          </w:p>
        </w:tc>
      </w:tr>
      <w:tr>
        <w:trPr>
          <w:trHeight w:val="216"/>
        </w:trPr>
        <w:tc>
          <w:tcPr>
            <w:tcW w:w="340" w:type="dxa"/>
            <w:vAlign w:val="bottom"/>
          </w:tcPr>
          <w:p>
            <w:pPr>
              <w:spacing w:after="0"/>
              <w:rPr>
                <w:sz w:val="18"/>
                <w:szCs w:val="18"/>
                <w:color w:val="auto"/>
              </w:rPr>
            </w:pPr>
          </w:p>
        </w:tc>
        <w:tc>
          <w:tcPr>
            <w:tcW w:w="36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0.27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0.54</w:t>
            </w: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0.43</w:t>
            </w: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0.46</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All quarters shown above for fiscal 2018 and 2017 consist of 13 week fiscal periods.</w:t>
      </w:r>
    </w:p>
    <w:p>
      <w:pPr>
        <w:spacing w:after="0" w:line="225" w:lineRule="exact"/>
        <w:rPr>
          <w:sz w:val="20"/>
          <w:szCs w:val="20"/>
          <w:color w:val="auto"/>
        </w:rPr>
      </w:pPr>
    </w:p>
    <w:p>
      <w:pPr>
        <w:ind w:left="660" w:hanging="328"/>
        <w:spacing w:after="0" w:line="261"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Net income includes a $2,157 charge to income tax expense arising from the remeasurement of our deferred tax assets due to the reduction in the Federal statutory income tax rate included in the Tax Cuts and Jobs Act.(see Note 14).</w:t>
      </w:r>
    </w:p>
    <w:p>
      <w:pPr>
        <w:ind w:left="660" w:hanging="328"/>
        <w:spacing w:after="0" w:line="250"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Income from operations includes a gain of $165 from the sale of our Spring, Texas retail store Isee Note 15). Net income includes a benefit of $155 in income tax expense arising from additional adjustments to the remeasurement of our deferred tax assets resulting from the Act (see Note 14).</w:t>
      </w:r>
    </w:p>
    <w:p>
      <w:pPr>
        <w:jc w:val="both"/>
        <w:ind w:left="660" w:hanging="328"/>
        <w:spacing w:after="0" w:line="250"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Income from operations includes a $469 asset impairment charge related to our Torrance, California retail store and a $301 charge for lease exit costs related to the closing of a store in San Antonio, Texas (see Note 15). Net income includes a $704 tax benefit arising from the final adjustment to our interim estimates of the impact of reduced federal income tax rates on the valuation of our deferred tax assets (see Note 14).</w:t>
      </w:r>
    </w:p>
    <w:p>
      <w:pPr>
        <w:spacing w:after="0" w:line="1" w:lineRule="exact"/>
        <w:rPr>
          <w:rFonts w:ascii="Times New Roman" w:cs="Times New Roman" w:eastAsia="Times New Roman" w:hAnsi="Times New Roman"/>
          <w:sz w:val="18"/>
          <w:szCs w:val="18"/>
          <w:color w:val="auto"/>
        </w:rPr>
      </w:pPr>
    </w:p>
    <w:p>
      <w:pPr>
        <w:ind w:left="660" w:hanging="328"/>
        <w:spacing w:after="0" w:line="250"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Net income includes a gain of $2,026 from the sale of an investment, net of related income tax effects of approximately $1,241 (see Note 9), and a loss of $672, net of related income tax effects of approximately $412, resulting from the impairment of retail real estate (see Note 2).</w:t>
      </w: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Income from operations included a gain of $1,220 from the sale of our Las Vegas, Nevada retail store (see Note 15).</w:t>
      </w:r>
    </w:p>
    <w:p>
      <w:pPr>
        <w:spacing w:after="0" w:line="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Net income includes a gain of $591 from the disposition of our interest in IMC, net of related income tax effects of approximately $363 (see Note 9).</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5" w:name="page66"/>
    <w:bookmarkEnd w:id="65"/>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9.</w:t>
      </w:r>
      <w:r>
        <w:rPr>
          <w:sz w:val="20"/>
          <w:szCs w:val="20"/>
          <w:color w:val="auto"/>
        </w:rPr>
        <w:tab/>
      </w:r>
      <w:r>
        <w:rPr>
          <w:rFonts w:ascii="Times New Roman" w:cs="Times New Roman" w:eastAsia="Times New Roman" w:hAnsi="Times New Roman"/>
          <w:sz w:val="17"/>
          <w:szCs w:val="17"/>
          <w:color w:val="auto"/>
        </w:rPr>
        <w:t>CHANGES IN AND DISAGREEMENTS WITH ACCOUNTANTS ON ACCOUNTING AND FINANCIAL DISCLOSURE</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9A.</w:t>
      </w:r>
      <w:r>
        <w:rPr>
          <w:sz w:val="20"/>
          <w:szCs w:val="20"/>
          <w:color w:val="auto"/>
        </w:rPr>
        <w:tab/>
      </w:r>
      <w:r>
        <w:rPr>
          <w:rFonts w:ascii="Times New Roman" w:cs="Times New Roman" w:eastAsia="Times New Roman" w:hAnsi="Times New Roman"/>
          <w:sz w:val="17"/>
          <w:szCs w:val="17"/>
          <w:color w:val="auto"/>
        </w:rPr>
        <w:t>CONTROLS AND PROCEDURES</w:t>
      </w:r>
    </w:p>
    <w:p>
      <w:pPr>
        <w:spacing w:after="0" w:line="229" w:lineRule="exact"/>
        <w:rPr>
          <w:sz w:val="20"/>
          <w:szCs w:val="20"/>
          <w:color w:val="auto"/>
        </w:rPr>
      </w:pPr>
    </w:p>
    <w:p>
      <w:pPr>
        <w:jc w:val="both"/>
        <w:ind w:left="660"/>
        <w:spacing w:after="0" w:line="252" w:lineRule="auto"/>
        <w:rPr>
          <w:sz w:val="20"/>
          <w:szCs w:val="20"/>
          <w:color w:val="auto"/>
        </w:rPr>
      </w:pPr>
      <w:r>
        <w:rPr>
          <w:rFonts w:ascii="Times New Roman" w:cs="Times New Roman" w:eastAsia="Times New Roman" w:hAnsi="Times New Roman"/>
          <w:sz w:val="18"/>
          <w:szCs w:val="18"/>
          <w:color w:val="auto"/>
        </w:rPr>
        <w:t>As of the end of the period covered by this Annual Report on Form 10-K, our principal executive officer and principal financial officer have evaluated the effectiveness of our “disclosure controls and procedures” (“Disclosure Controls”). Disclosure Controls, as defined in Rule 13a-15(e) of the Securities Exchange Act of 1934, as amended (the “Exchange Act”), are procedures that are designed to provide reasonable assurance that information required to be disclosed in our reports filed under the Exchange Act, such as this Annual Report, is recorded, processed, summarized and reported within the time periods specified in the Securities and Exchange Commission’s rules and forms. Disclosure Controls are also designed with the objective of ensuring that such information is accumulated and communicated to our management, including the CEO and CFO, as appropriate to allow timely decisions regarding required disclosure. Our management, including the CEO and CFO, does not expect that our Disclosure Controls will prevent all error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within the company have been detected. These inherent limitations include the realities that judgments in decision-making can be faulty, and that breakdowns can occur because of simple error or mistake. The design of any system of controls also is based in part upon certain assumptions about the likelihood of future events, and there can be no assurance that any design will succeed in achieving its stated goals under all potential future conditions.</w:t>
      </w:r>
    </w:p>
    <w:p>
      <w:pPr>
        <w:spacing w:after="0" w:line="19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Based upon their controls evaluation, our CEO and CFO have concluded that our Disclosure Controls are effective at a reasonable assurance level.</w:t>
      </w:r>
    </w:p>
    <w:p>
      <w:pPr>
        <w:spacing w:after="0" w:line="225" w:lineRule="exact"/>
        <w:rPr>
          <w:sz w:val="20"/>
          <w:szCs w:val="20"/>
          <w:color w:val="auto"/>
        </w:rPr>
      </w:pPr>
    </w:p>
    <w:p>
      <w:pPr>
        <w:jc w:val="both"/>
        <w:ind w:left="660"/>
        <w:spacing w:after="0" w:line="255" w:lineRule="auto"/>
        <w:rPr>
          <w:sz w:val="20"/>
          <w:szCs w:val="20"/>
          <w:color w:val="auto"/>
        </w:rPr>
      </w:pPr>
      <w:r>
        <w:rPr>
          <w:rFonts w:ascii="Times New Roman" w:cs="Times New Roman" w:eastAsia="Times New Roman" w:hAnsi="Times New Roman"/>
          <w:sz w:val="18"/>
          <w:szCs w:val="18"/>
          <w:color w:val="auto"/>
        </w:rPr>
        <w:t xml:space="preserve">We are responsible for establishing and maintaining adequate internal control over financial reporting in accordance with Exchange Act Rule 13a-15. With the participation of our CEO and CFO, our management conducted an evaluation of the effectiveness of our internal control over financial reporting as of November 24, 2018 based on the criteria established in </w:t>
      </w:r>
      <w:r>
        <w:rPr>
          <w:rFonts w:ascii="Times New Roman" w:cs="Times New Roman" w:eastAsia="Times New Roman" w:hAnsi="Times New Roman"/>
          <w:sz w:val="18"/>
          <w:szCs w:val="18"/>
          <w:i w:val="1"/>
          <w:iCs w:val="1"/>
          <w:color w:val="auto"/>
        </w:rPr>
        <w:t>Internal Control - Integrated Framework</w:t>
      </w:r>
      <w:r>
        <w:rPr>
          <w:rFonts w:ascii="Times New Roman" w:cs="Times New Roman" w:eastAsia="Times New Roman" w:hAnsi="Times New Roman"/>
          <w:sz w:val="18"/>
          <w:szCs w:val="18"/>
          <w:color w:val="auto"/>
        </w:rPr>
        <w:t xml:space="preserve"> issued by the Committee of Sponsoring Organizations of the Treadway Commission. Based on this evaluation, management concluded that our internal control over financial reporting was effective as of November 24, 2018, based on those criteria. A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within the Company have been detected.</w:t>
      </w:r>
    </w:p>
    <w:p>
      <w:pPr>
        <w:spacing w:after="0" w:line="185" w:lineRule="exact"/>
        <w:rPr>
          <w:sz w:val="20"/>
          <w:szCs w:val="20"/>
          <w:color w:val="auto"/>
        </w:rPr>
      </w:pPr>
    </w:p>
    <w:p>
      <w:pPr>
        <w:jc w:val="both"/>
        <w:ind w:left="660"/>
        <w:spacing w:after="0" w:line="282" w:lineRule="auto"/>
        <w:rPr>
          <w:sz w:val="20"/>
          <w:szCs w:val="20"/>
          <w:color w:val="auto"/>
        </w:rPr>
      </w:pPr>
      <w:r>
        <w:rPr>
          <w:rFonts w:ascii="Times New Roman" w:cs="Times New Roman" w:eastAsia="Times New Roman" w:hAnsi="Times New Roman"/>
          <w:sz w:val="18"/>
          <w:szCs w:val="18"/>
          <w:color w:val="auto"/>
        </w:rPr>
        <w:t>Ernst &amp; Young LLP, the Company’s independent registered public accounting firm, has issued an attestation report on the effectiveness of the Company’s internal control over financial reporting.</w:t>
      </w:r>
    </w:p>
    <w:p>
      <w:pPr>
        <w:spacing w:after="0" w:line="37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229" w:lineRule="exact"/>
        <w:rPr>
          <w:sz w:val="20"/>
          <w:szCs w:val="20"/>
          <w:color w:val="auto"/>
        </w:rPr>
      </w:pPr>
    </w:p>
    <w:p>
      <w:pPr>
        <w:jc w:val="both"/>
        <w:ind w:left="660" w:right="20"/>
        <w:spacing w:after="0" w:line="282" w:lineRule="auto"/>
        <w:rPr>
          <w:sz w:val="20"/>
          <w:szCs w:val="20"/>
          <w:color w:val="auto"/>
        </w:rPr>
      </w:pPr>
      <w:r>
        <w:rPr>
          <w:rFonts w:ascii="Times New Roman" w:cs="Times New Roman" w:eastAsia="Times New Roman" w:hAnsi="Times New Roman"/>
          <w:sz w:val="18"/>
          <w:szCs w:val="18"/>
          <w:color w:val="auto"/>
        </w:rPr>
        <w:t>There have been no changes in our internal controls over financial reporting during our fourth fiscal quarter that have materially affected, or are reasonably likely to materially affect, our internal control over financial reporting.</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63" w:right="239" w:bottom="1440" w:gutter="0" w:footer="0" w:header="0"/>
        </w:sectPr>
      </w:pPr>
    </w:p>
    <w:bookmarkStart w:id="66" w:name="page67"/>
    <w:bookmarkEnd w:id="66"/>
    <w:p>
      <w:pPr>
        <w:ind w:left="346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Board of Directors and Stockholders of Bassett Furniture Industries, Incorporated and Subsidiaries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Internal Control over Financial Reporting</w:t>
      </w:r>
    </w:p>
    <w:p>
      <w:pPr>
        <w:spacing w:after="0" w:line="229" w:lineRule="exact"/>
        <w:rPr>
          <w:sz w:val="20"/>
          <w:szCs w:val="20"/>
          <w:color w:val="auto"/>
        </w:rPr>
      </w:pPr>
    </w:p>
    <w:p>
      <w:pPr>
        <w:ind w:right="260"/>
        <w:spacing w:after="0" w:line="261" w:lineRule="auto"/>
        <w:rPr>
          <w:sz w:val="20"/>
          <w:szCs w:val="20"/>
          <w:color w:val="auto"/>
        </w:rPr>
      </w:pPr>
      <w:r>
        <w:rPr>
          <w:rFonts w:ascii="Times New Roman" w:cs="Times New Roman" w:eastAsia="Times New Roman" w:hAnsi="Times New Roman"/>
          <w:sz w:val="18"/>
          <w:szCs w:val="18"/>
          <w:color w:val="auto"/>
        </w:rPr>
        <w:t>We have audited Bassett Furniture Industries, Incorporated and Subsidiaries’ internal control over financial reporting as of November 24, 2018, based on criteria established in Internal Control—Integrated Framework issued by the Committee of Sponsoring Organizations of the Treadway Commission (2013 framework), (the COSO criteria). In our opinion, Bassett Furniture Industries, Incorporated and Subsidiaries (the Company) maintained, in all material respects, effective internal control over financial reporting as of November 24, 2018, based on the COSO criteria.</w:t>
      </w:r>
    </w:p>
    <w:p>
      <w:pPr>
        <w:spacing w:after="0" w:line="180"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We also have audited, in accordance with the standards of the Public Company Accounting Oversight Board (United States) (PCAOB), the consolidated balance sheets of the Company as of November 24, 2018 and November 25, 2017, and the related consolidated statements of income, comprehensive income, stockholders' equity and cash flows for each of the three years in the period ended November 24, 2018, and the related notes and schedule for each of the three years in the period ended November 24, 2018 and our report dated January 17, 2019 expressed an unqualified opinion thereon.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84"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pPr>
        <w:spacing w:after="0" w:line="162" w:lineRule="exact"/>
        <w:rPr>
          <w:sz w:val="20"/>
          <w:szCs w:val="20"/>
          <w:color w:val="auto"/>
        </w:rPr>
      </w:pPr>
    </w:p>
    <w:p>
      <w:pPr>
        <w:jc w:val="both"/>
        <w:ind w:right="440"/>
        <w:spacing w:after="0" w:line="266" w:lineRule="auto"/>
        <w:rPr>
          <w:sz w:val="20"/>
          <w:szCs w:val="20"/>
          <w:color w:val="auto"/>
        </w:rPr>
      </w:pPr>
      <w:r>
        <w:rPr>
          <w:rFonts w:ascii="Times New Roman" w:cs="Times New Roman" w:eastAsia="Times New Roman" w:hAnsi="Times New Roman"/>
          <w:sz w:val="18"/>
          <w:szCs w:val="18"/>
          <w:color w:val="auto"/>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Definition and Limitations of Internal Control Over Financial Reporting</w:t>
      </w:r>
    </w:p>
    <w:p>
      <w:pPr>
        <w:spacing w:after="0" w:line="229"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89"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Richmond, Virginia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pacing w:after="0" w:line="2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576" w:right="279" w:bottom="1440" w:gutter="0" w:footer="0" w:header="0"/>
        </w:sectPr>
      </w:pPr>
    </w:p>
    <w:bookmarkStart w:id="67" w:name="page68"/>
    <w:bookmarkEnd w:id="67"/>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9B</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OTHER INFORMATION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PART III</w:t>
      </w:r>
    </w:p>
    <w:p>
      <w:pPr>
        <w:spacing w:after="0" w:line="225"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7"/>
          <w:szCs w:val="17"/>
          <w:color w:val="auto"/>
        </w:rPr>
        <w:t>DIRECTORS AND EXECUTIVE OFFICERS OF THE REGISTRANT</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information to be contained in the Proxy Statement under the captions “Election of Directors,” “Board and Board Committee Information,” and “Section 16(a) Beneficial Ownership Reporting Compliance” is incorporated herein by reference thereto. Please see section entitled “Executive Officers of the Registrant” in Item 4B of Part I of this report for information concerning executive officers.</w:t>
      </w:r>
    </w:p>
    <w:p>
      <w:pPr>
        <w:spacing w:after="0" w:line="176"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Registrant has a code of ethics that applies to all of its employees, officers and directors. The code of ethics is available on the Registrant’s website at www.bassettfurniture.com and the Registrant will post any amendments to, or waivers, from, the code of ethics on that website.</w:t>
      </w:r>
    </w:p>
    <w:p>
      <w:pPr>
        <w:spacing w:after="0" w:line="158"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11.</w:t>
      </w:r>
      <w:r>
        <w:rPr>
          <w:sz w:val="20"/>
          <w:szCs w:val="20"/>
          <w:color w:val="auto"/>
        </w:rPr>
        <w:tab/>
      </w:r>
      <w:r>
        <w:rPr>
          <w:rFonts w:ascii="Times New Roman" w:cs="Times New Roman" w:eastAsia="Times New Roman" w:hAnsi="Times New Roman"/>
          <w:sz w:val="17"/>
          <w:szCs w:val="17"/>
          <w:color w:val="auto"/>
        </w:rPr>
        <w:t>EXECUTIVE COMPENSATION</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information to be contained in the Proxy Statement under the captions “Organization, Compensation and Nominating Committee Report,” “Compensation Discussion and Analysis,” “Executive Compensation,” and “Director Compensation” is incorporated herein by reference thereto.</w:t>
      </w:r>
    </w:p>
    <w:p>
      <w:pPr>
        <w:spacing w:after="0" w:line="158"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12.</w:t>
      </w:r>
      <w:r>
        <w:rPr>
          <w:sz w:val="20"/>
          <w:szCs w:val="20"/>
          <w:color w:val="auto"/>
        </w:rPr>
        <w:tab/>
      </w:r>
      <w:r>
        <w:rPr>
          <w:rFonts w:ascii="Times New Roman" w:cs="Times New Roman" w:eastAsia="Times New Roman" w:hAnsi="Times New Roman"/>
          <w:sz w:val="17"/>
          <w:szCs w:val="17"/>
          <w:color w:val="auto"/>
        </w:rPr>
        <w:t>SECURITY OWNERSHIP OF CERTAIN BENEFICIAL OWNERS AND MANAGEMENT AND RELATED STOCKHOLDER MATTERS</w:t>
      </w:r>
    </w:p>
    <w:p>
      <w:pPr>
        <w:spacing w:after="0" w:line="229" w:lineRule="exact"/>
        <w:rPr>
          <w:sz w:val="20"/>
          <w:szCs w:val="20"/>
          <w:color w:val="auto"/>
        </w:rPr>
      </w:pPr>
    </w:p>
    <w:p>
      <w:pPr>
        <w:jc w:val="both"/>
        <w:ind w:left="440" w:right="20"/>
        <w:spacing w:after="0" w:line="282" w:lineRule="auto"/>
        <w:rPr>
          <w:sz w:val="20"/>
          <w:szCs w:val="20"/>
          <w:color w:val="auto"/>
        </w:rPr>
      </w:pPr>
      <w:r>
        <w:rPr>
          <w:rFonts w:ascii="Times New Roman" w:cs="Times New Roman" w:eastAsia="Times New Roman" w:hAnsi="Times New Roman"/>
          <w:sz w:val="18"/>
          <w:szCs w:val="18"/>
          <w:color w:val="auto"/>
        </w:rPr>
        <w:t>The information to be contained in the Proxy Statement under the headings “Principal Stockholders and Holdings of Management” and “Equity Compensation Plan Information” is incorporated herein by reference thereto.</w:t>
      </w:r>
    </w:p>
    <w:p>
      <w:pPr>
        <w:spacing w:after="0" w:line="158"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13.</w:t>
      </w:r>
      <w:r>
        <w:rPr>
          <w:sz w:val="20"/>
          <w:szCs w:val="20"/>
          <w:color w:val="auto"/>
        </w:rPr>
        <w:tab/>
      </w:r>
      <w:r>
        <w:rPr>
          <w:rFonts w:ascii="Times New Roman" w:cs="Times New Roman" w:eastAsia="Times New Roman" w:hAnsi="Times New Roman"/>
          <w:sz w:val="17"/>
          <w:szCs w:val="17"/>
          <w:color w:val="auto"/>
        </w:rPr>
        <w:t>CERTAIN RELATIONSHIPS AND RELATED TRANSACTIONS</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information to be contained in the Proxy Statement under the captions “Board and Board Committee Information” and “Other Transactions” is incorporated herein by reference thereto.</w:t>
      </w:r>
    </w:p>
    <w:p>
      <w:pPr>
        <w:spacing w:after="0" w:line="158"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14.</w:t>
      </w:r>
      <w:r>
        <w:rPr>
          <w:sz w:val="20"/>
          <w:szCs w:val="20"/>
          <w:color w:val="auto"/>
        </w:rPr>
        <w:tab/>
      </w:r>
      <w:r>
        <w:rPr>
          <w:rFonts w:ascii="Times New Roman" w:cs="Times New Roman" w:eastAsia="Times New Roman" w:hAnsi="Times New Roman"/>
          <w:sz w:val="17"/>
          <w:szCs w:val="17"/>
          <w:color w:val="auto"/>
        </w:rPr>
        <w:t>PRINCIPAL ACCOUNTING FEES AND SERVICES</w:t>
      </w:r>
    </w:p>
    <w:p>
      <w:pPr>
        <w:spacing w:after="0" w:line="229"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The information to be contained in the Proxy Statement under the caption “Audit and Other Fees” is incorporated herein by reference thereto.</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8" w:name="page69"/>
    <w:bookmarkEnd w:id="68"/>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PART IV</w:t>
      </w:r>
    </w:p>
    <w:p>
      <w:pPr>
        <w:spacing w:after="0" w:line="225"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15.</w:t>
      </w:r>
      <w:r>
        <w:rPr>
          <w:sz w:val="20"/>
          <w:szCs w:val="20"/>
          <w:color w:val="auto"/>
        </w:rPr>
        <w:tab/>
      </w:r>
      <w:r>
        <w:rPr>
          <w:rFonts w:ascii="Times New Roman" w:cs="Times New Roman" w:eastAsia="Times New Roman" w:hAnsi="Times New Roman"/>
          <w:sz w:val="17"/>
          <w:szCs w:val="17"/>
          <w:color w:val="auto"/>
        </w:rPr>
        <w:t>EXHIBITS, FINANCIAL STATEMENT SCHEDULES</w:t>
      </w:r>
    </w:p>
    <w:p>
      <w:pPr>
        <w:spacing w:after="0" w:line="200" w:lineRule="exact"/>
        <w:rPr>
          <w:sz w:val="20"/>
          <w:szCs w:val="20"/>
          <w:color w:val="auto"/>
        </w:rPr>
      </w:pPr>
    </w:p>
    <w:p>
      <w:pPr>
        <w:spacing w:after="0" w:line="245" w:lineRule="exact"/>
        <w:rPr>
          <w:sz w:val="20"/>
          <w:szCs w:val="20"/>
          <w:color w:val="auto"/>
        </w:rPr>
      </w:pPr>
    </w:p>
    <w:p>
      <w:pPr>
        <w:ind w:left="720" w:hanging="712"/>
        <w:spacing w:after="0" w:line="282" w:lineRule="auto"/>
        <w:tabs>
          <w:tab w:leader="none" w:pos="369"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Bassett Furniture Industries, Incorporated and Subsidiaries Audited Consolidated Financial Statements for the years ended November 24, 2018, November 25, 2017 and November 26, 2015.</w:t>
      </w:r>
    </w:p>
    <w:p>
      <w:pPr>
        <w:spacing w:after="0" w:line="161" w:lineRule="exact"/>
        <w:rPr>
          <w:rFonts w:ascii="Times New Roman" w:cs="Times New Roman" w:eastAsia="Times New Roman" w:hAnsi="Times New Roman"/>
          <w:sz w:val="18"/>
          <w:szCs w:val="18"/>
          <w:color w:val="auto"/>
        </w:rPr>
      </w:pPr>
    </w:p>
    <w:p>
      <w:pPr>
        <w:ind w:left="720" w:hanging="361"/>
        <w:spacing w:after="0"/>
        <w:tabs>
          <w:tab w:leader="none" w:pos="72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 Schedule:</w:t>
      </w:r>
    </w:p>
    <w:p>
      <w:pPr>
        <w:spacing w:after="0" w:line="225" w:lineRule="exact"/>
        <w:rPr>
          <w:rFonts w:ascii="Times New Roman" w:cs="Times New Roman" w:eastAsia="Times New Roman" w:hAnsi="Times New Roman"/>
          <w:sz w:val="18"/>
          <w:szCs w:val="18"/>
          <w:color w:val="auto"/>
        </w:rPr>
      </w:pPr>
    </w:p>
    <w:p>
      <w:pPr>
        <w:ind w:left="7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Schedule II- Analysis of Valuation and Qualifying Accounts for the years ended November 25, 2017, November 26, 2016 and November 28, 2015</w:t>
      </w:r>
    </w:p>
    <w:p>
      <w:pPr>
        <w:spacing w:after="0" w:line="225" w:lineRule="exact"/>
        <w:rPr>
          <w:rFonts w:ascii="Times New Roman" w:cs="Times New Roman" w:eastAsia="Times New Roman" w:hAnsi="Times New Roman"/>
          <w:sz w:val="18"/>
          <w:szCs w:val="18"/>
          <w:color w:val="auto"/>
        </w:rPr>
      </w:pPr>
    </w:p>
    <w:p>
      <w:pPr>
        <w:ind w:left="720" w:hanging="361"/>
        <w:spacing w:after="0"/>
        <w:tabs>
          <w:tab w:leader="none" w:pos="72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Listing of Exhibits</w:t>
      </w:r>
    </w:p>
    <w:p>
      <w:pPr>
        <w:spacing w:after="0" w:line="225" w:lineRule="exact"/>
        <w:rPr>
          <w:sz w:val="20"/>
          <w:szCs w:val="20"/>
          <w:color w:val="auto"/>
        </w:rPr>
      </w:pPr>
    </w:p>
    <w:p>
      <w:pPr>
        <w:ind w:left="1360"/>
        <w:spacing w:after="0"/>
        <w:tabs>
          <w:tab w:leader="none" w:pos="1820" w:val="left"/>
        </w:tabs>
        <w:rPr>
          <w:sz w:val="20"/>
          <w:szCs w:val="20"/>
          <w:color w:val="auto"/>
        </w:rPr>
      </w:pPr>
      <w:r>
        <w:rPr>
          <w:rFonts w:ascii="Times New Roman" w:cs="Times New Roman" w:eastAsia="Times New Roman" w:hAnsi="Times New Roman"/>
          <w:sz w:val="18"/>
          <w:szCs w:val="18"/>
          <w:color w:val="auto"/>
        </w:rPr>
        <w:t>3A.</w:t>
        <w:tab/>
        <w:t>Articles of Incorporation as amended are incorporated herein by reference to Form 10-Q for the fiscal quarter ended February 28,</w:t>
      </w:r>
    </w:p>
    <w:p>
      <w:pPr>
        <w:spacing w:after="0" w:line="27"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18"/>
          <w:szCs w:val="18"/>
          <w:color w:val="auto"/>
        </w:rPr>
        <w:t>1994.</w:t>
      </w:r>
    </w:p>
    <w:p>
      <w:pPr>
        <w:spacing w:after="0" w:line="207" w:lineRule="exact"/>
        <w:rPr>
          <w:sz w:val="20"/>
          <w:szCs w:val="20"/>
          <w:color w:val="auto"/>
        </w:rPr>
      </w:pPr>
    </w:p>
    <w:p>
      <w:pPr>
        <w:ind w:left="1380"/>
        <w:spacing w:after="0"/>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3B.</w:t>
      </w:r>
      <w:r>
        <w:rPr>
          <w:sz w:val="20"/>
          <w:szCs w:val="20"/>
          <w:color w:val="auto"/>
        </w:rPr>
        <w:tab/>
      </w:r>
      <w:hyperlink r:id="rId74">
        <w:r>
          <w:rPr>
            <w:rFonts w:ascii="Times New Roman" w:cs="Times New Roman" w:eastAsia="Times New Roman" w:hAnsi="Times New Roman"/>
            <w:sz w:val="18"/>
            <w:szCs w:val="18"/>
            <w:u w:val="single" w:color="auto"/>
            <w:color w:val="0000EE"/>
          </w:rPr>
          <w:t>By-laws as amended to date are incorporated herein by reference to Exhibit 3 to Form 8-K filed with the SEC on January 17, 2017.</w:t>
        </w:r>
      </w:hyperlink>
    </w:p>
    <w:p>
      <w:pPr>
        <w:spacing w:after="0" w:line="225" w:lineRule="exact"/>
        <w:rPr>
          <w:sz w:val="20"/>
          <w:szCs w:val="20"/>
          <w:color w:val="auto"/>
        </w:rPr>
      </w:pPr>
    </w:p>
    <w:p>
      <w:pPr>
        <w:jc w:val="both"/>
        <w:ind w:left="1840" w:hanging="479"/>
        <w:spacing w:after="0" w:line="266"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4A.</w:t>
      </w:r>
      <w:r>
        <w:rPr>
          <w:sz w:val="20"/>
          <w:szCs w:val="20"/>
          <w:color w:val="auto"/>
        </w:rPr>
        <w:tab/>
      </w:r>
      <w:hyperlink r:id="rId75">
        <w:r>
          <w:rPr>
            <w:rFonts w:ascii="Times New Roman" w:cs="Times New Roman" w:eastAsia="Times New Roman" w:hAnsi="Times New Roman"/>
            <w:sz w:val="18"/>
            <w:szCs w:val="18"/>
            <w:u w:val="single" w:color="auto"/>
            <w:color w:val="0000EE"/>
          </w:rPr>
          <w:t>Fifth Amended and Restated Credit Agreement with BB&amp;T dated December 5, 2015 is incorporated herein by reference to Form 10-</w:t>
        </w:r>
      </w:hyperlink>
      <w:hyperlink r:id="rId75">
        <w:r>
          <w:rPr>
            <w:rFonts w:ascii="Times New Roman" w:cs="Times New Roman" w:eastAsia="Times New Roman" w:hAnsi="Times New Roman"/>
            <w:sz w:val="18"/>
            <w:szCs w:val="18"/>
            <w:u w:val="single" w:color="auto"/>
            <w:color w:val="0000EE"/>
          </w:rPr>
          <w:t>Q for the fiscal quarter ended February 27, 2016, filed March 31, 2016. Registrant hereby agrees to furnish the SEC, upon request,</w:t>
        </w:r>
      </w:hyperlink>
      <w:r>
        <w:rPr>
          <w:rFonts w:ascii="Times New Roman" w:cs="Times New Roman" w:eastAsia="Times New Roman" w:hAnsi="Times New Roman"/>
          <w:sz w:val="18"/>
          <w:szCs w:val="18"/>
          <w:u w:val="single" w:color="auto"/>
          <w:color w:val="0000EE"/>
        </w:rPr>
        <w:t xml:space="preserve"> </w:t>
      </w:r>
      <w:hyperlink r:id="rId75">
        <w:r>
          <w:rPr>
            <w:rFonts w:ascii="Times New Roman" w:cs="Times New Roman" w:eastAsia="Times New Roman" w:hAnsi="Times New Roman"/>
            <w:sz w:val="18"/>
            <w:szCs w:val="18"/>
            <w:u w:val="single" w:color="auto"/>
            <w:color w:val="0000EE"/>
          </w:rPr>
          <w:t>other instruments defining the rights of holders of long-term debt of the Registrant.</w:t>
        </w:r>
      </w:hyperlink>
    </w:p>
    <w:p>
      <w:pPr>
        <w:spacing w:after="0" w:line="176" w:lineRule="exact"/>
        <w:rPr>
          <w:rFonts w:ascii="Times New Roman" w:cs="Times New Roman" w:eastAsia="Times New Roman" w:hAnsi="Times New Roman"/>
          <w:sz w:val="18"/>
          <w:szCs w:val="18"/>
          <w:u w:val="single" w:color="auto"/>
          <w:color w:val="0000EE"/>
        </w:rPr>
      </w:pPr>
    </w:p>
    <w:p>
      <w:pPr>
        <w:ind w:left="1380"/>
        <w:spacing w:after="0"/>
        <w:tabs>
          <w:tab w:leader="none" w:pos="1820" w:val="left"/>
        </w:tabs>
        <w:rPr>
          <w:sz w:val="20"/>
          <w:szCs w:val="20"/>
          <w:color w:val="auto"/>
        </w:rPr>
      </w:pPr>
      <w:r>
        <w:rPr>
          <w:rFonts w:ascii="Times New Roman" w:cs="Times New Roman" w:eastAsia="Times New Roman" w:hAnsi="Times New Roman"/>
          <w:sz w:val="18"/>
          <w:szCs w:val="18"/>
          <w:color w:val="auto"/>
        </w:rPr>
        <w:t>4B.</w:t>
      </w:r>
      <w:r>
        <w:rPr>
          <w:sz w:val="20"/>
          <w:szCs w:val="20"/>
          <w:color w:val="auto"/>
        </w:rPr>
        <w:tab/>
      </w:r>
      <w:r>
        <w:rPr>
          <w:rFonts w:ascii="Times New Roman" w:cs="Times New Roman" w:eastAsia="Times New Roman" w:hAnsi="Times New Roman"/>
          <w:sz w:val="18"/>
          <w:szCs w:val="18"/>
          <w:u w:val="single" w:color="auto"/>
          <w:color w:val="0000EE"/>
        </w:rPr>
        <w:t>First Amendment to Fifth Amended and Restated Credit Agreement with BB&amp;T dated November 15, 2018.</w:t>
      </w:r>
    </w:p>
    <w:p>
      <w:pPr>
        <w:spacing w:after="0" w:line="225" w:lineRule="exact"/>
        <w:rPr>
          <w:rFonts w:ascii="Times New Roman" w:cs="Times New Roman" w:eastAsia="Times New Roman" w:hAnsi="Times New Roman"/>
          <w:sz w:val="18"/>
          <w:szCs w:val="18"/>
          <w:u w:val="single" w:color="auto"/>
          <w:color w:val="0000EE"/>
        </w:rPr>
      </w:pPr>
    </w:p>
    <w:p>
      <w:pPr>
        <w:jc w:val="both"/>
        <w:ind w:left="1840" w:hanging="639"/>
        <w:spacing w:after="0" w:line="282"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*10B.</w:t>
      </w:r>
      <w:r>
        <w:rPr>
          <w:sz w:val="20"/>
          <w:szCs w:val="20"/>
          <w:color w:val="auto"/>
        </w:rPr>
        <w:tab/>
      </w:r>
      <w:hyperlink r:id="rId76">
        <w:r>
          <w:rPr>
            <w:rFonts w:ascii="Times New Roman" w:cs="Times New Roman" w:eastAsia="Times New Roman" w:hAnsi="Times New Roman"/>
            <w:sz w:val="18"/>
            <w:szCs w:val="18"/>
            <w:u w:val="single" w:color="auto"/>
            <w:color w:val="0000EE"/>
          </w:rPr>
          <w:t>Bassett Executive Deferred Compensation Plan is incorporated herein by reference to Form 10-K for the fiscal year ended</w:t>
        </w:r>
      </w:hyperlink>
      <w:r>
        <w:rPr>
          <w:rFonts w:ascii="Times New Roman" w:cs="Times New Roman" w:eastAsia="Times New Roman" w:hAnsi="Times New Roman"/>
          <w:sz w:val="18"/>
          <w:szCs w:val="18"/>
          <w:u w:val="single" w:color="auto"/>
          <w:color w:val="0000EE"/>
        </w:rPr>
        <w:t xml:space="preserve"> </w:t>
      </w:r>
      <w:hyperlink r:id="rId76">
        <w:r>
          <w:rPr>
            <w:rFonts w:ascii="Times New Roman" w:cs="Times New Roman" w:eastAsia="Times New Roman" w:hAnsi="Times New Roman"/>
            <w:sz w:val="18"/>
            <w:szCs w:val="18"/>
            <w:u w:val="single" w:color="auto"/>
            <w:color w:val="0000EE"/>
          </w:rPr>
          <w:t>November 30, 1997.</w:t>
        </w:r>
      </w:hyperlink>
    </w:p>
    <w:p>
      <w:pPr>
        <w:spacing w:after="0" w:line="162" w:lineRule="exact"/>
        <w:rPr>
          <w:sz w:val="20"/>
          <w:szCs w:val="20"/>
          <w:color w:val="auto"/>
        </w:rPr>
      </w:pPr>
    </w:p>
    <w:p>
      <w:pPr>
        <w:ind w:left="1200"/>
        <w:spacing w:after="0"/>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*10C.</w:t>
      </w:r>
      <w:r>
        <w:rPr>
          <w:sz w:val="20"/>
          <w:szCs w:val="20"/>
          <w:color w:val="auto"/>
        </w:rPr>
        <w:tab/>
      </w:r>
      <w:hyperlink r:id="rId76">
        <w:r>
          <w:rPr>
            <w:rFonts w:ascii="Times New Roman" w:cs="Times New Roman" w:eastAsia="Times New Roman" w:hAnsi="Times New Roman"/>
            <w:sz w:val="18"/>
            <w:szCs w:val="18"/>
            <w:u w:val="single" w:color="auto"/>
            <w:color w:val="0000EE"/>
          </w:rPr>
          <w:t>Bassett Supplemental Retirement Income Plan is incorporated herein by reference to Form 10-K for the fiscal year ended November</w:t>
        </w:r>
      </w:hyperlink>
    </w:p>
    <w:p>
      <w:pPr>
        <w:spacing w:after="0" w:line="27" w:lineRule="exact"/>
        <w:rPr>
          <w:sz w:val="20"/>
          <w:szCs w:val="20"/>
          <w:color w:val="auto"/>
        </w:rPr>
      </w:pPr>
    </w:p>
    <w:p>
      <w:pPr>
        <w:ind w:left="1840"/>
        <w:spacing w:after="0"/>
        <w:rPr>
          <w:rFonts w:ascii="Times New Roman" w:cs="Times New Roman" w:eastAsia="Times New Roman" w:hAnsi="Times New Roman"/>
          <w:sz w:val="18"/>
          <w:szCs w:val="18"/>
          <w:u w:val="single" w:color="auto"/>
          <w:color w:val="0000EE"/>
        </w:rPr>
      </w:pPr>
      <w:hyperlink r:id="rId76">
        <w:r>
          <w:rPr>
            <w:rFonts w:ascii="Times New Roman" w:cs="Times New Roman" w:eastAsia="Times New Roman" w:hAnsi="Times New Roman"/>
            <w:sz w:val="18"/>
            <w:szCs w:val="18"/>
            <w:u w:val="single" w:color="auto"/>
            <w:color w:val="0000EE"/>
          </w:rPr>
          <w:t>30, 1997.</w:t>
        </w:r>
      </w:hyperlink>
    </w:p>
    <w:p>
      <w:pPr>
        <w:spacing w:after="0" w:line="207" w:lineRule="exact"/>
        <w:rPr>
          <w:sz w:val="20"/>
          <w:szCs w:val="20"/>
          <w:color w:val="auto"/>
        </w:rPr>
      </w:pPr>
    </w:p>
    <w:p>
      <w:pPr>
        <w:ind w:left="1180"/>
        <w:spacing w:after="0"/>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*10H.</w:t>
      </w:r>
      <w:r>
        <w:rPr>
          <w:sz w:val="20"/>
          <w:szCs w:val="20"/>
          <w:color w:val="auto"/>
        </w:rPr>
        <w:tab/>
      </w:r>
      <w:hyperlink r:id="rId77">
        <w:r>
          <w:rPr>
            <w:rFonts w:ascii="Times New Roman" w:cs="Times New Roman" w:eastAsia="Times New Roman" w:hAnsi="Times New Roman"/>
            <w:sz w:val="18"/>
            <w:szCs w:val="18"/>
            <w:u w:val="single" w:color="auto"/>
            <w:color w:val="0000EE"/>
          </w:rPr>
          <w:t>Bassett Furniture Directors Compensation is incorporated herein by reference to Form 10-K for the fiscal year ended November 26,</w:t>
        </w:r>
      </w:hyperlink>
    </w:p>
    <w:p>
      <w:pPr>
        <w:spacing w:after="0" w:line="27" w:lineRule="exact"/>
        <w:rPr>
          <w:sz w:val="20"/>
          <w:szCs w:val="20"/>
          <w:color w:val="auto"/>
        </w:rPr>
      </w:pPr>
    </w:p>
    <w:p>
      <w:pPr>
        <w:ind w:left="1840"/>
        <w:spacing w:after="0"/>
        <w:rPr>
          <w:rFonts w:ascii="Times New Roman" w:cs="Times New Roman" w:eastAsia="Times New Roman" w:hAnsi="Times New Roman"/>
          <w:sz w:val="18"/>
          <w:szCs w:val="18"/>
          <w:u w:val="single" w:color="auto"/>
          <w:color w:val="0000EE"/>
        </w:rPr>
      </w:pPr>
      <w:hyperlink r:id="rId77">
        <w:r>
          <w:rPr>
            <w:rFonts w:ascii="Times New Roman" w:cs="Times New Roman" w:eastAsia="Times New Roman" w:hAnsi="Times New Roman"/>
            <w:sz w:val="18"/>
            <w:szCs w:val="18"/>
            <w:u w:val="single" w:color="auto"/>
            <w:color w:val="0000EE"/>
          </w:rPr>
          <w:t>2005.</w:t>
        </w:r>
      </w:hyperlink>
    </w:p>
    <w:p>
      <w:pPr>
        <w:spacing w:after="0" w:line="207" w:lineRule="exact"/>
        <w:rPr>
          <w:sz w:val="20"/>
          <w:szCs w:val="20"/>
          <w:color w:val="auto"/>
        </w:rPr>
      </w:pPr>
    </w:p>
    <w:p>
      <w:pPr>
        <w:ind w:left="1180"/>
        <w:spacing w:after="0"/>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*10K.</w:t>
      </w:r>
      <w:r>
        <w:rPr>
          <w:sz w:val="20"/>
          <w:szCs w:val="20"/>
          <w:color w:val="auto"/>
        </w:rPr>
        <w:tab/>
      </w:r>
      <w:hyperlink r:id="rId78">
        <w:r>
          <w:rPr>
            <w:rFonts w:ascii="Times New Roman" w:cs="Times New Roman" w:eastAsia="Times New Roman" w:hAnsi="Times New Roman"/>
            <w:sz w:val="18"/>
            <w:szCs w:val="18"/>
            <w:u w:val="single" w:color="auto"/>
            <w:color w:val="0000EE"/>
          </w:rPr>
          <w:t>Bassett Furniture Industries, Inc. Amended and Restated 2010 Stock Incentive Plan is incorporated herein by reference to Schedule</w:t>
        </w:r>
      </w:hyperlink>
    </w:p>
    <w:p>
      <w:pPr>
        <w:spacing w:after="0" w:line="27" w:lineRule="exact"/>
        <w:rPr>
          <w:sz w:val="20"/>
          <w:szCs w:val="20"/>
          <w:color w:val="auto"/>
        </w:rPr>
      </w:pPr>
    </w:p>
    <w:p>
      <w:pPr>
        <w:ind w:left="1840"/>
        <w:spacing w:after="0"/>
        <w:rPr>
          <w:rFonts w:ascii="Times New Roman" w:cs="Times New Roman" w:eastAsia="Times New Roman" w:hAnsi="Times New Roman"/>
          <w:sz w:val="18"/>
          <w:szCs w:val="18"/>
          <w:u w:val="single" w:color="auto"/>
          <w:color w:val="0000EE"/>
        </w:rPr>
      </w:pPr>
      <w:hyperlink r:id="rId78">
        <w:r>
          <w:rPr>
            <w:rFonts w:ascii="Times New Roman" w:cs="Times New Roman" w:eastAsia="Times New Roman" w:hAnsi="Times New Roman"/>
            <w:sz w:val="18"/>
            <w:szCs w:val="18"/>
            <w:u w:val="single" w:color="auto"/>
            <w:color w:val="0000EE"/>
          </w:rPr>
          <w:t>14A, Exhibit A, filed on February 8, 2016.</w:t>
        </w:r>
      </w:hyperlink>
    </w:p>
    <w:p>
      <w:pPr>
        <w:spacing w:after="0" w:line="207" w:lineRule="exact"/>
        <w:rPr>
          <w:sz w:val="20"/>
          <w:szCs w:val="20"/>
          <w:color w:val="auto"/>
        </w:rPr>
      </w:pPr>
    </w:p>
    <w:p>
      <w:pPr>
        <w:jc w:val="both"/>
        <w:ind w:left="1840" w:hanging="639"/>
        <w:spacing w:after="0" w:line="266"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*10L.</w:t>
      </w:r>
      <w:r>
        <w:rPr>
          <w:sz w:val="20"/>
          <w:szCs w:val="20"/>
          <w:color w:val="auto"/>
        </w:rPr>
        <w:tab/>
      </w:r>
      <w:hyperlink r:id="rId79">
        <w:r>
          <w:rPr>
            <w:rFonts w:ascii="Times New Roman" w:cs="Times New Roman" w:eastAsia="Times New Roman" w:hAnsi="Times New Roman"/>
            <w:sz w:val="18"/>
            <w:szCs w:val="18"/>
            <w:u w:val="single" w:color="auto"/>
            <w:color w:val="0000EE"/>
          </w:rPr>
          <w:t>Form of Performance Share Award Agreement, Restricted Stock Award Agreement and Stock Option Award Agreement under the</w:t>
        </w:r>
      </w:hyperlink>
      <w:r>
        <w:rPr>
          <w:rFonts w:ascii="Times New Roman" w:cs="Times New Roman" w:eastAsia="Times New Roman" w:hAnsi="Times New Roman"/>
          <w:sz w:val="18"/>
          <w:szCs w:val="18"/>
          <w:u w:val="single" w:color="auto"/>
          <w:color w:val="0000EE"/>
        </w:rPr>
        <w:t xml:space="preserve"> </w:t>
      </w:r>
      <w:hyperlink r:id="rId79">
        <w:r>
          <w:rPr>
            <w:rFonts w:ascii="Times New Roman" w:cs="Times New Roman" w:eastAsia="Times New Roman" w:hAnsi="Times New Roman"/>
            <w:sz w:val="18"/>
            <w:szCs w:val="18"/>
            <w:u w:val="single" w:color="auto"/>
            <w:color w:val="0000EE"/>
          </w:rPr>
          <w:t>Bassett Furniture Industries, Inc. 2010 Stock Incentive Plan is incorporated herein by reference to Form 10-K for the fiscal year</w:t>
        </w:r>
      </w:hyperlink>
      <w:r>
        <w:rPr>
          <w:rFonts w:ascii="Times New Roman" w:cs="Times New Roman" w:eastAsia="Times New Roman" w:hAnsi="Times New Roman"/>
          <w:sz w:val="18"/>
          <w:szCs w:val="18"/>
          <w:u w:val="single" w:color="auto"/>
          <w:color w:val="0000EE"/>
        </w:rPr>
        <w:t xml:space="preserve"> </w:t>
      </w:r>
      <w:hyperlink r:id="rId79">
        <w:r>
          <w:rPr>
            <w:rFonts w:ascii="Times New Roman" w:cs="Times New Roman" w:eastAsia="Times New Roman" w:hAnsi="Times New Roman"/>
            <w:sz w:val="18"/>
            <w:szCs w:val="18"/>
            <w:u w:val="single" w:color="auto"/>
            <w:color w:val="0000EE"/>
          </w:rPr>
          <w:t>ended November 30, 2013.</w:t>
        </w:r>
      </w:hyperlink>
    </w:p>
    <w:p>
      <w:pPr>
        <w:spacing w:after="0" w:line="176" w:lineRule="exact"/>
        <w:rPr>
          <w:rFonts w:ascii="Times New Roman" w:cs="Times New Roman" w:eastAsia="Times New Roman" w:hAnsi="Times New Roman"/>
          <w:sz w:val="18"/>
          <w:szCs w:val="18"/>
          <w:u w:val="single" w:color="auto"/>
          <w:color w:val="0000EE"/>
        </w:rPr>
      </w:pPr>
    </w:p>
    <w:p>
      <w:pPr>
        <w:ind w:left="1840" w:hanging="679"/>
        <w:spacing w:after="0" w:line="282"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*10M.</w:t>
      </w:r>
      <w:r>
        <w:rPr>
          <w:sz w:val="20"/>
          <w:szCs w:val="20"/>
          <w:color w:val="auto"/>
        </w:rPr>
        <w:tab/>
      </w:r>
      <w:hyperlink r:id="rId80">
        <w:r>
          <w:rPr>
            <w:rFonts w:ascii="Times New Roman" w:cs="Times New Roman" w:eastAsia="Times New Roman" w:hAnsi="Times New Roman"/>
            <w:sz w:val="18"/>
            <w:szCs w:val="18"/>
            <w:u w:val="single" w:color="auto"/>
            <w:color w:val="0000EE"/>
          </w:rPr>
          <w:t>Schedule of Terms for Employment Continuity Agreements with Certain Executive Officers is incorporated herein by reference to</w:t>
        </w:r>
      </w:hyperlink>
      <w:r>
        <w:rPr>
          <w:rFonts w:ascii="Times New Roman" w:cs="Times New Roman" w:eastAsia="Times New Roman" w:hAnsi="Times New Roman"/>
          <w:sz w:val="18"/>
          <w:szCs w:val="18"/>
          <w:u w:val="single" w:color="auto"/>
          <w:color w:val="0000EE"/>
        </w:rPr>
        <w:t xml:space="preserve"> </w:t>
      </w:r>
      <w:hyperlink r:id="rId80">
        <w:r>
          <w:rPr>
            <w:rFonts w:ascii="Times New Roman" w:cs="Times New Roman" w:eastAsia="Times New Roman" w:hAnsi="Times New Roman"/>
            <w:sz w:val="18"/>
            <w:szCs w:val="18"/>
            <w:u w:val="single" w:color="auto"/>
            <w:color w:val="0000EE"/>
          </w:rPr>
          <w:t>Form 10-Q for the quarterly period ended March 1, 2014.</w:t>
        </w:r>
      </w:hyperlink>
    </w:p>
    <w:p>
      <w:pPr>
        <w:spacing w:after="0" w:line="162" w:lineRule="exact"/>
        <w:rPr>
          <w:sz w:val="20"/>
          <w:szCs w:val="20"/>
          <w:color w:val="auto"/>
        </w:rPr>
      </w:pPr>
    </w:p>
    <w:p>
      <w:pPr>
        <w:ind w:left="1840" w:right="20" w:hanging="659"/>
        <w:spacing w:after="0" w:line="282"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*10N.</w:t>
      </w:r>
      <w:r>
        <w:rPr>
          <w:sz w:val="20"/>
          <w:szCs w:val="20"/>
          <w:color w:val="auto"/>
        </w:rPr>
        <w:tab/>
      </w:r>
      <w:hyperlink r:id="rId81">
        <w:r>
          <w:rPr>
            <w:rFonts w:ascii="Times New Roman" w:cs="Times New Roman" w:eastAsia="Times New Roman" w:hAnsi="Times New Roman"/>
            <w:sz w:val="18"/>
            <w:szCs w:val="18"/>
            <w:u w:val="single" w:color="auto"/>
            <w:color w:val="0000EE"/>
          </w:rPr>
          <w:t>Restated Supplemental Retirement Income Plan, effective May 1, 2014, is incorporated herein by reference to Form 10-Q for the</w:t>
        </w:r>
      </w:hyperlink>
      <w:r>
        <w:rPr>
          <w:rFonts w:ascii="Times New Roman" w:cs="Times New Roman" w:eastAsia="Times New Roman" w:hAnsi="Times New Roman"/>
          <w:sz w:val="18"/>
          <w:szCs w:val="18"/>
          <w:u w:val="single" w:color="auto"/>
          <w:color w:val="0000EE"/>
        </w:rPr>
        <w:t xml:space="preserve"> </w:t>
      </w:r>
      <w:hyperlink r:id="rId81">
        <w:r>
          <w:rPr>
            <w:rFonts w:ascii="Times New Roman" w:cs="Times New Roman" w:eastAsia="Times New Roman" w:hAnsi="Times New Roman"/>
            <w:sz w:val="18"/>
            <w:szCs w:val="18"/>
            <w:u w:val="single" w:color="auto"/>
            <w:color w:val="0000EE"/>
          </w:rPr>
          <w:t>quarterly period ended May 31, 2014.</w:t>
        </w:r>
      </w:hyperlink>
    </w:p>
    <w:p>
      <w:pPr>
        <w:spacing w:after="0" w:line="162" w:lineRule="exact"/>
        <w:rPr>
          <w:sz w:val="20"/>
          <w:szCs w:val="20"/>
          <w:color w:val="auto"/>
        </w:rPr>
      </w:pPr>
    </w:p>
    <w:p>
      <w:pPr>
        <w:ind w:left="1840" w:hanging="659"/>
        <w:spacing w:after="0" w:line="282"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*10O.</w:t>
      </w:r>
      <w:r>
        <w:rPr>
          <w:sz w:val="20"/>
          <w:szCs w:val="20"/>
          <w:color w:val="auto"/>
        </w:rPr>
        <w:tab/>
      </w:r>
      <w:hyperlink r:id="rId82">
        <w:r>
          <w:rPr>
            <w:rFonts w:ascii="Times New Roman" w:cs="Times New Roman" w:eastAsia="Times New Roman" w:hAnsi="Times New Roman"/>
            <w:sz w:val="18"/>
            <w:szCs w:val="18"/>
            <w:u w:val="single" w:color="auto"/>
            <w:color w:val="0000EE"/>
          </w:rPr>
          <w:t>Bassett Furniture Industries, Incorporated Management Savings Plan incorporated by reference to Exhibit 10.1 to Form 8-K filed</w:t>
        </w:r>
      </w:hyperlink>
      <w:r>
        <w:rPr>
          <w:rFonts w:ascii="Times New Roman" w:cs="Times New Roman" w:eastAsia="Times New Roman" w:hAnsi="Times New Roman"/>
          <w:sz w:val="18"/>
          <w:szCs w:val="18"/>
          <w:u w:val="single" w:color="auto"/>
          <w:color w:val="0000EE"/>
        </w:rPr>
        <w:t xml:space="preserve"> </w:t>
      </w:r>
      <w:hyperlink r:id="rId82">
        <w:r>
          <w:rPr>
            <w:rFonts w:ascii="Times New Roman" w:cs="Times New Roman" w:eastAsia="Times New Roman" w:hAnsi="Times New Roman"/>
            <w:sz w:val="18"/>
            <w:szCs w:val="18"/>
            <w:u w:val="single" w:color="auto"/>
            <w:color w:val="0000EE"/>
          </w:rPr>
          <w:t>with the SEC on May 5, 2017.</w:t>
        </w:r>
      </w:hyperlink>
    </w:p>
    <w:p>
      <w:pPr>
        <w:spacing w:after="0" w:line="162" w:lineRule="exact"/>
        <w:rPr>
          <w:sz w:val="20"/>
          <w:szCs w:val="20"/>
          <w:color w:val="auto"/>
        </w:rPr>
      </w:pPr>
    </w:p>
    <w:p>
      <w:pPr>
        <w:ind w:left="1840" w:hanging="599"/>
        <w:spacing w:after="0" w:line="282" w:lineRule="auto"/>
        <w:tabs>
          <w:tab w:leader="none" w:pos="18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*10P.</w:t>
      </w:r>
      <w:r>
        <w:rPr>
          <w:sz w:val="20"/>
          <w:szCs w:val="20"/>
          <w:color w:val="auto"/>
        </w:rPr>
        <w:tab/>
      </w:r>
      <w:hyperlink r:id="rId83">
        <w:r>
          <w:rPr>
            <w:rFonts w:ascii="Times New Roman" w:cs="Times New Roman" w:eastAsia="Times New Roman" w:hAnsi="Times New Roman"/>
            <w:sz w:val="18"/>
            <w:szCs w:val="18"/>
            <w:u w:val="single" w:color="auto"/>
            <w:color w:val="0000EE"/>
          </w:rPr>
          <w:t>Form of Long Term Cash Award under Bassett Furniture Industries, Incorporated Management Savings Plan incorporated by</w:t>
        </w:r>
      </w:hyperlink>
      <w:r>
        <w:rPr>
          <w:rFonts w:ascii="Times New Roman" w:cs="Times New Roman" w:eastAsia="Times New Roman" w:hAnsi="Times New Roman"/>
          <w:sz w:val="18"/>
          <w:szCs w:val="18"/>
          <w:u w:val="single" w:color="auto"/>
          <w:color w:val="0000EE"/>
        </w:rPr>
        <w:t xml:space="preserve"> </w:t>
      </w:r>
      <w:hyperlink r:id="rId83">
        <w:r>
          <w:rPr>
            <w:rFonts w:ascii="Times New Roman" w:cs="Times New Roman" w:eastAsia="Times New Roman" w:hAnsi="Times New Roman"/>
            <w:sz w:val="18"/>
            <w:szCs w:val="18"/>
            <w:u w:val="single" w:color="auto"/>
            <w:color w:val="0000EE"/>
          </w:rPr>
          <w:t>reference to Exhibit 10.2 to Form 8-K filed with the SEC on May 5, 2017.</w:t>
        </w:r>
      </w:hyperlink>
    </w:p>
    <w:p>
      <w:pPr>
        <w:spacing w:after="0" w:line="162" w:lineRule="exact"/>
        <w:rPr>
          <w:sz w:val="20"/>
          <w:szCs w:val="20"/>
          <w:color w:val="auto"/>
        </w:rPr>
      </w:pPr>
    </w:p>
    <w:p>
      <w:pPr>
        <w:ind w:left="1840" w:hanging="436"/>
        <w:spacing w:after="0"/>
        <w:tabs>
          <w:tab w:leader="none" w:pos="18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0000EE"/>
        </w:rPr>
        <w:t>List of subsidiaries of the Registrant</w:t>
      </w:r>
    </w:p>
    <w:p>
      <w:pPr>
        <w:spacing w:after="0" w:line="225" w:lineRule="exact"/>
        <w:rPr>
          <w:sz w:val="20"/>
          <w:szCs w:val="20"/>
          <w:color w:val="auto"/>
        </w:rPr>
      </w:pPr>
    </w:p>
    <w:p>
      <w:pPr>
        <w:ind w:left="1280"/>
        <w:spacing w:after="0"/>
        <w:tabs>
          <w:tab w:leader="none" w:pos="1820" w:val="left"/>
        </w:tabs>
        <w:rPr>
          <w:sz w:val="20"/>
          <w:szCs w:val="20"/>
          <w:color w:val="auto"/>
        </w:rPr>
      </w:pPr>
      <w:r>
        <w:rPr>
          <w:rFonts w:ascii="Times New Roman" w:cs="Times New Roman" w:eastAsia="Times New Roman" w:hAnsi="Times New Roman"/>
          <w:sz w:val="18"/>
          <w:szCs w:val="18"/>
          <w:color w:val="auto"/>
        </w:rPr>
        <w:t>23A.</w:t>
      </w:r>
      <w:r>
        <w:rPr>
          <w:sz w:val="20"/>
          <w:szCs w:val="20"/>
          <w:color w:val="auto"/>
        </w:rPr>
        <w:tab/>
      </w:r>
      <w:r>
        <w:rPr>
          <w:rFonts w:ascii="Times New Roman" w:cs="Times New Roman" w:eastAsia="Times New Roman" w:hAnsi="Times New Roman"/>
          <w:sz w:val="18"/>
          <w:szCs w:val="18"/>
          <w:u w:val="single" w:color="auto"/>
          <w:color w:val="0000EE"/>
        </w:rPr>
        <w:t>Consent of Independent Registered Public Accounting Firm</w:t>
      </w:r>
    </w:p>
    <w:p>
      <w:pPr>
        <w:spacing w:after="0" w:line="225" w:lineRule="exact"/>
        <w:rPr>
          <w:sz w:val="20"/>
          <w:szCs w:val="20"/>
          <w:color w:val="auto"/>
        </w:rPr>
      </w:pPr>
    </w:p>
    <w:p>
      <w:pPr>
        <w:ind w:left="1280"/>
        <w:spacing w:after="0"/>
        <w:tabs>
          <w:tab w:leader="none" w:pos="1820" w:val="left"/>
        </w:tabs>
        <w:rPr>
          <w:sz w:val="20"/>
          <w:szCs w:val="20"/>
          <w:color w:val="auto"/>
        </w:rPr>
      </w:pPr>
      <w:r>
        <w:rPr>
          <w:rFonts w:ascii="Times New Roman" w:cs="Times New Roman" w:eastAsia="Times New Roman" w:hAnsi="Times New Roman"/>
          <w:sz w:val="18"/>
          <w:szCs w:val="18"/>
          <w:color w:val="auto"/>
        </w:rPr>
        <w:t>31A.</w:t>
      </w:r>
      <w:r>
        <w:rPr>
          <w:sz w:val="20"/>
          <w:szCs w:val="20"/>
          <w:color w:val="auto"/>
        </w:rPr>
        <w:tab/>
      </w:r>
      <w:r>
        <w:rPr>
          <w:rFonts w:ascii="Times New Roman" w:cs="Times New Roman" w:eastAsia="Times New Roman" w:hAnsi="Times New Roman"/>
          <w:sz w:val="18"/>
          <w:szCs w:val="18"/>
          <w:u w:val="single" w:color="auto"/>
          <w:color w:val="0000EE"/>
        </w:rPr>
        <w:t>Certification of Robert H. Spilman, Jr., President and Chief Executive Officer, pursuant to Section 302 of the Sarbanes-Oxley Act of</w:t>
      </w:r>
    </w:p>
    <w:p>
      <w:pPr>
        <w:spacing w:after="0" w:line="27"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18"/>
          <w:szCs w:val="18"/>
          <w:u w:val="single" w:color="auto"/>
          <w:color w:val="0000EE"/>
        </w:rPr>
        <w:t>2002.</w:t>
      </w:r>
    </w:p>
    <w:p>
      <w:pPr>
        <w:spacing w:after="0" w:line="207" w:lineRule="exact"/>
        <w:rPr>
          <w:sz w:val="20"/>
          <w:szCs w:val="20"/>
          <w:color w:val="auto"/>
        </w:rPr>
      </w:pPr>
    </w:p>
    <w:p>
      <w:pPr>
        <w:ind w:left="1840" w:hanging="559"/>
        <w:spacing w:after="0" w:line="282" w:lineRule="auto"/>
        <w:tabs>
          <w:tab w:leader="none" w:pos="1820" w:val="left"/>
        </w:tabs>
        <w:rPr>
          <w:sz w:val="20"/>
          <w:szCs w:val="20"/>
          <w:color w:val="auto"/>
        </w:rPr>
      </w:pPr>
      <w:r>
        <w:rPr>
          <w:rFonts w:ascii="Times New Roman" w:cs="Times New Roman" w:eastAsia="Times New Roman" w:hAnsi="Times New Roman"/>
          <w:sz w:val="18"/>
          <w:szCs w:val="18"/>
          <w:color w:val="auto"/>
        </w:rPr>
        <w:t>31B.</w:t>
      </w:r>
      <w:r>
        <w:rPr>
          <w:sz w:val="20"/>
          <w:szCs w:val="20"/>
          <w:color w:val="auto"/>
        </w:rPr>
        <w:tab/>
      </w:r>
      <w:r>
        <w:rPr>
          <w:rFonts w:ascii="Times New Roman" w:cs="Times New Roman" w:eastAsia="Times New Roman" w:hAnsi="Times New Roman"/>
          <w:sz w:val="18"/>
          <w:szCs w:val="18"/>
          <w:u w:val="single" w:color="auto"/>
          <w:color w:val="0000EE"/>
        </w:rPr>
        <w:t>Certification of J. Michael Daniel, Senior Vice President and Chief Financial Officer, pursuant to Section 302 of the Sarbanes-Oxley Act of 2002.</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69" w:name="page70"/>
    <w:bookmarkEnd w:id="69"/>
    <w:tbl>
      <w:tblPr>
        <w:tblLayout w:type="fixed"/>
        <w:tblInd w:w="960" w:type="dxa"/>
        <w:tblCellMar>
          <w:top w:w="0" w:type="dxa"/>
          <w:left w:w="0" w:type="dxa"/>
          <w:bottom w:w="0" w:type="dxa"/>
          <w:right w:w="0" w:type="dxa"/>
        </w:tblCellMar>
      </w:tblPr>
      <w:tr>
        <w:trPr>
          <w:trHeight w:val="207"/>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32A.</w:t>
            </w:r>
          </w:p>
        </w:tc>
        <w:tc>
          <w:tcPr>
            <w:tcW w:w="9580" w:type="dxa"/>
            <w:vAlign w:val="bottom"/>
            <w:tcBorders>
              <w:bottom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0000EE"/>
              </w:rPr>
              <w:t>Certification of Robert H. Spilman, Jr., President and Chief Executive Officer pursuant to 18 U.S.C. 1350, as adopted pursuant to</w:t>
            </w:r>
          </w:p>
        </w:tc>
      </w:tr>
      <w:tr>
        <w:trPr>
          <w:trHeight w:val="196"/>
        </w:trPr>
        <w:tc>
          <w:tcPr>
            <w:tcW w:w="880" w:type="dxa"/>
            <w:vAlign w:val="bottom"/>
          </w:tcPr>
          <w:p>
            <w:pPr>
              <w:spacing w:after="0"/>
              <w:rPr>
                <w:sz w:val="17"/>
                <w:szCs w:val="17"/>
                <w:color w:val="auto"/>
              </w:rPr>
            </w:pPr>
          </w:p>
        </w:tc>
        <w:tc>
          <w:tcPr>
            <w:tcW w:w="9580" w:type="dxa"/>
            <w:vAlign w:val="bottom"/>
            <w:gridSpan w:val="3"/>
          </w:tcPr>
          <w:p>
            <w:pPr>
              <w:spacing w:after="0" w:line="196" w:lineRule="exact"/>
              <w:rPr>
                <w:sz w:val="20"/>
                <w:szCs w:val="20"/>
                <w:color w:val="auto"/>
              </w:rPr>
            </w:pPr>
            <w:r>
              <w:rPr>
                <w:rFonts w:ascii="Times New Roman" w:cs="Times New Roman" w:eastAsia="Times New Roman" w:hAnsi="Times New Roman"/>
                <w:sz w:val="18"/>
                <w:szCs w:val="18"/>
                <w:color w:val="0000EE"/>
              </w:rPr>
              <w:t>Section 906 of the Sarbanes-Oxley Act of 2002.</w:t>
            </w:r>
          </w:p>
        </w:tc>
      </w:tr>
      <w:tr>
        <w:trPr>
          <w:trHeight w:val="20"/>
        </w:trPr>
        <w:tc>
          <w:tcPr>
            <w:tcW w:w="880" w:type="dxa"/>
            <w:vAlign w:val="bottom"/>
          </w:tcPr>
          <w:p>
            <w:pPr>
              <w:spacing w:after="0" w:line="20" w:lineRule="exact"/>
              <w:rPr>
                <w:sz w:val="1"/>
                <w:szCs w:val="1"/>
                <w:color w:val="auto"/>
              </w:rPr>
            </w:pPr>
          </w:p>
        </w:tc>
        <w:tc>
          <w:tcPr>
            <w:tcW w:w="3460" w:type="dxa"/>
            <w:vAlign w:val="bottom"/>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r>
      <w:tr>
        <w:trPr>
          <w:trHeight w:val="412"/>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32B.</w:t>
            </w:r>
          </w:p>
        </w:tc>
        <w:tc>
          <w:tcPr>
            <w:tcW w:w="9580" w:type="dxa"/>
            <w:vAlign w:val="bottom"/>
            <w:tcBorders>
              <w:bottom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0000EE"/>
              </w:rPr>
              <w:t>Certification of J. Michael Daniel, Senior Vice President and Chief Financial Officer, pursuant to 18 U.S.C. 1350, as adopted</w:t>
            </w:r>
          </w:p>
        </w:tc>
      </w:tr>
      <w:tr>
        <w:trPr>
          <w:trHeight w:val="196"/>
        </w:trPr>
        <w:tc>
          <w:tcPr>
            <w:tcW w:w="880" w:type="dxa"/>
            <w:vAlign w:val="bottom"/>
          </w:tcPr>
          <w:p>
            <w:pPr>
              <w:spacing w:after="0"/>
              <w:rPr>
                <w:sz w:val="17"/>
                <w:szCs w:val="17"/>
                <w:color w:val="auto"/>
              </w:rPr>
            </w:pPr>
          </w:p>
        </w:tc>
        <w:tc>
          <w:tcPr>
            <w:tcW w:w="4320" w:type="dxa"/>
            <w:vAlign w:val="bottom"/>
            <w:tcBorders>
              <w:bottom w:val="single" w:sz="8" w:color="0000EE"/>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EE"/>
                <w:w w:val="99"/>
              </w:rPr>
              <w:t>pursuant to Section 906 of the Sarbanes-Oxley Act of 2002.</w:t>
            </w:r>
          </w:p>
        </w:tc>
        <w:tc>
          <w:tcPr>
            <w:tcW w:w="5260" w:type="dxa"/>
            <w:vAlign w:val="bottom"/>
          </w:tcPr>
          <w:p>
            <w:pPr>
              <w:spacing w:after="0"/>
              <w:rPr>
                <w:sz w:val="17"/>
                <w:szCs w:val="17"/>
                <w:color w:val="auto"/>
              </w:rPr>
            </w:pPr>
          </w:p>
        </w:tc>
      </w:tr>
      <w:tr>
        <w:trPr>
          <w:trHeight w:val="453"/>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101.INS</w:t>
            </w:r>
          </w:p>
        </w:tc>
        <w:tc>
          <w:tcPr>
            <w:tcW w:w="9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XBRL Instance</w:t>
            </w:r>
          </w:p>
        </w:tc>
      </w:tr>
      <w:tr>
        <w:trPr>
          <w:trHeight w:val="432"/>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96"/>
              </w:rPr>
              <w:t>101.SCH</w:t>
            </w:r>
          </w:p>
        </w:tc>
        <w:tc>
          <w:tcPr>
            <w:tcW w:w="9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XBRL Taxonomy Extension Schema</w:t>
            </w:r>
          </w:p>
        </w:tc>
      </w:tr>
      <w:tr>
        <w:trPr>
          <w:trHeight w:val="432"/>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94"/>
              </w:rPr>
              <w:t>101.CAL</w:t>
            </w:r>
          </w:p>
        </w:tc>
        <w:tc>
          <w:tcPr>
            <w:tcW w:w="9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XBRL Taxonomy Extension Calculation</w:t>
            </w:r>
          </w:p>
        </w:tc>
      </w:tr>
      <w:tr>
        <w:trPr>
          <w:trHeight w:val="432"/>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97"/>
              </w:rPr>
              <w:t>101.DEF</w:t>
            </w:r>
          </w:p>
        </w:tc>
        <w:tc>
          <w:tcPr>
            <w:tcW w:w="9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XBRL Taxonomy Extension Definition</w:t>
            </w:r>
          </w:p>
        </w:tc>
      </w:tr>
      <w:tr>
        <w:trPr>
          <w:trHeight w:val="432"/>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94"/>
              </w:rPr>
              <w:t>101.LAB</w:t>
            </w:r>
          </w:p>
        </w:tc>
        <w:tc>
          <w:tcPr>
            <w:tcW w:w="9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XBRL Taxonomy Extension Labels</w:t>
            </w:r>
          </w:p>
        </w:tc>
      </w:tr>
      <w:tr>
        <w:trPr>
          <w:trHeight w:val="432"/>
        </w:trPr>
        <w:tc>
          <w:tcPr>
            <w:tcW w:w="88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99"/>
              </w:rPr>
              <w:t>101.PRE</w:t>
            </w:r>
          </w:p>
        </w:tc>
        <w:tc>
          <w:tcPr>
            <w:tcW w:w="95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XBRL Taxonomy Extension Presentation</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898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83" w:lineRule="exact"/>
        <w:rPr>
          <w:sz w:val="20"/>
          <w:szCs w:val="20"/>
          <w:color w:val="auto"/>
        </w:rPr>
      </w:pPr>
    </w:p>
    <w:p>
      <w:pPr>
        <w:ind w:left="440" w:hanging="432"/>
        <w:spacing w:after="0"/>
        <w:tabs>
          <w:tab w:leader="none" w:pos="4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Management contract or compensatory plan or arrangement of the Company.</w:t>
      </w:r>
    </w:p>
    <w:p>
      <w:pPr>
        <w:spacing w:after="0" w:line="200" w:lineRule="exact"/>
        <w:rPr>
          <w:sz w:val="20"/>
          <w:szCs w:val="20"/>
          <w:color w:val="auto"/>
        </w:rPr>
      </w:pPr>
    </w:p>
    <w:p>
      <w:pPr>
        <w:spacing w:after="0" w:line="237" w:lineRule="exact"/>
        <w:rPr>
          <w:sz w:val="20"/>
          <w:szCs w:val="20"/>
          <w:color w:val="auto"/>
        </w:rPr>
      </w:pPr>
    </w:p>
    <w:p>
      <w:pPr>
        <w:spacing w:after="0"/>
        <w:tabs>
          <w:tab w:leader="none" w:pos="960" w:val="left"/>
        </w:tabs>
        <w:rPr>
          <w:sz w:val="20"/>
          <w:szCs w:val="20"/>
          <w:color w:val="auto"/>
        </w:rPr>
      </w:pPr>
      <w:r>
        <w:rPr>
          <w:rFonts w:ascii="Times New Roman" w:cs="Times New Roman" w:eastAsia="Times New Roman" w:hAnsi="Times New Roman"/>
          <w:sz w:val="18"/>
          <w:szCs w:val="18"/>
          <w:b w:val="1"/>
          <w:bCs w:val="1"/>
          <w:color w:val="auto"/>
        </w:rPr>
        <w:t>ITEM 16.</w:t>
      </w:r>
      <w:r>
        <w:rPr>
          <w:sz w:val="20"/>
          <w:szCs w:val="20"/>
          <w:color w:val="auto"/>
        </w:rPr>
        <w:tab/>
      </w:r>
      <w:r>
        <w:rPr>
          <w:rFonts w:ascii="Times New Roman" w:cs="Times New Roman" w:eastAsia="Times New Roman" w:hAnsi="Times New Roman"/>
          <w:sz w:val="17"/>
          <w:szCs w:val="17"/>
          <w:color w:val="auto"/>
        </w:rPr>
        <w:t>FORM 10-K SUMMARY</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67" w:right="239" w:bottom="1440" w:gutter="0" w:footer="0" w:header="0"/>
        </w:sectPr>
      </w:pPr>
    </w:p>
    <w:bookmarkStart w:id="70" w:name="page71"/>
    <w:bookmarkEnd w:id="70"/>
    <w:p>
      <w:pPr>
        <w:spacing w:after="0"/>
        <w:rPr>
          <w:sz w:val="20"/>
          <w:szCs w:val="20"/>
          <w:color w:val="auto"/>
        </w:rPr>
      </w:pPr>
      <w:r>
        <w:rPr>
          <w:rFonts w:ascii="Times New Roman" w:cs="Times New Roman" w:eastAsia="Times New Roman" w:hAnsi="Times New Roman"/>
          <w:sz w:val="18"/>
          <w:szCs w:val="18"/>
          <w:u w:val="single" w:color="auto"/>
          <w:color w:val="auto"/>
        </w:rPr>
        <w:t>SIGNATURES</w:t>
      </w:r>
    </w:p>
    <w:p>
      <w:pPr>
        <w:spacing w:after="0" w:line="225"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BASSETT FURNITURE INDUSTRIES, INCORPORATED (Registrant)</w:t>
            </w:r>
          </w:p>
        </w:tc>
        <w:tc>
          <w:tcPr>
            <w:tcW w:w="1660" w:type="dxa"/>
            <w:vAlign w:val="bottom"/>
          </w:tcPr>
          <w:p>
            <w:pPr>
              <w:spacing w:after="0"/>
              <w:rPr>
                <w:sz w:val="20"/>
                <w:szCs w:val="20"/>
                <w:color w:val="auto"/>
              </w:rPr>
            </w:pPr>
          </w:p>
        </w:tc>
      </w:tr>
      <w:tr>
        <w:trPr>
          <w:trHeight w:val="432"/>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Robert H. Spilman, Jr.</w:t>
            </w:r>
          </w:p>
        </w:tc>
        <w:tc>
          <w:tcPr>
            <w:tcW w:w="1660" w:type="dxa"/>
            <w:vAlign w:val="bottom"/>
          </w:tcPr>
          <w:p>
            <w:pPr>
              <w:spacing w:after="0"/>
              <w:rPr>
                <w:sz w:val="20"/>
                <w:szCs w:val="20"/>
                <w:color w:val="auto"/>
              </w:rPr>
            </w:pPr>
            <w:r>
              <w:rPr>
                <w:rFonts w:ascii="Times New Roman" w:cs="Times New Roman" w:eastAsia="Times New Roman" w:hAnsi="Times New Roman"/>
                <w:sz w:val="18"/>
                <w:szCs w:val="18"/>
                <w:color w:val="auto"/>
                <w:w w:val="98"/>
              </w:rPr>
              <w:t>Date: January 17, 2019</w:t>
            </w:r>
          </w:p>
        </w:tc>
      </w:tr>
      <w:tr>
        <w:trPr>
          <w:trHeight w:val="191"/>
        </w:trPr>
        <w:tc>
          <w:tcPr>
            <w:tcW w:w="300" w:type="dxa"/>
            <w:vAlign w:val="bottom"/>
          </w:tcPr>
          <w:p>
            <w:pPr>
              <w:spacing w:after="0"/>
              <w:rPr>
                <w:sz w:val="16"/>
                <w:szCs w:val="16"/>
                <w:color w:val="auto"/>
              </w:rPr>
            </w:pPr>
          </w:p>
        </w:tc>
        <w:tc>
          <w:tcPr>
            <w:tcW w:w="70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Robert H. Spilman, Jr.</w:t>
            </w:r>
          </w:p>
        </w:tc>
        <w:tc>
          <w:tcPr>
            <w:tcW w:w="1660" w:type="dxa"/>
            <w:vAlign w:val="bottom"/>
          </w:tcPr>
          <w:p>
            <w:pPr>
              <w:spacing w:after="0"/>
              <w:rPr>
                <w:sz w:val="16"/>
                <w:szCs w:val="16"/>
                <w:color w:val="auto"/>
              </w:rPr>
            </w:pPr>
          </w:p>
        </w:tc>
      </w:tr>
      <w:tr>
        <w:trPr>
          <w:trHeight w:val="216"/>
        </w:trPr>
        <w:tc>
          <w:tcPr>
            <w:tcW w:w="300" w:type="dxa"/>
            <w:vAlign w:val="bottom"/>
          </w:tcPr>
          <w:p>
            <w:pPr>
              <w:spacing w:after="0"/>
              <w:rPr>
                <w:sz w:val="18"/>
                <w:szCs w:val="18"/>
                <w:color w:val="auto"/>
              </w:rPr>
            </w:pPr>
          </w:p>
        </w:tc>
        <w:tc>
          <w:tcPr>
            <w:tcW w:w="7020" w:type="dxa"/>
            <w:vAlign w:val="bottom"/>
          </w:tcPr>
          <w:p>
            <w:pPr>
              <w:spacing w:after="0"/>
              <w:rPr>
                <w:sz w:val="20"/>
                <w:szCs w:val="20"/>
                <w:color w:val="auto"/>
              </w:rPr>
            </w:pPr>
            <w:r>
              <w:rPr>
                <w:rFonts w:ascii="Times New Roman" w:cs="Times New Roman" w:eastAsia="Times New Roman" w:hAnsi="Times New Roman"/>
                <w:sz w:val="18"/>
                <w:szCs w:val="18"/>
                <w:color w:val="auto"/>
              </w:rPr>
              <w:t>President and Chief Executive Officer</w:t>
            </w:r>
          </w:p>
        </w:tc>
        <w:tc>
          <w:tcPr>
            <w:tcW w:w="1660" w:type="dxa"/>
            <w:vAlign w:val="bottom"/>
          </w:tcPr>
          <w:p>
            <w:pPr>
              <w:spacing w:after="0"/>
              <w:rPr>
                <w:sz w:val="18"/>
                <w:szCs w:val="18"/>
                <w:color w:val="auto"/>
              </w:rPr>
            </w:pPr>
          </w:p>
        </w:tc>
      </w:tr>
      <w:tr>
        <w:trPr>
          <w:trHeight w:val="234"/>
        </w:trPr>
        <w:tc>
          <w:tcPr>
            <w:tcW w:w="300" w:type="dxa"/>
            <w:vAlign w:val="bottom"/>
          </w:tcPr>
          <w:p>
            <w:pPr>
              <w:spacing w:after="0"/>
              <w:rPr>
                <w:sz w:val="20"/>
                <w:szCs w:val="20"/>
                <w:color w:val="auto"/>
              </w:rPr>
            </w:pPr>
          </w:p>
        </w:tc>
        <w:tc>
          <w:tcPr>
            <w:tcW w:w="7020" w:type="dxa"/>
            <w:vAlign w:val="bottom"/>
          </w:tcPr>
          <w:p>
            <w:pPr>
              <w:spacing w:after="0"/>
              <w:rPr>
                <w:sz w:val="20"/>
                <w:szCs w:val="20"/>
                <w:color w:val="auto"/>
              </w:rPr>
            </w:pPr>
            <w:r>
              <w:rPr>
                <w:rFonts w:ascii="Times New Roman" w:cs="Times New Roman" w:eastAsia="Times New Roman" w:hAnsi="Times New Roman"/>
                <w:sz w:val="18"/>
                <w:szCs w:val="18"/>
                <w:color w:val="auto"/>
              </w:rPr>
              <w:t>Chairman of the Board of Directors</w:t>
            </w:r>
          </w:p>
        </w:tc>
        <w:tc>
          <w:tcPr>
            <w:tcW w:w="1660" w:type="dxa"/>
            <w:vAlign w:val="bottom"/>
          </w:tcPr>
          <w:p>
            <w:pPr>
              <w:spacing w:after="0"/>
              <w:rPr>
                <w:sz w:val="20"/>
                <w:szCs w:val="20"/>
                <w:color w:val="auto"/>
              </w:rPr>
            </w:pPr>
          </w:p>
        </w:tc>
      </w:tr>
    </w:tbl>
    <w:p>
      <w:pPr>
        <w:spacing w:after="0" w:line="198"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John R. Belk</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John R. Belk</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Kristina K. Cashman</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Kristina K. Cashman</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Paul Fulton</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Paul Fulton</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 Chairman Emeritus</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George W. Henderson, III</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George W. Henderson, III</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Virginia W. Hamlet</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Virginia W. Hamlet</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J. Walter McDowell</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J. Walter McDowell</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William C. Wampler, Jr.</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William C. Wampler, Jr.</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William C. Warden, Jr.</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William C. Warden, Jr.</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Director, Lead Independent Director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 /s/ J. Michael Daniel</w:t>
            </w:r>
          </w:p>
        </w:tc>
        <w:tc>
          <w:tcPr>
            <w:tcW w:w="4360" w:type="dxa"/>
            <w:vAlign w:val="bottom"/>
          </w:tcPr>
          <w:p>
            <w:pPr>
              <w:spacing w:after="0"/>
              <w:rPr>
                <w:sz w:val="24"/>
                <w:szCs w:val="24"/>
                <w:color w:val="auto"/>
              </w:rPr>
            </w:pPr>
          </w:p>
        </w:tc>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17, 2019</w:t>
            </w:r>
          </w:p>
        </w:tc>
      </w:tr>
      <w:tr>
        <w:trPr>
          <w:trHeight w:val="191"/>
        </w:trPr>
        <w:tc>
          <w:tcPr>
            <w:tcW w:w="360" w:type="dxa"/>
            <w:vAlign w:val="bottom"/>
          </w:tcPr>
          <w:p>
            <w:pPr>
              <w:spacing w:after="0"/>
              <w:rPr>
                <w:sz w:val="16"/>
                <w:szCs w:val="16"/>
                <w:color w:val="auto"/>
              </w:rPr>
            </w:pPr>
          </w:p>
        </w:tc>
        <w:tc>
          <w:tcPr>
            <w:tcW w:w="442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J. Michael Daniel</w:t>
            </w:r>
          </w:p>
        </w:tc>
        <w:tc>
          <w:tcPr>
            <w:tcW w:w="436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r>
      <w:tr>
        <w:trPr>
          <w:trHeight w:val="216"/>
        </w:trPr>
        <w:tc>
          <w:tcPr>
            <w:tcW w:w="360" w:type="dxa"/>
            <w:vAlign w:val="bottom"/>
          </w:tcPr>
          <w:p>
            <w:pPr>
              <w:spacing w:after="0"/>
              <w:rPr>
                <w:sz w:val="18"/>
                <w:szCs w:val="18"/>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tc>
        <w:tc>
          <w:tcPr>
            <w:tcW w:w="4360" w:type="dxa"/>
            <w:vAlign w:val="bottom"/>
          </w:tcPr>
          <w:p>
            <w:pPr>
              <w:spacing w:after="0"/>
              <w:rPr>
                <w:sz w:val="18"/>
                <w:szCs w:val="18"/>
                <w:color w:val="auto"/>
              </w:rPr>
            </w:pPr>
          </w:p>
        </w:tc>
        <w:tc>
          <w:tcPr>
            <w:tcW w:w="2280" w:type="dxa"/>
            <w:vAlign w:val="bottom"/>
          </w:tcPr>
          <w:p>
            <w:pPr>
              <w:spacing w:after="0"/>
              <w:rPr>
                <w:sz w:val="18"/>
                <w:szCs w:val="18"/>
                <w:color w:val="auto"/>
              </w:rPr>
            </w:pPr>
          </w:p>
        </w:tc>
      </w:tr>
      <w:tr>
        <w:trPr>
          <w:trHeight w:val="234"/>
        </w:trPr>
        <w:tc>
          <w:tcPr>
            <w:tcW w:w="36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and Accounting Officer)</w:t>
            </w:r>
          </w:p>
        </w:tc>
        <w:tc>
          <w:tcPr>
            <w:tcW w:w="436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432"/>
        </w:trPr>
        <w:tc>
          <w:tcPr>
            <w:tcW w:w="36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4360" w:type="dxa"/>
            <w:vAlign w:val="bottom"/>
          </w:tcPr>
          <w:p>
            <w:pPr>
              <w:jc w:val="right"/>
              <w:ind w:right="3250"/>
              <w:spacing w:after="0"/>
              <w:rPr>
                <w:sz w:val="20"/>
                <w:szCs w:val="20"/>
                <w:color w:val="auto"/>
              </w:rPr>
            </w:pPr>
            <w:r>
              <w:rPr>
                <w:rFonts w:ascii="Times New Roman" w:cs="Times New Roman" w:eastAsia="Times New Roman" w:hAnsi="Times New Roman"/>
                <w:sz w:val="18"/>
                <w:szCs w:val="18"/>
                <w:color w:val="auto"/>
              </w:rPr>
              <w:t>68</w:t>
            </w:r>
          </w:p>
        </w:tc>
        <w:tc>
          <w:tcPr>
            <w:tcW w:w="2280" w:type="dxa"/>
            <w:vAlign w:val="bottom"/>
          </w:tcPr>
          <w:p>
            <w:pPr>
              <w:spacing w:after="0"/>
              <w:rPr>
                <w:sz w:val="24"/>
                <w:szCs w:val="24"/>
                <w:color w:val="auto"/>
              </w:rPr>
            </w:pPr>
          </w:p>
        </w:tc>
      </w:tr>
      <w:tr>
        <w:trPr>
          <w:trHeight w:val="115"/>
        </w:trPr>
        <w:tc>
          <w:tcPr>
            <w:tcW w:w="360" w:type="dxa"/>
            <w:vAlign w:val="bottom"/>
            <w:tcBorders>
              <w:bottom w:val="single" w:sz="8" w:color="auto"/>
            </w:tcBorders>
          </w:tcPr>
          <w:p>
            <w:pPr>
              <w:spacing w:after="0"/>
              <w:rPr>
                <w:sz w:val="10"/>
                <w:szCs w:val="10"/>
                <w:color w:val="auto"/>
              </w:rPr>
            </w:pPr>
          </w:p>
        </w:tc>
        <w:tc>
          <w:tcPr>
            <w:tcW w:w="4420" w:type="dxa"/>
            <w:vAlign w:val="bottom"/>
            <w:tcBorders>
              <w:bottom w:val="single" w:sz="8" w:color="auto"/>
            </w:tcBorders>
          </w:tcPr>
          <w:p>
            <w:pPr>
              <w:spacing w:after="0"/>
              <w:rPr>
                <w:sz w:val="10"/>
                <w:szCs w:val="10"/>
                <w:color w:val="auto"/>
              </w:rPr>
            </w:pPr>
          </w:p>
        </w:tc>
        <w:tc>
          <w:tcPr>
            <w:tcW w:w="436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80" w:right="239" w:bottom="1440" w:gutter="0" w:footer="0" w:header="0"/>
        </w:sectPr>
      </w:pPr>
    </w:p>
    <w:bookmarkStart w:id="71" w:name="page72"/>
    <w:bookmarkEnd w:id="71"/>
    <w:p>
      <w:pPr>
        <w:jc w:val="center"/>
        <w:spacing w:after="0"/>
        <w:rPr>
          <w:sz w:val="20"/>
          <w:szCs w:val="20"/>
          <w:color w:val="auto"/>
        </w:rPr>
      </w:pPr>
      <w:r>
        <w:rPr>
          <w:rFonts w:ascii="Times New Roman" w:cs="Times New Roman" w:eastAsia="Times New Roman" w:hAnsi="Times New Roman"/>
          <w:sz w:val="22"/>
          <w:szCs w:val="22"/>
          <w:b w:val="1"/>
          <w:bCs w:val="1"/>
          <w:color w:val="auto"/>
        </w:rPr>
        <w:t>Bassett Furniture Industries, Incorporated</w:t>
      </w: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Schedule II</w:t>
      </w:r>
    </w:p>
    <w:p>
      <w:pPr>
        <w:spacing w:after="0" w:line="225" w:lineRule="exact"/>
        <w:rPr>
          <w:sz w:val="20"/>
          <w:szCs w:val="20"/>
          <w:color w:val="auto"/>
        </w:rPr>
      </w:pPr>
    </w:p>
    <w:p>
      <w:pPr>
        <w:jc w:val="center"/>
        <w:spacing w:after="0" w:line="275" w:lineRule="auto"/>
        <w:rPr>
          <w:sz w:val="20"/>
          <w:szCs w:val="20"/>
          <w:color w:val="auto"/>
        </w:rPr>
      </w:pPr>
      <w:r>
        <w:rPr>
          <w:rFonts w:ascii="Times New Roman" w:cs="Times New Roman" w:eastAsia="Times New Roman" w:hAnsi="Times New Roman"/>
          <w:sz w:val="18"/>
          <w:szCs w:val="18"/>
          <w:color w:val="auto"/>
        </w:rPr>
        <w:t xml:space="preserve">Analysis of Valuation and Qualifying Accounts For the Years Ended November 24, 2018, November 25, 2017 and November 26, 2016 </w:t>
      </w:r>
      <w:r>
        <w:rPr>
          <w:rFonts w:ascii="Times New Roman" w:cs="Times New Roman" w:eastAsia="Times New Roman" w:hAnsi="Times New Roman"/>
          <w:sz w:val="18"/>
          <w:szCs w:val="18"/>
          <w:i w:val="1"/>
          <w:iCs w:val="1"/>
          <w:color w:val="auto"/>
        </w:rPr>
        <w:t>(amounts in thousands)</w:t>
      </w: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jc w:val="center"/>
              <w:ind w:right="190"/>
              <w:spacing w:after="0"/>
              <w:rPr>
                <w:sz w:val="20"/>
                <w:szCs w:val="20"/>
                <w:color w:val="auto"/>
              </w:rPr>
            </w:pPr>
            <w:r>
              <w:rPr>
                <w:rFonts w:ascii="Times New Roman" w:cs="Times New Roman" w:eastAsia="Times New Roman" w:hAnsi="Times New Roman"/>
                <w:sz w:val="18"/>
                <w:szCs w:val="18"/>
                <w:color w:val="auto"/>
              </w:rPr>
              <w:t>Additions</w:t>
            </w: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right="150"/>
              <w:spacing w:after="0"/>
              <w:rPr>
                <w:sz w:val="20"/>
                <w:szCs w:val="20"/>
                <w:color w:val="auto"/>
              </w:rPr>
            </w:pPr>
            <w:r>
              <w:rPr>
                <w:rFonts w:ascii="Times New Roman" w:cs="Times New Roman" w:eastAsia="Times New Roman" w:hAnsi="Times New Roman"/>
                <w:sz w:val="18"/>
                <w:szCs w:val="18"/>
                <w:color w:val="auto"/>
                <w:w w:val="99"/>
              </w:rPr>
              <w:t>Balance</w:t>
            </w:r>
          </w:p>
        </w:tc>
        <w:tc>
          <w:tcPr>
            <w:tcW w:w="260" w:type="dxa"/>
            <w:vAlign w:val="bottom"/>
          </w:tcPr>
          <w:p>
            <w:pPr>
              <w:spacing w:after="0"/>
              <w:rPr>
                <w:sz w:val="18"/>
                <w:szCs w:val="18"/>
                <w:color w:val="auto"/>
              </w:rPr>
            </w:pPr>
          </w:p>
        </w:tc>
        <w:tc>
          <w:tcPr>
            <w:tcW w:w="1160" w:type="dxa"/>
            <w:vAlign w:val="bottom"/>
          </w:tcPr>
          <w:p>
            <w:pPr>
              <w:jc w:val="center"/>
              <w:ind w:right="190"/>
              <w:spacing w:after="0"/>
              <w:rPr>
                <w:sz w:val="20"/>
                <w:szCs w:val="20"/>
                <w:color w:val="auto"/>
              </w:rPr>
            </w:pPr>
            <w:r>
              <w:rPr>
                <w:rFonts w:ascii="Times New Roman" w:cs="Times New Roman" w:eastAsia="Times New Roman" w:hAnsi="Times New Roman"/>
                <w:sz w:val="18"/>
                <w:szCs w:val="18"/>
                <w:color w:val="auto"/>
              </w:rPr>
              <w:t>Charged to</w:t>
            </w: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right="150"/>
              <w:spacing w:after="0"/>
              <w:rPr>
                <w:sz w:val="20"/>
                <w:szCs w:val="20"/>
                <w:color w:val="auto"/>
              </w:rPr>
            </w:pPr>
            <w:r>
              <w:rPr>
                <w:rFonts w:ascii="Times New Roman" w:cs="Times New Roman" w:eastAsia="Times New Roman" w:hAnsi="Times New Roman"/>
                <w:sz w:val="18"/>
                <w:szCs w:val="18"/>
                <w:color w:val="auto"/>
                <w:w w:val="99"/>
              </w:rPr>
              <w:t>Beginning of</w:t>
            </w:r>
          </w:p>
        </w:tc>
        <w:tc>
          <w:tcPr>
            <w:tcW w:w="260" w:type="dxa"/>
            <w:vAlign w:val="bottom"/>
          </w:tcPr>
          <w:p>
            <w:pPr>
              <w:spacing w:after="0"/>
              <w:rPr>
                <w:sz w:val="18"/>
                <w:szCs w:val="18"/>
                <w:color w:val="auto"/>
              </w:rPr>
            </w:pPr>
          </w:p>
        </w:tc>
        <w:tc>
          <w:tcPr>
            <w:tcW w:w="1160" w:type="dxa"/>
            <w:vAlign w:val="bottom"/>
          </w:tcPr>
          <w:p>
            <w:pPr>
              <w:jc w:val="center"/>
              <w:ind w:right="190"/>
              <w:spacing w:after="0"/>
              <w:rPr>
                <w:sz w:val="20"/>
                <w:szCs w:val="20"/>
                <w:color w:val="auto"/>
              </w:rPr>
            </w:pPr>
            <w:r>
              <w:rPr>
                <w:rFonts w:ascii="Times New Roman" w:cs="Times New Roman" w:eastAsia="Times New Roman" w:hAnsi="Times New Roman"/>
                <w:sz w:val="18"/>
                <w:szCs w:val="18"/>
                <w:color w:val="auto"/>
              </w:rPr>
              <w:t>Cost and</w:t>
            </w:r>
          </w:p>
        </w:tc>
        <w:tc>
          <w:tcPr>
            <w:tcW w:w="220" w:type="dxa"/>
            <w:vAlign w:val="bottom"/>
          </w:tcPr>
          <w:p>
            <w:pPr>
              <w:spacing w:after="0"/>
              <w:rPr>
                <w:sz w:val="18"/>
                <w:szCs w:val="18"/>
                <w:color w:val="auto"/>
              </w:rPr>
            </w:pPr>
          </w:p>
        </w:tc>
        <w:tc>
          <w:tcPr>
            <w:tcW w:w="11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9"/>
              </w:rPr>
              <w:t>Deductions</w:t>
            </w: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color w:val="auto"/>
                <w:w w:val="98"/>
              </w:rPr>
              <w:t>Balance End</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jc w:val="center"/>
              <w:ind w:right="130"/>
              <w:spacing w:after="0"/>
              <w:rPr>
                <w:sz w:val="20"/>
                <w:szCs w:val="20"/>
                <w:color w:val="auto"/>
              </w:rPr>
            </w:pPr>
            <w:r>
              <w:rPr>
                <w:rFonts w:ascii="Times New Roman" w:cs="Times New Roman" w:eastAsia="Times New Roman" w:hAnsi="Times New Roman"/>
                <w:sz w:val="18"/>
                <w:szCs w:val="18"/>
                <w:color w:val="auto"/>
              </w:rPr>
              <w:t>Period</w:t>
            </w:r>
          </w:p>
        </w:tc>
        <w:tc>
          <w:tcPr>
            <w:tcW w:w="260" w:type="dxa"/>
            <w:vAlign w:val="bottom"/>
          </w:tcPr>
          <w:p>
            <w:pPr>
              <w:spacing w:after="0"/>
              <w:rPr>
                <w:sz w:val="20"/>
                <w:szCs w:val="20"/>
                <w:color w:val="auto"/>
              </w:rPr>
            </w:pPr>
          </w:p>
        </w:tc>
        <w:tc>
          <w:tcPr>
            <w:tcW w:w="1160" w:type="dxa"/>
            <w:vAlign w:val="bottom"/>
          </w:tcPr>
          <w:p>
            <w:pPr>
              <w:jc w:val="center"/>
              <w:ind w:right="190"/>
              <w:spacing w:after="0"/>
              <w:rPr>
                <w:sz w:val="20"/>
                <w:szCs w:val="20"/>
                <w:color w:val="auto"/>
              </w:rPr>
            </w:pPr>
            <w:r>
              <w:rPr>
                <w:rFonts w:ascii="Times New Roman" w:cs="Times New Roman" w:eastAsia="Times New Roman" w:hAnsi="Times New Roman"/>
                <w:sz w:val="18"/>
                <w:szCs w:val="18"/>
                <w:color w:val="auto"/>
                <w:w w:val="99"/>
              </w:rPr>
              <w:t>Expenses</w:t>
            </w:r>
          </w:p>
        </w:tc>
        <w:tc>
          <w:tcPr>
            <w:tcW w:w="220" w:type="dxa"/>
            <w:vAlign w:val="bottom"/>
          </w:tcPr>
          <w:p>
            <w:pPr>
              <w:spacing w:after="0"/>
              <w:rPr>
                <w:sz w:val="20"/>
                <w:szCs w:val="20"/>
                <w:color w:val="auto"/>
              </w:rPr>
            </w:pPr>
          </w:p>
        </w:tc>
        <w:tc>
          <w:tcPr>
            <w:tcW w:w="1140" w:type="dxa"/>
            <w:vAlign w:val="bottom"/>
          </w:tcPr>
          <w:p>
            <w:pPr>
              <w:jc w:val="right"/>
              <w:ind w:right="510"/>
              <w:spacing w:after="0"/>
              <w:rPr>
                <w:sz w:val="20"/>
                <w:szCs w:val="20"/>
                <w:color w:val="auto"/>
              </w:rPr>
            </w:pPr>
            <w:r>
              <w:rPr>
                <w:rFonts w:ascii="Times New Roman" w:cs="Times New Roman" w:eastAsia="Times New Roman" w:hAnsi="Times New Roman"/>
                <w:sz w:val="18"/>
                <w:szCs w:val="18"/>
                <w:color w:val="auto"/>
              </w:rPr>
              <w:t>(1)</w:t>
            </w:r>
          </w:p>
        </w:tc>
        <w:tc>
          <w:tcPr>
            <w:tcW w:w="300" w:type="dxa"/>
            <w:vAlign w:val="bottom"/>
          </w:tcPr>
          <w:p>
            <w:pPr>
              <w:spacing w:after="0"/>
              <w:rPr>
                <w:sz w:val="20"/>
                <w:szCs w:val="20"/>
                <w:color w:val="auto"/>
              </w:rPr>
            </w:pPr>
          </w:p>
        </w:tc>
        <w:tc>
          <w:tcPr>
            <w:tcW w:w="92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Other</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color w:val="auto"/>
                <w:w w:val="99"/>
              </w:rPr>
              <w:t>of Period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For the Year Ended November 26, 2016:</w:t>
            </w:r>
          </w:p>
        </w:tc>
        <w:tc>
          <w:tcPr>
            <w:tcW w:w="10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Times New Roman" w:cs="Times New Roman" w:eastAsia="Times New Roman" w:hAnsi="Times New Roman"/>
                <w:sz w:val="18"/>
                <w:szCs w:val="18"/>
                <w:color w:val="auto"/>
              </w:rPr>
              <w:t>Reserve deducted from assets to which it applies</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1,175</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(390)</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14</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Notes receivable valuation reserves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4,646</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(3,192)</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For the Year Ended November 25, 2017:</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Times New Roman" w:cs="Times New Roman" w:eastAsia="Times New Roman" w:hAnsi="Times New Roman"/>
                <w:sz w:val="18"/>
                <w:szCs w:val="18"/>
                <w:color w:val="auto"/>
              </w:rPr>
              <w:t>Reserve deducted from assets to which it applies</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799</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Notes receivable valuation reserves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1,454</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For the Year Ended November 24, 2018:</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tcPr>
          <w:p>
            <w:pPr>
              <w:spacing w:after="0"/>
              <w:rPr>
                <w:sz w:val="20"/>
                <w:szCs w:val="20"/>
                <w:color w:val="auto"/>
              </w:rPr>
            </w:pPr>
            <w:r>
              <w:rPr>
                <w:rFonts w:ascii="Times New Roman" w:cs="Times New Roman" w:eastAsia="Times New Roman" w:hAnsi="Times New Roman"/>
                <w:sz w:val="18"/>
                <w:szCs w:val="18"/>
                <w:color w:val="auto"/>
              </w:rPr>
              <w:t>Reserve deducted from assets to which it applies</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617</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339</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(252)</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Notes receivable valuation reserves</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1,454</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(1,077)</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ind w:left="260" w:hanging="252"/>
        <w:spacing w:after="0"/>
        <w:tabs>
          <w:tab w:leader="none" w:pos="2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Deductions are for the purpose for which the reserve was created.</w:t>
      </w:r>
    </w:p>
    <w:p>
      <w:pPr>
        <w:spacing w:after="0" w:line="27"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reserves of acquired business at date of acquisition.</w:t>
      </w:r>
    </w:p>
    <w:p>
      <w:pPr>
        <w:sectPr>
          <w:pgSz w:w="11900" w:h="16838" w:orient="portrait"/>
          <w:cols w:equalWidth="0" w:num="1">
            <w:col w:w="11420"/>
          </w:cols>
          <w:pgMar w:left="240" w:top="810" w:right="239" w:bottom="1440" w:gutter="0" w:footer="0" w:header="0"/>
        </w:sectPr>
      </w:pPr>
    </w:p>
    <w:bookmarkStart w:id="72" w:name="page73"/>
    <w:bookmarkEnd w:id="72"/>
    <w:p>
      <w:pPr>
        <w:jc w:val="right"/>
        <w:spacing w:after="0"/>
        <w:rPr>
          <w:sz w:val="20"/>
          <w:szCs w:val="20"/>
          <w:color w:val="auto"/>
        </w:rPr>
      </w:pPr>
      <w:r>
        <w:rPr>
          <w:rFonts w:ascii="Times New Roman" w:cs="Times New Roman" w:eastAsia="Times New Roman" w:hAnsi="Times New Roman"/>
          <w:sz w:val="18"/>
          <w:szCs w:val="18"/>
          <w:b w:val="1"/>
          <w:bCs w:val="1"/>
          <w:color w:val="auto"/>
        </w:rPr>
        <w:t>Exhibit 4B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FIRST AMENDMENT TO FIFTH AMENDED AND RESTATED CREDIT AGREEMENT</w:t>
      </w:r>
    </w:p>
    <w:p>
      <w:pPr>
        <w:spacing w:after="0" w:line="225"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b w:val="1"/>
          <w:bCs w:val="1"/>
          <w:color w:val="auto"/>
        </w:rPr>
        <w:t xml:space="preserve">THIS FIRST AMENDMENT TO FIFTH AMENDED AND RESTATED CREDIT AGREEMENT </w:t>
      </w:r>
      <w:r>
        <w:rPr>
          <w:rFonts w:ascii="Times New Roman" w:cs="Times New Roman" w:eastAsia="Times New Roman" w:hAnsi="Times New Roman"/>
          <w:sz w:val="18"/>
          <w:szCs w:val="18"/>
          <w:color w:val="auto"/>
        </w:rPr>
        <w:t>(this “Amendment”) is dated as of</w:t>
      </w:r>
    </w:p>
    <w:p>
      <w:pPr>
        <w:spacing w:after="0" w:line="31" w:lineRule="exact"/>
        <w:rPr>
          <w:sz w:val="20"/>
          <w:szCs w:val="20"/>
          <w:color w:val="auto"/>
        </w:rPr>
      </w:pPr>
    </w:p>
    <w:p>
      <w:pPr>
        <w:jc w:val="both"/>
        <w:spacing w:after="0" w:line="217" w:lineRule="auto"/>
        <w:rPr>
          <w:sz w:val="20"/>
          <w:szCs w:val="20"/>
          <w:color w:val="auto"/>
        </w:rPr>
      </w:pPr>
      <w:r>
        <w:rPr>
          <w:rFonts w:ascii="Times New Roman" w:cs="Times New Roman" w:eastAsia="Times New Roman" w:hAnsi="Times New Roman"/>
          <w:sz w:val="18"/>
          <w:szCs w:val="18"/>
          <w:color w:val="auto"/>
        </w:rPr>
        <w:t>this 15</w:t>
      </w:r>
      <w:r>
        <w:rPr>
          <w:rFonts w:ascii="Times New Roman" w:cs="Times New Roman" w:eastAsia="Times New Roman" w:hAnsi="Times New Roman"/>
          <w:sz w:val="30"/>
          <w:szCs w:val="30"/>
          <w:color w:val="auto"/>
          <w:vertAlign w:val="superscript"/>
        </w:rPr>
        <w:t>th</w:t>
      </w:r>
      <w:r>
        <w:rPr>
          <w:rFonts w:ascii="Times New Roman" w:cs="Times New Roman" w:eastAsia="Times New Roman" w:hAnsi="Times New Roman"/>
          <w:sz w:val="18"/>
          <w:szCs w:val="18"/>
          <w:color w:val="auto"/>
        </w:rPr>
        <w:t xml:space="preserve"> day of November, 2018, by and among </w:t>
      </w:r>
      <w:r>
        <w:rPr>
          <w:rFonts w:ascii="Times New Roman" w:cs="Times New Roman" w:eastAsia="Times New Roman" w:hAnsi="Times New Roman"/>
          <w:sz w:val="18"/>
          <w:szCs w:val="18"/>
          <w:b w:val="1"/>
          <w:bCs w:val="1"/>
          <w:color w:val="auto"/>
        </w:rPr>
        <w:t>BASSETT FURNITURE INDUSTRIES, INCORPORATED</w:t>
      </w:r>
      <w:r>
        <w:rPr>
          <w:rFonts w:ascii="Times New Roman" w:cs="Times New Roman" w:eastAsia="Times New Roman" w:hAnsi="Times New Roman"/>
          <w:sz w:val="18"/>
          <w:szCs w:val="18"/>
          <w:color w:val="auto"/>
        </w:rPr>
        <w:t xml:space="preserve"> (“Borrower”), </w:t>
      </w:r>
      <w:r>
        <w:rPr>
          <w:rFonts w:ascii="Times New Roman" w:cs="Times New Roman" w:eastAsia="Times New Roman" w:hAnsi="Times New Roman"/>
          <w:sz w:val="18"/>
          <w:szCs w:val="18"/>
          <w:b w:val="1"/>
          <w:bCs w:val="1"/>
          <w:color w:val="auto"/>
        </w:rPr>
        <w:t>BASSETT FURNITURE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INDUSTRIES OF NORTH CAROLINA, LLC, BASSETT DIRECT STORES, LLC, BASSETT DIRECT NC, LLC, BASSETT DIRECT SC, LLC </w:t>
      </w:r>
      <w:r>
        <w:rPr>
          <w:rFonts w:ascii="Times New Roman" w:cs="Times New Roman" w:eastAsia="Times New Roman" w:hAnsi="Times New Roman"/>
          <w:sz w:val="18"/>
          <w:szCs w:val="18"/>
          <w:color w:val="auto"/>
        </w:rPr>
        <w:t xml:space="preserve">(collectively, the “Guarantors”) and </w:t>
      </w:r>
      <w:r>
        <w:rPr>
          <w:rFonts w:ascii="Times New Roman" w:cs="Times New Roman" w:eastAsia="Times New Roman" w:hAnsi="Times New Roman"/>
          <w:sz w:val="18"/>
          <w:szCs w:val="18"/>
          <w:b w:val="1"/>
          <w:bCs w:val="1"/>
          <w:color w:val="auto"/>
        </w:rPr>
        <w:t>BRANCH BANKING AND TRUST COMPANY</w:t>
      </w:r>
      <w:r>
        <w:rPr>
          <w:rFonts w:ascii="Times New Roman" w:cs="Times New Roman" w:eastAsia="Times New Roman" w:hAnsi="Times New Roman"/>
          <w:sz w:val="18"/>
          <w:szCs w:val="18"/>
          <w:color w:val="auto"/>
        </w:rPr>
        <w:t xml:space="preserve"> (the “Bank”).</w:t>
      </w:r>
    </w:p>
    <w:p>
      <w:pPr>
        <w:spacing w:after="0" w:line="200" w:lineRule="exact"/>
        <w:rPr>
          <w:sz w:val="20"/>
          <w:szCs w:val="20"/>
          <w:color w:val="auto"/>
        </w:rPr>
      </w:pPr>
    </w:p>
    <w:p>
      <w:pPr>
        <w:jc w:val="both"/>
        <w:ind w:firstLine="1297"/>
        <w:spacing w:after="0" w:line="256" w:lineRule="auto"/>
        <w:rPr>
          <w:sz w:val="20"/>
          <w:szCs w:val="20"/>
          <w:color w:val="auto"/>
        </w:rPr>
      </w:pPr>
      <w:r>
        <w:rPr>
          <w:rFonts w:ascii="Times New Roman" w:cs="Times New Roman" w:eastAsia="Times New Roman" w:hAnsi="Times New Roman"/>
          <w:sz w:val="18"/>
          <w:szCs w:val="18"/>
          <w:color w:val="auto"/>
        </w:rPr>
        <w:t>The Borrower, the Guarantors and the Bank are parties to that certain Fifth Amended and Restated Credit Agreement dated as of December 5, 2015 (as it may hereafter be amended, restated, supplemented or otherwise modified, the “Agreement”). Subject to the terms and conditions contained in the Agreement, the Bank agreed to make Advances (as defined in the Agreement) to the Borrower before the Termination Date (as defined in the Agreement) in an aggregate principal amount at any one time outstanding not to exceed $15,000,000.00. The Borrower and the Guarantors have requested that the Bank increase the aggregate principal amount of the Advances at any one time outstanding to $25,000,000.00 and to make certain other modifications to the Agreement, and the Bank is willing to do so upon the terms and conditions contained herein.</w:t>
      </w:r>
    </w:p>
    <w:p>
      <w:pPr>
        <w:spacing w:after="0" w:line="188"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Accordingly, the Borrower, the Guarantors and the Bank hereby agree as follows:</w:t>
      </w:r>
    </w:p>
    <w:p>
      <w:pPr>
        <w:spacing w:after="0" w:line="225" w:lineRule="exact"/>
        <w:rPr>
          <w:sz w:val="20"/>
          <w:szCs w:val="20"/>
          <w:color w:val="auto"/>
        </w:rPr>
      </w:pPr>
    </w:p>
    <w:p>
      <w:pPr>
        <w:ind w:left="1620" w:hanging="315"/>
        <w:spacing w:after="0"/>
        <w:tabs>
          <w:tab w:leader="none" w:pos="162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Capitalized terms used in this Amendment and not otherwise defined herein shall have the meanings assigned thereto in the Agreement.</w:t>
      </w:r>
    </w:p>
    <w:p>
      <w:pPr>
        <w:spacing w:after="0" w:line="225" w:lineRule="exact"/>
        <w:rPr>
          <w:rFonts w:ascii="Times New Roman" w:cs="Times New Roman" w:eastAsia="Times New Roman" w:hAnsi="Times New Roman"/>
          <w:sz w:val="18"/>
          <w:szCs w:val="18"/>
          <w:color w:val="auto"/>
        </w:rPr>
      </w:pPr>
    </w:p>
    <w:p>
      <w:pPr>
        <w:ind w:firstLine="1305"/>
        <w:spacing w:after="0" w:line="282" w:lineRule="auto"/>
        <w:tabs>
          <w:tab w:leader="none" w:pos="163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defined terms, “Commitment,” “Note” and “Termination Date,” contained in Section 1.01 of the Agreement are hereby deleted in their entirety and the following new definitions are inserted in their respective places:</w:t>
      </w:r>
    </w:p>
    <w:p>
      <w:pPr>
        <w:spacing w:after="0" w:line="162"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18"/>
          <w:szCs w:val="18"/>
          <w:color w:val="auto"/>
        </w:rPr>
        <w:t>“Commitment” means $25,000,000.00.</w:t>
      </w:r>
    </w:p>
    <w:p>
      <w:pPr>
        <w:spacing w:after="0" w:line="225" w:lineRule="exact"/>
        <w:rPr>
          <w:sz w:val="20"/>
          <w:szCs w:val="20"/>
          <w:color w:val="auto"/>
        </w:rPr>
      </w:pPr>
    </w:p>
    <w:p>
      <w:pPr>
        <w:ind w:left="1620" w:right="80" w:firstLine="486"/>
        <w:spacing w:after="0" w:line="313" w:lineRule="auto"/>
        <w:rPr>
          <w:sz w:val="20"/>
          <w:szCs w:val="20"/>
          <w:color w:val="auto"/>
        </w:rPr>
      </w:pPr>
      <w:r>
        <w:rPr>
          <w:rFonts w:ascii="Times New Roman" w:cs="Times New Roman" w:eastAsia="Times New Roman" w:hAnsi="Times New Roman"/>
          <w:sz w:val="17"/>
          <w:szCs w:val="17"/>
          <w:color w:val="auto"/>
        </w:rPr>
        <w:t>“Note” means the promissory note of the Borrower, substantially in the form of Exhibit A-1 hereto, evidencing the obligation of the Borrower to repay the Advances, together with all amendments, consolidations, modifications, renewals and supplements thereto.</w:t>
      </w:r>
    </w:p>
    <w:p>
      <w:pPr>
        <w:spacing w:after="0" w:line="138"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18"/>
          <w:szCs w:val="18"/>
          <w:color w:val="auto"/>
        </w:rPr>
        <w:t>“Termination Date” means December 5, 2021.</w:t>
      </w:r>
    </w:p>
    <w:p>
      <w:pPr>
        <w:spacing w:after="0" w:line="225" w:lineRule="exact"/>
        <w:rPr>
          <w:sz w:val="20"/>
          <w:szCs w:val="20"/>
          <w:color w:val="auto"/>
        </w:rPr>
      </w:pPr>
    </w:p>
    <w:p>
      <w:pPr>
        <w:ind w:left="1620" w:hanging="315"/>
        <w:spacing w:after="0"/>
        <w:tabs>
          <w:tab w:leader="none" w:pos="16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third paragraph of Section 2.06(c) of the Agreement is hereby deleted in its entirety, and the following new paragraph is inserted in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place:</w:t>
      </w:r>
    </w:p>
    <w:p>
      <w:pPr>
        <w:spacing w:after="0" w:line="207" w:lineRule="exact"/>
        <w:rPr>
          <w:sz w:val="20"/>
          <w:szCs w:val="20"/>
          <w:color w:val="auto"/>
        </w:rPr>
      </w:pPr>
    </w:p>
    <w:p>
      <w:pPr>
        <w:jc w:val="both"/>
        <w:ind w:left="1620" w:firstLine="486"/>
        <w:spacing w:after="0" w:line="253" w:lineRule="auto"/>
        <w:rPr>
          <w:sz w:val="20"/>
          <w:szCs w:val="20"/>
          <w:color w:val="auto"/>
        </w:rPr>
      </w:pPr>
      <w:r>
        <w:rPr>
          <w:rFonts w:ascii="Times New Roman" w:cs="Times New Roman" w:eastAsia="Times New Roman" w:hAnsi="Times New Roman"/>
          <w:sz w:val="18"/>
          <w:szCs w:val="18"/>
          <w:color w:val="auto"/>
        </w:rPr>
        <w:t xml:space="preserve">The “London Interbank Offered Rate” applicable to any Euro-Dollar Loan means for the Interest Period of such Euro-Dollar Loan the average rate quoted by Bloomberg Finance L.P., or any quoting service or commonly available source utilized by the Bank, on the determination date for deposits in U. S. Dollars offered in the London interbank market for a term comparable to such Interest Period determined at approximately 11:00 am London time two (2) Euro-Dollar Business Days prior to the commencement of the applicable Interest Period; provided that if the above method for determining the London Interbank Offered Rate shall not be available, the rate quoted in </w:t>
      </w:r>
      <w:r>
        <w:rPr>
          <w:rFonts w:ascii="Times New Roman" w:cs="Times New Roman" w:eastAsia="Times New Roman" w:hAnsi="Times New Roman"/>
          <w:sz w:val="18"/>
          <w:szCs w:val="18"/>
          <w:i w:val="1"/>
          <w:iCs w:val="1"/>
          <w:color w:val="auto"/>
        </w:rPr>
        <w:t>The Wall Street Journal</w:t>
      </w:r>
      <w:r>
        <w:rPr>
          <w:rFonts w:ascii="Times New Roman" w:cs="Times New Roman" w:eastAsia="Times New Roman" w:hAnsi="Times New Roman"/>
          <w:sz w:val="18"/>
          <w:szCs w:val="18"/>
          <w:color w:val="auto"/>
        </w:rPr>
        <w:t>, or a rate determined by a substitute method of determination agreed on by the Borrower and the Bank; provided, if such agreement is not reached within a reasonable period of time (in the Bank’s sole judgment), a rate reasonably determined by the Bank in its sole discretion as a rate being paid, as of the determination date, by first class banking organizations (as determined by the Bank) in the London interbank market for U. S. Dollar deposits; and provided further that if the London Interbank Offered Rate determined as provided above would be less than zero percent (0%), then the London Interbank Offered Rate shall be deemed to be zero percent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356870</wp:posOffset>
            </wp:positionV>
            <wp:extent cx="72466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7" w:right="239" w:bottom="1440" w:gutter="0" w:footer="0" w:header="0"/>
        </w:sectPr>
      </w:pPr>
    </w:p>
    <w:bookmarkStart w:id="73" w:name="page74"/>
    <w:bookmarkEnd w:id="73"/>
    <w:p>
      <w:pPr>
        <w:ind w:left="420" w:hanging="315"/>
        <w:spacing w:after="0"/>
        <w:tabs>
          <w:tab w:leader="none" w:pos="42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2.07(b) of the Agreement is hereby deleted in its entirety, and the following new section is inserted in its place:</w:t>
      </w:r>
    </w:p>
    <w:p>
      <w:pPr>
        <w:spacing w:after="0" w:line="225" w:lineRule="exact"/>
        <w:rPr>
          <w:rFonts w:ascii="Times New Roman" w:cs="Times New Roman" w:eastAsia="Times New Roman" w:hAnsi="Times New Roman"/>
          <w:sz w:val="18"/>
          <w:szCs w:val="18"/>
          <w:color w:val="auto"/>
        </w:rPr>
      </w:pPr>
    </w:p>
    <w:p>
      <w:pPr>
        <w:jc w:val="both"/>
        <w:ind w:left="420" w:firstLine="495"/>
        <w:spacing w:after="0" w:line="261" w:lineRule="auto"/>
        <w:tabs>
          <w:tab w:leader="none" w:pos="1352"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shall pay to the Bank, with respect to each Letter of Credit, a letter of credit fee (the “Letter of Credit Fee”) determined by the Bank in its sole and absolute discretion in an amount not less than $350.00 and not greater than one percent (1.0%) of the face amount of the Letter of Credit. Such Letter of Credit Fee shall be payable at the time each Letter of Credit is issued or renewed by the Bank.</w:t>
      </w:r>
    </w:p>
    <w:p>
      <w:pPr>
        <w:spacing w:after="0" w:line="180" w:lineRule="exact"/>
        <w:rPr>
          <w:rFonts w:ascii="Times New Roman" w:cs="Times New Roman" w:eastAsia="Times New Roman" w:hAnsi="Times New Roman"/>
          <w:sz w:val="18"/>
          <w:szCs w:val="18"/>
          <w:color w:val="auto"/>
        </w:rPr>
      </w:pPr>
    </w:p>
    <w:p>
      <w:pPr>
        <w:ind w:left="420" w:hanging="315"/>
        <w:spacing w:after="0"/>
        <w:tabs>
          <w:tab w:leader="none" w:pos="42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3.03(d) of the Agreement is hereby deleted in its entirety, and the following new section is inserted in its place:</w:t>
      </w:r>
    </w:p>
    <w:p>
      <w:pPr>
        <w:spacing w:after="0" w:line="225" w:lineRule="exact"/>
        <w:rPr>
          <w:rFonts w:ascii="Times New Roman" w:cs="Times New Roman" w:eastAsia="Times New Roman" w:hAnsi="Times New Roman"/>
          <w:sz w:val="18"/>
          <w:szCs w:val="18"/>
          <w:color w:val="auto"/>
        </w:rPr>
      </w:pPr>
    </w:p>
    <w:p>
      <w:pPr>
        <w:jc w:val="both"/>
        <w:ind w:left="420" w:firstLine="495"/>
        <w:spacing w:after="0" w:line="255" w:lineRule="auto"/>
        <w:tabs>
          <w:tab w:leader="none" w:pos="1363"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no Letter of Credit shall have an expiry date or termination date on or after the earlier of: (1) the date twelve months after the date of the issuance of such Letter of Credit; or (2) the date two Domestic Business Days prior to the Termination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if the Borrower requests that the Bank issue a Letter of Credit with an expiry date or termination date after the date two Domestic Business Days prior to the Termination Date and the Bank agrees in its sole and absolute discretion to issue such Letter of Credit, the Borrower shall, not later than twenty (20) Domestic Business Days prior to the Termination Date, (1) secure such Letter of Credit with collateral of a type and having a value acceptable to, and as determined by, the Bank in its sole and absolute discretion and (2) execute and deliver to the Bank all such agreements, documents, instruments, certificates, opinions and other papers as the Bank shall require in its sole and absolute discretion as are necessary for the Bank to obtain a first priority lien on and security interest in such collateral.</w:t>
      </w:r>
    </w:p>
    <w:p>
      <w:pPr>
        <w:spacing w:after="0" w:line="185"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85725</wp:posOffset>
            </wp:positionV>
            <wp:extent cx="72466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20"/>
          </w:cols>
          <w:pgMar w:left="1440" w:top="580" w:right="239" w:bottom="1440" w:gutter="0" w:footer="0" w:header="0"/>
        </w:sectPr>
      </w:pPr>
    </w:p>
    <w:bookmarkStart w:id="74" w:name="page75"/>
    <w:bookmarkEnd w:id="74"/>
    <w:p>
      <w:pPr>
        <w:jc w:val="center"/>
        <w:ind w:right="140"/>
        <w:spacing w:after="0"/>
        <w:tabs>
          <w:tab w:leader="none" w:pos="160" w:val="left"/>
        </w:tabs>
        <w:rPr>
          <w:sz w:val="20"/>
          <w:szCs w:val="20"/>
          <w:color w:val="auto"/>
        </w:rPr>
      </w:pPr>
      <w:r>
        <w:rPr>
          <w:rFonts w:ascii="Times New Roman" w:cs="Times New Roman" w:eastAsia="Times New Roman" w:hAnsi="Times New Roman"/>
          <w:sz w:val="18"/>
          <w:szCs w:val="18"/>
          <w:color w:val="auto"/>
        </w:rPr>
        <w:t>6.</w:t>
      </w:r>
      <w:r>
        <w:rPr>
          <w:sz w:val="20"/>
          <w:szCs w:val="20"/>
          <w:color w:val="auto"/>
        </w:rPr>
        <w:tab/>
      </w:r>
      <w:r>
        <w:rPr>
          <w:rFonts w:ascii="Times New Roman" w:cs="Times New Roman" w:eastAsia="Times New Roman" w:hAnsi="Times New Roman"/>
          <w:sz w:val="17"/>
          <w:szCs w:val="17"/>
          <w:color w:val="auto"/>
        </w:rPr>
        <w:t>Section 8.02 of the Agreement is hereby deleted in its entirety, and the following new section is inserted in its place:</w:t>
      </w:r>
    </w:p>
    <w:p>
      <w:pPr>
        <w:spacing w:after="0" w:line="225" w:lineRule="exact"/>
        <w:rPr>
          <w:sz w:val="20"/>
          <w:szCs w:val="20"/>
          <w:color w:val="auto"/>
        </w:rPr>
      </w:pPr>
    </w:p>
    <w:p>
      <w:pPr>
        <w:jc w:val="both"/>
        <w:ind w:left="1620" w:firstLine="486"/>
        <w:spacing w:after="0" w:line="252" w:lineRule="auto"/>
        <w:rPr>
          <w:sz w:val="20"/>
          <w:szCs w:val="20"/>
          <w:color w:val="auto"/>
        </w:rPr>
      </w:pPr>
      <w:r>
        <w:rPr>
          <w:rFonts w:ascii="Times New Roman" w:cs="Times New Roman" w:eastAsia="Times New Roman" w:hAnsi="Times New Roman"/>
          <w:sz w:val="18"/>
          <w:szCs w:val="18"/>
          <w:color w:val="auto"/>
        </w:rPr>
        <w:t xml:space="preserve">SECTION 8.02. </w:t>
      </w:r>
      <w:r>
        <w:rPr>
          <w:rFonts w:ascii="Times New Roman" w:cs="Times New Roman" w:eastAsia="Times New Roman" w:hAnsi="Times New Roman"/>
          <w:sz w:val="18"/>
          <w:szCs w:val="18"/>
          <w:u w:val="single" w:color="auto"/>
          <w:color w:val="auto"/>
        </w:rPr>
        <w:t>Illegality</w:t>
      </w:r>
      <w:r>
        <w:rPr>
          <w:rFonts w:ascii="Times New Roman" w:cs="Times New Roman" w:eastAsia="Times New Roman" w:hAnsi="Times New Roman"/>
          <w:sz w:val="18"/>
          <w:szCs w:val="18"/>
          <w:color w:val="auto"/>
        </w:rPr>
        <w:t>. If, after the date hereof, the Bank shall determine, which determination shall be final, conclusive and binding, that the making, maintaining or continuance of any portion of a Euro-Dollar Loan (i) has become unlawful as a result of compliance by the Bank with any law, treaty, governmental rule, regulation, guideline or order, or the interpretation or administration thereof by any governmental authority or central bank or comparable agency charged with the interpretation or administration thereof (any such authority, bank or agency being referred to as an “Authority” and any such event being referred to as a “Change of Law”), or compliance by the Bank with any request or directive (whether or not having the force of law) of any Authority shall make it unlawful or impossible for the Bank to make, maintain or fund its Euro-Dollar Loan or (ii) is no longer available or commercial viable and in the case of clauses (i) and (ii) that another reference rate is generally accepted in the U.S. markets as a replacement reference rate for loan obligations (a “Reference Rate”), the Bank shall give written notice to the Borrower of such determination. If the Bank shall determine that it may not lawfully continue to maintain and fund any outstanding Euro-Dollar Loan to maturity and shall so specify in such notice, the Borrower shall immediately prepay in full the then outstanding principal amount of the Euro-Dollar Loan of the Bank, together with accrued interest thereon and any amount due the Bank pursuant to Section 8.05(a). Concurrently with prepaying such Euro-Dollar Loan, the Borrower shall borrow a Prime Rate Loan in an equal principal amount from the Bank, and the Bank shall make such a Prime Rate Loan. It is the intention of the Bank and the Borrower that any such Replacement Rate shall be as economically neutral to the Bank and the Borrower as possible, but both the Bank and the Borrower acknowledge that a transition to such Replacement Rate may require adjustments to reset, compounding and/or payment/settlement dates and spreads. Following the Bank’s providing the Borrower written notice of the Replacement Rate, the Replacement Rate will fully replace any references to the London Interbank Offered Rate in this Agreement, the Note and any security instrument or other loan documents executed in connection with this Agreement.</w:t>
      </w:r>
    </w:p>
    <w:p>
      <w:pPr>
        <w:spacing w:after="0" w:line="192" w:lineRule="exact"/>
        <w:rPr>
          <w:sz w:val="20"/>
          <w:szCs w:val="20"/>
          <w:color w:val="auto"/>
        </w:rPr>
      </w:pPr>
    </w:p>
    <w:p>
      <w:pPr>
        <w:ind w:left="1660" w:hanging="355"/>
        <w:spacing w:after="0"/>
        <w:tabs>
          <w:tab w:leader="none" w:pos="1660"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to the Agreement is hereby deleted and a new exhibit, labeled </w:t>
      </w:r>
      <w:r>
        <w:rPr>
          <w:rFonts w:ascii="Times New Roman" w:cs="Times New Roman" w:eastAsia="Times New Roman" w:hAnsi="Times New Roman"/>
          <w:sz w:val="18"/>
          <w:szCs w:val="18"/>
          <w:u w:val="single" w:color="auto"/>
          <w:color w:val="auto"/>
        </w:rPr>
        <w:t>Exhibit A-1</w:t>
      </w:r>
      <w:r>
        <w:rPr>
          <w:rFonts w:ascii="Times New Roman" w:cs="Times New Roman" w:eastAsia="Times New Roman" w:hAnsi="Times New Roman"/>
          <w:sz w:val="18"/>
          <w:szCs w:val="18"/>
          <w:color w:val="auto"/>
        </w:rPr>
        <w:t xml:space="preserve"> and attached hereto and made a part hereof, is</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substituted in its place.</w:t>
      </w:r>
    </w:p>
    <w:p>
      <w:pPr>
        <w:spacing w:after="0" w:line="206" w:lineRule="exact"/>
        <w:rPr>
          <w:rFonts w:ascii="Times New Roman" w:cs="Times New Roman" w:eastAsia="Times New Roman" w:hAnsi="Times New Roman"/>
          <w:sz w:val="18"/>
          <w:szCs w:val="18"/>
          <w:color w:val="auto"/>
        </w:rPr>
      </w:pPr>
    </w:p>
    <w:p>
      <w:pPr>
        <w:ind w:firstLine="1305"/>
        <w:spacing w:after="0" w:line="282" w:lineRule="auto"/>
        <w:tabs>
          <w:tab w:leader="none" w:pos="1672"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and the Guarantors hereby represent and warrant to the Bank (which representations and warranties shall survive the execution and delivery of this Amendment) that:</w:t>
      </w:r>
    </w:p>
    <w:p>
      <w:pPr>
        <w:spacing w:after="0" w:line="161" w:lineRule="exact"/>
        <w:rPr>
          <w:rFonts w:ascii="Times New Roman" w:cs="Times New Roman" w:eastAsia="Times New Roman" w:hAnsi="Times New Roman"/>
          <w:sz w:val="18"/>
          <w:szCs w:val="18"/>
          <w:color w:val="auto"/>
        </w:rPr>
      </w:pPr>
    </w:p>
    <w:p>
      <w:pPr>
        <w:ind w:firstLine="1629"/>
        <w:spacing w:after="0" w:line="282" w:lineRule="auto"/>
        <w:tabs>
          <w:tab w:leader="none" w:pos="2153" w:val="left"/>
        </w:tabs>
        <w:numPr>
          <w:ilvl w:val="2"/>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is in compliance with all of the terms, covenants and conditions of the Agreement, as amended by this Amendment, and each of the other Loan Documents.</w:t>
      </w:r>
    </w:p>
    <w:p>
      <w:pPr>
        <w:spacing w:after="0" w:line="161" w:lineRule="exact"/>
        <w:rPr>
          <w:rFonts w:ascii="Times New Roman" w:cs="Times New Roman" w:eastAsia="Times New Roman" w:hAnsi="Times New Roman"/>
          <w:sz w:val="18"/>
          <w:szCs w:val="18"/>
          <w:color w:val="auto"/>
        </w:rPr>
      </w:pPr>
    </w:p>
    <w:p>
      <w:pPr>
        <w:jc w:val="both"/>
        <w:ind w:firstLine="1629"/>
        <w:spacing w:after="0" w:line="266" w:lineRule="auto"/>
        <w:tabs>
          <w:tab w:leader="none" w:pos="2070" w:val="left"/>
        </w:tabs>
        <w:numPr>
          <w:ilvl w:val="2"/>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exists no Default or Event of Default under the Agreement, as amended by this Amendment, and no event has occurred or condition exists which, with the giving of notice or lapse of time, or both, would constitute a Default or an Event of Default or a default or an event of default under any of the Loan Documents.</w:t>
      </w:r>
    </w:p>
    <w:p>
      <w:pPr>
        <w:spacing w:after="0" w:line="176" w:lineRule="exact"/>
        <w:rPr>
          <w:rFonts w:ascii="Times New Roman" w:cs="Times New Roman" w:eastAsia="Times New Roman" w:hAnsi="Times New Roman"/>
          <w:sz w:val="18"/>
          <w:szCs w:val="18"/>
          <w:color w:val="auto"/>
        </w:rPr>
      </w:pPr>
    </w:p>
    <w:p>
      <w:pPr>
        <w:ind w:firstLine="1629"/>
        <w:spacing w:after="0" w:line="282" w:lineRule="auto"/>
        <w:tabs>
          <w:tab w:leader="none" w:pos="2096" w:val="left"/>
        </w:tabs>
        <w:numPr>
          <w:ilvl w:val="2"/>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representations and warranties contained in Article IV of the Agreement are, except to the extent that they relate solely to an earlier date, true with the same effect as though such representations and warranties had been made on the date of this Amendment.</w:t>
      </w:r>
    </w:p>
    <w:p>
      <w:pPr>
        <w:spacing w:after="0" w:line="161" w:lineRule="exact"/>
        <w:rPr>
          <w:rFonts w:ascii="Times New Roman" w:cs="Times New Roman" w:eastAsia="Times New Roman" w:hAnsi="Times New Roman"/>
          <w:sz w:val="18"/>
          <w:szCs w:val="18"/>
          <w:color w:val="auto"/>
        </w:rPr>
      </w:pPr>
    </w:p>
    <w:p>
      <w:pPr>
        <w:jc w:val="both"/>
        <w:ind w:firstLine="1629"/>
        <w:spacing w:after="0" w:line="257" w:lineRule="auto"/>
        <w:tabs>
          <w:tab w:leader="none" w:pos="2154" w:val="left"/>
        </w:tabs>
        <w:numPr>
          <w:ilvl w:val="2"/>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execution, delivery and performance by each Loan Party of this Amendment and the new promissory note (in the form attached hereto and made a part hereof as </w:t>
      </w:r>
      <w:r>
        <w:rPr>
          <w:rFonts w:ascii="Times New Roman" w:cs="Times New Roman" w:eastAsia="Times New Roman" w:hAnsi="Times New Roman"/>
          <w:sz w:val="18"/>
          <w:szCs w:val="18"/>
          <w:u w:val="single" w:color="auto"/>
          <w:color w:val="auto"/>
        </w:rPr>
        <w:t>Exhibit A-1</w:t>
      </w:r>
      <w:r>
        <w:rPr>
          <w:rFonts w:ascii="Times New Roman" w:cs="Times New Roman" w:eastAsia="Times New Roman" w:hAnsi="Times New Roman"/>
          <w:sz w:val="18"/>
          <w:szCs w:val="18"/>
          <w:color w:val="auto"/>
        </w:rPr>
        <w:t>, the “Replacement Note”) (A) (i) are within each Loan Party’s organizational powers, (ii) have been duly authorized by all necessary organizational action, (iii) require no action by or in respect of, or filing with, any governmental body, agency or official,</w:t>
      </w:r>
    </w:p>
    <w:p>
      <w:pPr>
        <w:spacing w:after="0" w:line="1" w:lineRule="exact"/>
        <w:rPr>
          <w:rFonts w:ascii="Times New Roman" w:cs="Times New Roman" w:eastAsia="Times New Roman" w:hAnsi="Times New Roman"/>
          <w:sz w:val="18"/>
          <w:szCs w:val="18"/>
          <w:color w:val="auto"/>
        </w:rPr>
      </w:pPr>
    </w:p>
    <w:p>
      <w:pPr>
        <w:jc w:val="both"/>
        <w:ind w:firstLine="8"/>
        <w:spacing w:after="0" w:line="252" w:lineRule="auto"/>
        <w:tabs>
          <w:tab w:leader="none" w:pos="346"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do not contravene, or constitute a default under, any provision of applicable law or regulation or of the certificate of incorporation, articles of organization, operating agreement or by-laws of any Loan Party or of any agreement, judgment, injunction, order, decree or other instrument binding upon any Loan Party or any of its Subsidiaries, (v) do not result in the creation or imposition of any Lien on any asset of any of the Loan Parties or any of their respective Subsidiaries and (B) are the legal, binding, valid and enforceable obligations of each Loan Party to the extent each is a party thereto enforceable in accordance with their respective terms,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enforceability hereof and thereof is subject in each case to general principles of equity and to bankruptcy, insolvency and similar laws affecting the enforcement of creditors’ rights generally.</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75" w:name="page76"/>
    <w:bookmarkEnd w:id="75"/>
    <w:p>
      <w:pPr>
        <w:jc w:val="both"/>
        <w:ind w:firstLine="1629"/>
        <w:spacing w:after="0" w:line="261" w:lineRule="auto"/>
        <w:tabs>
          <w:tab w:leader="none" w:pos="2050"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is no action, suit or proceeding pending, or to the knowledge of any of the Loan Parties threatened, against or affecting any of the Loan Parties or any of their respective Subsidiaries before any court or arbitrator or any governmental body, agency or official which could have a Material Adverse Effect or which in any manner draws into question the validity or enforceability of, or could impair the ability of any of the Loan Parties to perform their respective obligations under, this Amendment, the Replacement Note or any of the other Loan Documents.</w:t>
      </w:r>
    </w:p>
    <w:p>
      <w:pPr>
        <w:spacing w:after="0" w:line="180" w:lineRule="exact"/>
        <w:rPr>
          <w:rFonts w:ascii="Times New Roman" w:cs="Times New Roman" w:eastAsia="Times New Roman" w:hAnsi="Times New Roman"/>
          <w:sz w:val="18"/>
          <w:szCs w:val="18"/>
          <w:color w:val="auto"/>
        </w:rPr>
      </w:pPr>
    </w:p>
    <w:p>
      <w:pPr>
        <w:ind w:left="1620" w:hanging="315"/>
        <w:spacing w:after="0"/>
        <w:tabs>
          <w:tab w:leader="none" w:pos="162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Bank’s agreement to enter into this Amendment is subject to the following conditions precedent:</w:t>
      </w:r>
    </w:p>
    <w:p>
      <w:pPr>
        <w:spacing w:after="0" w:line="225" w:lineRule="exact"/>
        <w:rPr>
          <w:rFonts w:ascii="Times New Roman" w:cs="Times New Roman" w:eastAsia="Times New Roman" w:hAnsi="Times New Roman"/>
          <w:sz w:val="18"/>
          <w:szCs w:val="18"/>
          <w:color w:val="auto"/>
        </w:rPr>
      </w:pPr>
    </w:p>
    <w:p>
      <w:pPr>
        <w:ind w:left="2100" w:hanging="471"/>
        <w:spacing w:after="0"/>
        <w:tabs>
          <w:tab w:leader="none" w:pos="210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Borrower and the Guarantors shall have executed and delivered to the Bank this Amendment.</w:t>
      </w:r>
    </w:p>
    <w:p>
      <w:pPr>
        <w:spacing w:after="0" w:line="225" w:lineRule="exact"/>
        <w:rPr>
          <w:rFonts w:ascii="Times New Roman" w:cs="Times New Roman" w:eastAsia="Times New Roman" w:hAnsi="Times New Roman"/>
          <w:sz w:val="18"/>
          <w:szCs w:val="18"/>
          <w:color w:val="auto"/>
        </w:rPr>
      </w:pPr>
    </w:p>
    <w:p>
      <w:pPr>
        <w:ind w:firstLine="1629"/>
        <w:spacing w:after="0" w:line="282" w:lineRule="auto"/>
        <w:tabs>
          <w:tab w:leader="none" w:pos="2104"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Borrower shall have executed and delivered to the Bank the Replacement Note in the form of </w:t>
      </w:r>
      <w:r>
        <w:rPr>
          <w:rFonts w:ascii="Times New Roman" w:cs="Times New Roman" w:eastAsia="Times New Roman" w:hAnsi="Times New Roman"/>
          <w:sz w:val="18"/>
          <w:szCs w:val="18"/>
          <w:u w:val="single" w:color="auto"/>
          <w:color w:val="auto"/>
        </w:rPr>
        <w:t>Exhibit A-1</w:t>
      </w:r>
      <w:r>
        <w:rPr>
          <w:rFonts w:ascii="Times New Roman" w:cs="Times New Roman" w:eastAsia="Times New Roman" w:hAnsi="Times New Roman"/>
          <w:sz w:val="18"/>
          <w:szCs w:val="18"/>
          <w:color w:val="auto"/>
        </w:rPr>
        <w:t xml:space="preserve"> attached hereto with the blanks therein appropriately completed.</w:t>
      </w:r>
    </w:p>
    <w:p>
      <w:pPr>
        <w:spacing w:after="0" w:line="161" w:lineRule="exact"/>
        <w:rPr>
          <w:rFonts w:ascii="Times New Roman" w:cs="Times New Roman" w:eastAsia="Times New Roman" w:hAnsi="Times New Roman"/>
          <w:sz w:val="18"/>
          <w:szCs w:val="18"/>
          <w:color w:val="auto"/>
        </w:rPr>
      </w:pPr>
    </w:p>
    <w:p>
      <w:pPr>
        <w:jc w:val="both"/>
        <w:ind w:firstLine="1629"/>
        <w:spacing w:after="0" w:line="255" w:lineRule="auto"/>
        <w:tabs>
          <w:tab w:leader="none" w:pos="2193"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shall have executed and delivered to the Bank all documents (including without limitation Letter of Credit Agreements) required by the Bank in its sole and absolute discretion with respect to the renewal of the Letters of Credit for the benefit of the following beneficiaries: National Interstate Insurance Company, Hudson Indemnity Ltd., Liberty Mutual Insurance, Liberty Mutual Insurance and Liberty Mutual Insurance (the “Renewal Letters of Credit”). In addition, the Borrower shall have paid to the Bank the following fees for the renewal of the Renewal Letters of Credit: National Interstate Insurance Company (under obligation #211 - $350), Hudson Indemnity Ltd. (under obligation #212 - $3,689), Liberty Mutual Insurance (under obligation #214 - $350), Liberty Mutual Insurance (under obligation #218 - $350) and Liberty Mutual Insurance (under obligation #90010 - $350).</w:t>
      </w:r>
    </w:p>
    <w:p>
      <w:pPr>
        <w:spacing w:after="0" w:line="189" w:lineRule="exact"/>
        <w:rPr>
          <w:rFonts w:ascii="Times New Roman" w:cs="Times New Roman" w:eastAsia="Times New Roman" w:hAnsi="Times New Roman"/>
          <w:sz w:val="18"/>
          <w:szCs w:val="18"/>
          <w:color w:val="auto"/>
        </w:rPr>
      </w:pPr>
    </w:p>
    <w:p>
      <w:pPr>
        <w:ind w:firstLine="1629"/>
        <w:spacing w:after="0" w:line="282" w:lineRule="auto"/>
        <w:tabs>
          <w:tab w:leader="none" w:pos="206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shall have delivered to the Bank a certificate of the Secretary of State of each Loan Party’s State of organization as to the good standing of such Loan Party.</w:t>
      </w:r>
    </w:p>
    <w:p>
      <w:pPr>
        <w:spacing w:after="0" w:line="161" w:lineRule="exact"/>
        <w:rPr>
          <w:rFonts w:ascii="Times New Roman" w:cs="Times New Roman" w:eastAsia="Times New Roman" w:hAnsi="Times New Roman"/>
          <w:sz w:val="18"/>
          <w:szCs w:val="18"/>
          <w:color w:val="auto"/>
        </w:rPr>
      </w:pPr>
    </w:p>
    <w:p>
      <w:pPr>
        <w:jc w:val="both"/>
        <w:ind w:firstLine="1629"/>
        <w:spacing w:after="0" w:line="266" w:lineRule="auto"/>
        <w:tabs>
          <w:tab w:leader="none" w:pos="2069"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shall have delivered to the Bank a certified copy of the action taken by the Board of Directors of each Loan Party authorizing such Loan Party’s execution, delivery and performance of this Amendment, the Replacement Note and the other Loan Documents to which such Loan Party is a party.</w:t>
      </w:r>
    </w:p>
    <w:p>
      <w:pPr>
        <w:spacing w:after="0" w:line="176" w:lineRule="exact"/>
        <w:rPr>
          <w:rFonts w:ascii="Times New Roman" w:cs="Times New Roman" w:eastAsia="Times New Roman" w:hAnsi="Times New Roman"/>
          <w:sz w:val="18"/>
          <w:szCs w:val="18"/>
          <w:color w:val="auto"/>
        </w:rPr>
      </w:pPr>
    </w:p>
    <w:p>
      <w:pPr>
        <w:ind w:left="2040" w:hanging="411"/>
        <w:spacing w:after="0"/>
        <w:tabs>
          <w:tab w:leader="none" w:pos="2040"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shall have paid to the Bank the legal fees and expenses described in Section 15 hereof.</w:t>
      </w:r>
    </w:p>
    <w:p>
      <w:pPr>
        <w:spacing w:after="0" w:line="225" w:lineRule="exact"/>
        <w:rPr>
          <w:rFonts w:ascii="Times New Roman" w:cs="Times New Roman" w:eastAsia="Times New Roman" w:hAnsi="Times New Roman"/>
          <w:sz w:val="18"/>
          <w:szCs w:val="18"/>
          <w:color w:val="auto"/>
        </w:rPr>
      </w:pPr>
    </w:p>
    <w:p>
      <w:pPr>
        <w:ind w:right="20" w:firstLine="1629"/>
        <w:spacing w:after="0" w:line="282" w:lineRule="auto"/>
        <w:tabs>
          <w:tab w:leader="none" w:pos="2094"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Loan Parties shall have executed and delivered, or caused to be executed and delivered, to the Bank such other and further documents, certificates, opinions and other papers as the Bank shall request.</w:t>
      </w:r>
    </w:p>
    <w:p>
      <w:pPr>
        <w:spacing w:after="0" w:line="161" w:lineRule="exact"/>
        <w:rPr>
          <w:rFonts w:ascii="Times New Roman" w:cs="Times New Roman" w:eastAsia="Times New Roman" w:hAnsi="Times New Roman"/>
          <w:sz w:val="18"/>
          <w:szCs w:val="18"/>
          <w:color w:val="auto"/>
        </w:rPr>
      </w:pPr>
    </w:p>
    <w:p>
      <w:pPr>
        <w:jc w:val="both"/>
        <w:ind w:firstLine="1305"/>
        <w:spacing w:after="0" w:line="254" w:lineRule="auto"/>
        <w:tabs>
          <w:tab w:leader="none" w:pos="163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expressly amended hereby, the terms of the Agreement shall remain in full force and effect in all respects, and each of the Borrower and the Guarantors hereby affirms, confirms and reaffirms its obligations under the Agreement, as amended by this Amendment, and each of the other Loan Documents to the extent it is a party thereto. The Borrower, the Guarantors and the Bank hereby agree that the Replacement Note is the exclusive evidence of the indebtedness associated with the Loan. Each of the Borrower and the Guarantors hereby waives any claim, cause of action, defense, counterclaim, setoff or recoupment of any kind or nature that it may assert against the Bank arising from or in connection with the Agreement, as amended by this Amendment, the Replacement Note or any of the Loan Documents or the transactions contemplated thereby or hereby that exists on the date hereof or arises from facts or actions occurring prior hereto or on the date hereof. Nothing contained in this Amendment, the Replacement Note or any of the other Loan Documents shall be construed to constitute a novation with respect to any of the obligations described in the Agreement or any of the other Loan Documents.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76" w:name="page77"/>
    <w:bookmarkEnd w:id="76"/>
    <w:p>
      <w:pPr>
        <w:jc w:val="both"/>
        <w:ind w:right="20" w:firstLine="1305"/>
        <w:spacing w:after="0" w:line="266" w:lineRule="auto"/>
        <w:tabs>
          <w:tab w:leader="none" w:pos="1627"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references to the Agreement in any of the Loan Documents, or any other documents or instruments that refer to the Agreement, shall be deemed to be references to the Agreement as amended by this Amendment. All references to the Note in any of the Loan Documents, or any other documents or instruments that refer to the Note, shall be deemed to be references to the Replacement Note.</w:t>
      </w:r>
    </w:p>
    <w:p>
      <w:pPr>
        <w:spacing w:after="0" w:line="176" w:lineRule="exact"/>
        <w:rPr>
          <w:rFonts w:ascii="Times New Roman" w:cs="Times New Roman" w:eastAsia="Times New Roman" w:hAnsi="Times New Roman"/>
          <w:sz w:val="18"/>
          <w:szCs w:val="18"/>
          <w:color w:val="auto"/>
        </w:rPr>
      </w:pPr>
    </w:p>
    <w:p>
      <w:pPr>
        <w:ind w:left="1620" w:hanging="315"/>
        <w:spacing w:after="0"/>
        <w:tabs>
          <w:tab w:leader="none" w:pos="162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Amendment and the Replacement Note shall be construed in accordance with and governed by the laws of the Commonwealth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Virginia.</w:t>
      </w:r>
    </w:p>
    <w:p>
      <w:pPr>
        <w:spacing w:after="0" w:line="206" w:lineRule="exact"/>
        <w:rPr>
          <w:rFonts w:ascii="Times New Roman" w:cs="Times New Roman" w:eastAsia="Times New Roman" w:hAnsi="Times New Roman"/>
          <w:sz w:val="18"/>
          <w:szCs w:val="18"/>
          <w:color w:val="auto"/>
        </w:rPr>
      </w:pPr>
    </w:p>
    <w:p>
      <w:pPr>
        <w:ind w:right="20" w:firstLine="1305"/>
        <w:spacing w:after="0" w:line="282" w:lineRule="auto"/>
        <w:tabs>
          <w:tab w:leader="none" w:pos="163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Amendment may be executed in any number of counterparts, each of which shall be an original, but all of which taken together shall constitute one and the same instrument.</w:t>
      </w:r>
    </w:p>
    <w:p>
      <w:pPr>
        <w:spacing w:after="0" w:line="161" w:lineRule="exact"/>
        <w:rPr>
          <w:rFonts w:ascii="Times New Roman" w:cs="Times New Roman" w:eastAsia="Times New Roman" w:hAnsi="Times New Roman"/>
          <w:sz w:val="18"/>
          <w:szCs w:val="18"/>
          <w:color w:val="auto"/>
        </w:rPr>
      </w:pPr>
    </w:p>
    <w:p>
      <w:pPr>
        <w:jc w:val="both"/>
        <w:ind w:firstLine="1305"/>
        <w:spacing w:after="0" w:line="266" w:lineRule="auto"/>
        <w:tabs>
          <w:tab w:leader="none" w:pos="162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Amendment shall be binding upon and inure to the benefit of the parties hereto and their respective successors and assigns. None of the Loan Parties shall have the right to assign any of its rights or obligations under or delegate any of its duties under the Agreement, as amended by this Amendment, or any of the other Loan Documents.</w:t>
      </w:r>
    </w:p>
    <w:p>
      <w:pPr>
        <w:spacing w:after="0" w:line="176" w:lineRule="exact"/>
        <w:rPr>
          <w:rFonts w:ascii="Times New Roman" w:cs="Times New Roman" w:eastAsia="Times New Roman" w:hAnsi="Times New Roman"/>
          <w:sz w:val="18"/>
          <w:szCs w:val="18"/>
          <w:color w:val="auto"/>
        </w:rPr>
      </w:pPr>
    </w:p>
    <w:p>
      <w:pPr>
        <w:jc w:val="both"/>
        <w:ind w:firstLine="1305"/>
        <w:spacing w:after="0" w:line="266" w:lineRule="auto"/>
        <w:tabs>
          <w:tab w:leader="none" w:pos="1668"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Borrower hereby agrees that it will pay on demand all out-of-pocket expenses incurred by the Bank in connection with the preparation of this Amendment, the Replacement Note and any other related documents, including but not limited to the fees and disbursements of counsel for the Bank.</w:t>
      </w:r>
    </w:p>
    <w:p>
      <w:pPr>
        <w:spacing w:after="0" w:line="176" w:lineRule="exact"/>
        <w:rPr>
          <w:rFonts w:ascii="Times New Roman" w:cs="Times New Roman" w:eastAsia="Times New Roman" w:hAnsi="Times New Roman"/>
          <w:sz w:val="18"/>
          <w:szCs w:val="18"/>
          <w:color w:val="auto"/>
        </w:rPr>
      </w:pPr>
    </w:p>
    <w:p>
      <w:pPr>
        <w:jc w:val="both"/>
        <w:ind w:firstLine="1305"/>
        <w:spacing w:after="0" w:line="266" w:lineRule="auto"/>
        <w:tabs>
          <w:tab w:leader="none" w:pos="162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Amendment represents the final agreement between the Loan Parties and the Bank with respect to the subject matter hereof, and may not be contradicted by evidence of prior, contemporaneous or subsequent oral agreements of the parties. There are no unwritten oral agreements between the parties.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[Remainder of Page Intentionally Left Blank]</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77" w:name="page78"/>
    <w:bookmarkEnd w:id="77"/>
    <w:p>
      <w:pPr>
        <w:ind w:firstLine="1297"/>
        <w:spacing w:after="0" w:line="286" w:lineRule="auto"/>
        <w:rPr>
          <w:sz w:val="20"/>
          <w:szCs w:val="20"/>
          <w:color w:val="auto"/>
        </w:rPr>
      </w:pPr>
      <w:r>
        <w:rPr>
          <w:rFonts w:ascii="Times New Roman" w:cs="Times New Roman" w:eastAsia="Times New Roman" w:hAnsi="Times New Roman"/>
          <w:sz w:val="18"/>
          <w:szCs w:val="18"/>
          <w:b w:val="1"/>
          <w:bCs w:val="1"/>
          <w:color w:val="auto"/>
        </w:rPr>
        <w:t>IN WITNESS WHEREOF</w:t>
      </w:r>
      <w:r>
        <w:rPr>
          <w:rFonts w:ascii="Times New Roman" w:cs="Times New Roman" w:eastAsia="Times New Roman" w:hAnsi="Times New Roman"/>
          <w:sz w:val="18"/>
          <w:szCs w:val="18"/>
          <w:color w:val="auto"/>
        </w:rPr>
        <w:t>, the parties hereto have caused this Agreement to be duly executed, under seal, by their respective duly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authorized officers, managers or members, as applicable, as of the day and year first above written.</w:t>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460" w:type="dxa"/>
            <w:vAlign w:val="bottom"/>
          </w:tcPr>
          <w:p>
            <w:pPr>
              <w:spacing w:after="0"/>
              <w:rPr>
                <w:sz w:val="20"/>
                <w:szCs w:val="20"/>
                <w:color w:val="auto"/>
              </w:rPr>
            </w:pPr>
          </w:p>
        </w:tc>
        <w:tc>
          <w:tcPr>
            <w:tcW w:w="6880" w:type="dxa"/>
            <w:vAlign w:val="bottom"/>
            <w:gridSpan w:val="4"/>
          </w:tcPr>
          <w:p>
            <w:pPr>
              <w:ind w:left="2260"/>
              <w:spacing w:after="0"/>
              <w:rPr>
                <w:sz w:val="20"/>
                <w:szCs w:val="20"/>
                <w:color w:val="auto"/>
              </w:rPr>
            </w:pPr>
            <w:r>
              <w:rPr>
                <w:rFonts w:ascii="Times New Roman" w:cs="Times New Roman" w:eastAsia="Times New Roman" w:hAnsi="Times New Roman"/>
                <w:sz w:val="18"/>
                <w:szCs w:val="18"/>
                <w:b w:val="1"/>
                <w:bCs w:val="1"/>
                <w:color w:val="auto"/>
                <w:w w:val="99"/>
              </w:rPr>
              <w:t>BASSETT FURNITURE INDUSTRIES, INCORPORATED</w:t>
            </w:r>
          </w:p>
        </w:tc>
      </w:tr>
      <w:tr>
        <w:trPr>
          <w:trHeight w:val="608"/>
        </w:trPr>
        <w:tc>
          <w:tcPr>
            <w:tcW w:w="3460" w:type="dxa"/>
            <w:vAlign w:val="bottom"/>
          </w:tcPr>
          <w:p>
            <w:pPr>
              <w:spacing w:after="0"/>
              <w:rPr>
                <w:sz w:val="20"/>
                <w:szCs w:val="20"/>
                <w:color w:val="auto"/>
              </w:rPr>
            </w:pPr>
            <w:r>
              <w:rPr>
                <w:rFonts w:ascii="Times New Roman" w:cs="Times New Roman" w:eastAsia="Times New Roman" w:hAnsi="Times New Roman"/>
                <w:sz w:val="18"/>
                <w:szCs w:val="18"/>
                <w:color w:val="auto"/>
              </w:rPr>
              <w:t>[Corporate Seal]</w:t>
            </w:r>
          </w:p>
        </w:tc>
        <w:tc>
          <w:tcPr>
            <w:tcW w:w="2840" w:type="dxa"/>
            <w:vAlign w:val="bottom"/>
            <w:gridSpan w:val="2"/>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2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 J. Michael Daniel</w:t>
            </w:r>
          </w:p>
        </w:tc>
        <w:tc>
          <w:tcPr>
            <w:tcW w:w="1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80" w:type="dxa"/>
            <w:vAlign w:val="bottom"/>
            <w:shd w:val="clear" w:color="auto" w:fill="000000"/>
          </w:tcPr>
          <w:p>
            <w:pPr>
              <w:spacing w:after="0" w:line="20" w:lineRule="exact"/>
              <w:rPr>
                <w:sz w:val="1"/>
                <w:szCs w:val="1"/>
                <w:color w:val="auto"/>
              </w:rPr>
            </w:pPr>
          </w:p>
        </w:tc>
        <w:tc>
          <w:tcPr>
            <w:tcW w:w="1760" w:type="dxa"/>
            <w:vAlign w:val="bottom"/>
            <w:tcBorders>
              <w:left w:val="single" w:sz="8" w:color="auto"/>
            </w:tcBorders>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840" w:type="dxa"/>
            <w:vAlign w:val="bottom"/>
            <w:gridSpan w:val="2"/>
          </w:tcPr>
          <w:p>
            <w:pPr>
              <w:ind w:left="2260"/>
              <w:spacing w:after="0"/>
              <w:rPr>
                <w:sz w:val="20"/>
                <w:szCs w:val="20"/>
                <w:color w:val="auto"/>
              </w:rPr>
            </w:pPr>
            <w:r>
              <w:rPr>
                <w:rFonts w:ascii="Times New Roman" w:cs="Times New Roman" w:eastAsia="Times New Roman" w:hAnsi="Times New Roman"/>
                <w:sz w:val="18"/>
                <w:szCs w:val="18"/>
                <w:color w:val="auto"/>
              </w:rPr>
              <w:t>Name:</w:t>
            </w:r>
          </w:p>
        </w:tc>
        <w:tc>
          <w:tcPr>
            <w:tcW w:w="22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 Michael Daniel</w:t>
            </w:r>
          </w:p>
        </w:tc>
        <w:tc>
          <w:tcPr>
            <w:tcW w:w="176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840" w:type="dxa"/>
            <w:vAlign w:val="bottom"/>
            <w:gridSpan w:val="2"/>
          </w:tcPr>
          <w:p>
            <w:pPr>
              <w:ind w:left="2260"/>
              <w:spacing w:after="0"/>
              <w:rPr>
                <w:sz w:val="20"/>
                <w:szCs w:val="20"/>
                <w:color w:val="auto"/>
              </w:rPr>
            </w:pPr>
            <w:r>
              <w:rPr>
                <w:rFonts w:ascii="Times New Roman" w:cs="Times New Roman" w:eastAsia="Times New Roman" w:hAnsi="Times New Roman"/>
                <w:sz w:val="18"/>
                <w:szCs w:val="18"/>
                <w:color w:val="auto"/>
              </w:rPr>
              <w:t>Title:</w:t>
            </w:r>
          </w:p>
        </w:tc>
        <w:tc>
          <w:tcPr>
            <w:tcW w:w="404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Senior Vice President, Chief Financial Officer</w:t>
            </w:r>
          </w:p>
        </w:tc>
      </w:tr>
      <w:tr>
        <w:trPr>
          <w:trHeight w:val="608"/>
        </w:trPr>
        <w:tc>
          <w:tcPr>
            <w:tcW w:w="3460" w:type="dxa"/>
            <w:vAlign w:val="bottom"/>
          </w:tcPr>
          <w:p>
            <w:pPr>
              <w:spacing w:after="0"/>
              <w:rPr>
                <w:sz w:val="24"/>
                <w:szCs w:val="24"/>
                <w:color w:val="auto"/>
              </w:rPr>
            </w:pPr>
          </w:p>
        </w:tc>
        <w:tc>
          <w:tcPr>
            <w:tcW w:w="2840" w:type="dxa"/>
            <w:vAlign w:val="bottom"/>
            <w:gridSpan w:val="2"/>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2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 Jay R. Hervey</w:t>
            </w:r>
          </w:p>
        </w:tc>
        <w:tc>
          <w:tcPr>
            <w:tcW w:w="1760" w:type="dxa"/>
            <w:vAlign w:val="bottom"/>
          </w:tcPr>
          <w:p>
            <w:pPr>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80" w:type="dxa"/>
            <w:vAlign w:val="bottom"/>
            <w:shd w:val="clear" w:color="auto" w:fill="000000"/>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840" w:type="dxa"/>
            <w:vAlign w:val="bottom"/>
            <w:gridSpan w:val="2"/>
          </w:tcPr>
          <w:p>
            <w:pPr>
              <w:ind w:left="2260"/>
              <w:spacing w:after="0"/>
              <w:rPr>
                <w:sz w:val="20"/>
                <w:szCs w:val="20"/>
                <w:color w:val="auto"/>
              </w:rPr>
            </w:pPr>
            <w:r>
              <w:rPr>
                <w:rFonts w:ascii="Times New Roman" w:cs="Times New Roman" w:eastAsia="Times New Roman" w:hAnsi="Times New Roman"/>
                <w:sz w:val="18"/>
                <w:szCs w:val="18"/>
                <w:color w:val="auto"/>
              </w:rPr>
              <w:t>Name:</w:t>
            </w:r>
          </w:p>
        </w:tc>
        <w:tc>
          <w:tcPr>
            <w:tcW w:w="22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Jay R. Hervey</w:t>
            </w:r>
          </w:p>
        </w:tc>
        <w:tc>
          <w:tcPr>
            <w:tcW w:w="176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840" w:type="dxa"/>
            <w:vAlign w:val="bottom"/>
            <w:gridSpan w:val="2"/>
          </w:tcPr>
          <w:p>
            <w:pPr>
              <w:ind w:left="2260"/>
              <w:spacing w:after="0"/>
              <w:rPr>
                <w:sz w:val="20"/>
                <w:szCs w:val="20"/>
                <w:color w:val="auto"/>
              </w:rPr>
            </w:pPr>
            <w:r>
              <w:rPr>
                <w:rFonts w:ascii="Times New Roman" w:cs="Times New Roman" w:eastAsia="Times New Roman" w:hAnsi="Times New Roman"/>
                <w:sz w:val="18"/>
                <w:szCs w:val="18"/>
                <w:color w:val="auto"/>
              </w:rPr>
              <w:t>Title:</w:t>
            </w:r>
          </w:p>
        </w:tc>
        <w:tc>
          <w:tcPr>
            <w:tcW w:w="404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Vice President, General Counsel and Secretary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60" w:type="dxa"/>
            <w:vAlign w:val="bottom"/>
          </w:tcPr>
          <w:p>
            <w:pPr>
              <w:spacing w:after="0"/>
              <w:rPr>
                <w:sz w:val="18"/>
                <w:szCs w:val="18"/>
                <w:color w:val="auto"/>
              </w:rPr>
            </w:pPr>
          </w:p>
        </w:tc>
        <w:tc>
          <w:tcPr>
            <w:tcW w:w="6820" w:type="dxa"/>
            <w:vAlign w:val="bottom"/>
            <w:gridSpan w:val="5"/>
          </w:tcPr>
          <w:p>
            <w:pPr>
              <w:ind w:left="2260"/>
              <w:spacing w:after="0"/>
              <w:rPr>
                <w:sz w:val="20"/>
                <w:szCs w:val="20"/>
                <w:color w:val="auto"/>
              </w:rPr>
            </w:pPr>
            <w:r>
              <w:rPr>
                <w:rFonts w:ascii="Times New Roman" w:cs="Times New Roman" w:eastAsia="Times New Roman" w:hAnsi="Times New Roman"/>
                <w:sz w:val="18"/>
                <w:szCs w:val="18"/>
                <w:b w:val="1"/>
                <w:bCs w:val="1"/>
                <w:color w:val="auto"/>
              </w:rPr>
              <w:t>BASSETT FURNITURE INDUSTRIES OF NORTH</w:t>
            </w:r>
          </w:p>
        </w:tc>
      </w:tr>
      <w:tr>
        <w:trPr>
          <w:trHeight w:val="238"/>
        </w:trPr>
        <w:tc>
          <w:tcPr>
            <w:tcW w:w="3460" w:type="dxa"/>
            <w:vAlign w:val="bottom"/>
          </w:tcPr>
          <w:p>
            <w:pPr>
              <w:spacing w:after="0"/>
              <w:rPr>
                <w:sz w:val="20"/>
                <w:szCs w:val="20"/>
                <w:color w:val="auto"/>
              </w:rPr>
            </w:pPr>
          </w:p>
        </w:tc>
        <w:tc>
          <w:tcPr>
            <w:tcW w:w="5180" w:type="dxa"/>
            <w:vAlign w:val="bottom"/>
            <w:gridSpan w:val="3"/>
          </w:tcPr>
          <w:p>
            <w:pPr>
              <w:ind w:left="2260"/>
              <w:spacing w:after="0"/>
              <w:rPr>
                <w:sz w:val="20"/>
                <w:szCs w:val="20"/>
                <w:color w:val="auto"/>
              </w:rPr>
            </w:pPr>
            <w:r>
              <w:rPr>
                <w:rFonts w:ascii="Times New Roman" w:cs="Times New Roman" w:eastAsia="Times New Roman" w:hAnsi="Times New Roman"/>
                <w:sz w:val="18"/>
                <w:szCs w:val="18"/>
                <w:b w:val="1"/>
                <w:bCs w:val="1"/>
                <w:color w:val="auto"/>
              </w:rPr>
              <w:t>CAROLINA, LLC</w:t>
            </w:r>
          </w:p>
        </w:tc>
        <w:tc>
          <w:tcPr>
            <w:tcW w:w="22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630"/>
        </w:trPr>
        <w:tc>
          <w:tcPr>
            <w:tcW w:w="3460" w:type="dxa"/>
            <w:vAlign w:val="bottom"/>
          </w:tcPr>
          <w:p>
            <w:pPr>
              <w:spacing w:after="0"/>
              <w:rPr>
                <w:sz w:val="20"/>
                <w:szCs w:val="20"/>
                <w:color w:val="auto"/>
              </w:rPr>
            </w:pPr>
            <w:r>
              <w:rPr>
                <w:rFonts w:ascii="Times New Roman" w:cs="Times New Roman" w:eastAsia="Times New Roman" w:hAnsi="Times New Roman"/>
                <w:sz w:val="18"/>
                <w:szCs w:val="18"/>
                <w:color w:val="auto"/>
              </w:rPr>
              <w:t>[Corporate Seal]</w:t>
            </w:r>
          </w:p>
        </w:tc>
        <w:tc>
          <w:tcPr>
            <w:tcW w:w="6820" w:type="dxa"/>
            <w:vAlign w:val="bottom"/>
            <w:gridSpan w:val="5"/>
          </w:tcPr>
          <w:p>
            <w:pPr>
              <w:ind w:left="2260"/>
              <w:spacing w:after="0"/>
              <w:rPr>
                <w:sz w:val="20"/>
                <w:szCs w:val="20"/>
                <w:color w:val="auto"/>
              </w:rPr>
            </w:pPr>
            <w:r>
              <w:rPr>
                <w:rFonts w:ascii="Times New Roman" w:cs="Times New Roman" w:eastAsia="Times New Roman" w:hAnsi="Times New Roman"/>
                <w:sz w:val="18"/>
                <w:szCs w:val="18"/>
                <w:color w:val="auto"/>
              </w:rPr>
              <w:t>By:   Bassett Furniture Industries, Incorporated</w:t>
            </w:r>
          </w:p>
        </w:tc>
      </w:tr>
      <w:tr>
        <w:trPr>
          <w:trHeight w:val="234"/>
        </w:trPr>
        <w:tc>
          <w:tcPr>
            <w:tcW w:w="3460" w:type="dxa"/>
            <w:vAlign w:val="bottom"/>
          </w:tcPr>
          <w:p>
            <w:pPr>
              <w:spacing w:after="0"/>
              <w:rPr>
                <w:sz w:val="20"/>
                <w:szCs w:val="20"/>
                <w:color w:val="auto"/>
              </w:rPr>
            </w:pPr>
          </w:p>
        </w:tc>
        <w:tc>
          <w:tcPr>
            <w:tcW w:w="5180" w:type="dxa"/>
            <w:vAlign w:val="bottom"/>
            <w:gridSpan w:val="3"/>
          </w:tcPr>
          <w:p>
            <w:pPr>
              <w:ind w:left="2260"/>
              <w:spacing w:after="0"/>
              <w:rPr>
                <w:sz w:val="20"/>
                <w:szCs w:val="20"/>
                <w:color w:val="auto"/>
              </w:rPr>
            </w:pPr>
            <w:r>
              <w:rPr>
                <w:rFonts w:ascii="Times New Roman" w:cs="Times New Roman" w:eastAsia="Times New Roman" w:hAnsi="Times New Roman"/>
                <w:sz w:val="18"/>
                <w:szCs w:val="18"/>
                <w:color w:val="auto"/>
              </w:rPr>
              <w:t>Its sole Member and Manager</w:t>
            </w:r>
          </w:p>
        </w:tc>
        <w:tc>
          <w:tcPr>
            <w:tcW w:w="22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608"/>
        </w:trPr>
        <w:tc>
          <w:tcPr>
            <w:tcW w:w="3460" w:type="dxa"/>
            <w:vAlign w:val="bottom"/>
          </w:tcPr>
          <w:p>
            <w:pPr>
              <w:spacing w:after="0"/>
              <w:rPr>
                <w:sz w:val="24"/>
                <w:szCs w:val="24"/>
                <w:color w:val="auto"/>
              </w:rPr>
            </w:pPr>
          </w:p>
        </w:tc>
        <w:tc>
          <w:tcPr>
            <w:tcW w:w="3340" w:type="dxa"/>
            <w:vAlign w:val="bottom"/>
            <w:gridSpan w:val="2"/>
          </w:tcPr>
          <w:p>
            <w:pPr>
              <w:ind w:left="2740"/>
              <w:spacing w:after="0"/>
              <w:rPr>
                <w:sz w:val="20"/>
                <w:szCs w:val="20"/>
                <w:color w:val="auto"/>
              </w:rPr>
            </w:pPr>
            <w:r>
              <w:rPr>
                <w:rFonts w:ascii="Times New Roman" w:cs="Times New Roman" w:eastAsia="Times New Roman" w:hAnsi="Times New Roman"/>
                <w:sz w:val="18"/>
                <w:szCs w:val="18"/>
                <w:color w:val="auto"/>
              </w:rPr>
              <w:t>By:</w:t>
            </w:r>
          </w:p>
        </w:tc>
        <w:tc>
          <w:tcPr>
            <w:tcW w:w="1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 Michael Daniel</w:t>
            </w:r>
          </w:p>
        </w:tc>
        <w:tc>
          <w:tcPr>
            <w:tcW w:w="164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3340" w:type="dxa"/>
            <w:vAlign w:val="bottom"/>
            <w:gridSpan w:val="2"/>
          </w:tcPr>
          <w:p>
            <w:pPr>
              <w:ind w:left="2740"/>
              <w:spacing w:after="0"/>
              <w:rPr>
                <w:sz w:val="20"/>
                <w:szCs w:val="20"/>
                <w:color w:val="auto"/>
              </w:rPr>
            </w:pPr>
            <w:r>
              <w:rPr>
                <w:rFonts w:ascii="Times New Roman" w:cs="Times New Roman" w:eastAsia="Times New Roman" w:hAnsi="Times New Roman"/>
                <w:sz w:val="18"/>
                <w:szCs w:val="18"/>
                <w:color w:val="auto"/>
              </w:rPr>
              <w:t>Name:</w:t>
            </w:r>
          </w:p>
        </w:tc>
        <w:tc>
          <w:tcPr>
            <w:tcW w:w="1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 Michael Daniel</w:t>
            </w:r>
          </w:p>
        </w:tc>
        <w:tc>
          <w:tcPr>
            <w:tcW w:w="22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3340" w:type="dxa"/>
            <w:vAlign w:val="bottom"/>
            <w:gridSpan w:val="2"/>
          </w:tcPr>
          <w:p>
            <w:pPr>
              <w:ind w:left="274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Senior Vice President, Chief Financial Officer</w:t>
            </w:r>
          </w:p>
        </w:tc>
      </w:tr>
      <w:tr>
        <w:trPr>
          <w:trHeight w:val="608"/>
        </w:trPr>
        <w:tc>
          <w:tcPr>
            <w:tcW w:w="3460" w:type="dxa"/>
            <w:vAlign w:val="bottom"/>
          </w:tcPr>
          <w:p>
            <w:pPr>
              <w:spacing w:after="0"/>
              <w:rPr>
                <w:sz w:val="24"/>
                <w:szCs w:val="24"/>
                <w:color w:val="auto"/>
              </w:rPr>
            </w:pPr>
          </w:p>
        </w:tc>
        <w:tc>
          <w:tcPr>
            <w:tcW w:w="3340" w:type="dxa"/>
            <w:vAlign w:val="bottom"/>
            <w:gridSpan w:val="2"/>
          </w:tcPr>
          <w:p>
            <w:pPr>
              <w:ind w:left="2740"/>
              <w:spacing w:after="0"/>
              <w:rPr>
                <w:sz w:val="20"/>
                <w:szCs w:val="20"/>
                <w:color w:val="auto"/>
              </w:rPr>
            </w:pPr>
            <w:r>
              <w:rPr>
                <w:rFonts w:ascii="Times New Roman" w:cs="Times New Roman" w:eastAsia="Times New Roman" w:hAnsi="Times New Roman"/>
                <w:sz w:val="18"/>
                <w:szCs w:val="18"/>
                <w:color w:val="auto"/>
              </w:rPr>
              <w:t>By:</w:t>
            </w:r>
          </w:p>
        </w:tc>
        <w:tc>
          <w:tcPr>
            <w:tcW w:w="1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Jay R. Hervey</w:t>
            </w:r>
          </w:p>
        </w:tc>
        <w:tc>
          <w:tcPr>
            <w:tcW w:w="220" w:type="dxa"/>
            <w:vAlign w:val="bottom"/>
          </w:tcPr>
          <w:p>
            <w:pPr>
              <w:spacing w:after="0"/>
              <w:rPr>
                <w:sz w:val="24"/>
                <w:szCs w:val="24"/>
                <w:color w:val="auto"/>
              </w:rPr>
            </w:pPr>
          </w:p>
        </w:tc>
        <w:tc>
          <w:tcPr>
            <w:tcW w:w="1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20" w:type="dxa"/>
            <w:vAlign w:val="bottom"/>
            <w:tcBorders>
              <w:left w:val="single" w:sz="8" w:color="auto"/>
            </w:tcBorders>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3340" w:type="dxa"/>
            <w:vAlign w:val="bottom"/>
            <w:gridSpan w:val="2"/>
          </w:tcPr>
          <w:p>
            <w:pPr>
              <w:ind w:left="2740"/>
              <w:spacing w:after="0"/>
              <w:rPr>
                <w:sz w:val="20"/>
                <w:szCs w:val="20"/>
                <w:color w:val="auto"/>
              </w:rPr>
            </w:pPr>
            <w:r>
              <w:rPr>
                <w:rFonts w:ascii="Times New Roman" w:cs="Times New Roman" w:eastAsia="Times New Roman" w:hAnsi="Times New Roman"/>
                <w:sz w:val="18"/>
                <w:szCs w:val="18"/>
                <w:color w:val="auto"/>
              </w:rPr>
              <w:t>Name:</w:t>
            </w:r>
          </w:p>
        </w:tc>
        <w:tc>
          <w:tcPr>
            <w:tcW w:w="1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Jay R. Hervey</w:t>
            </w:r>
          </w:p>
        </w:tc>
        <w:tc>
          <w:tcPr>
            <w:tcW w:w="22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3340" w:type="dxa"/>
            <w:vAlign w:val="bottom"/>
            <w:gridSpan w:val="2"/>
          </w:tcPr>
          <w:p>
            <w:pPr>
              <w:ind w:left="274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w w:val="99"/>
              </w:rPr>
              <w:t>Vice President, General Counsel and Secretary</w:t>
            </w:r>
          </w:p>
        </w:tc>
      </w:tr>
    </w:tbl>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[Executions Continue on Following Pages]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78" w:name="page79"/>
    <w:bookmarkEnd w:id="78"/>
    <w:tbl>
      <w:tblPr>
        <w:tblLayout w:type="fixed"/>
        <w:tblInd w:w="0" w:type="dxa"/>
        <w:tblCellMar>
          <w:top w:w="0" w:type="dxa"/>
          <w:left w:w="0" w:type="dxa"/>
          <w:bottom w:w="0" w:type="dxa"/>
          <w:right w:w="0" w:type="dxa"/>
        </w:tblCellMar>
      </w:tblPr>
      <w:tr>
        <w:trPr>
          <w:trHeight w:val="238"/>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b w:val="1"/>
                <w:bCs w:val="1"/>
                <w:color w:val="auto"/>
              </w:rPr>
              <w:t>BASSETT DIRECT STORES, LLC</w:t>
            </w:r>
          </w:p>
        </w:tc>
        <w:tc>
          <w:tcPr>
            <w:tcW w:w="1440" w:type="dxa"/>
            <w:vAlign w:val="bottom"/>
          </w:tcPr>
          <w:p>
            <w:pPr>
              <w:spacing w:after="0"/>
              <w:rPr>
                <w:sz w:val="20"/>
                <w:szCs w:val="20"/>
                <w:color w:val="auto"/>
              </w:rPr>
            </w:pPr>
          </w:p>
        </w:tc>
      </w:tr>
      <w:tr>
        <w:trPr>
          <w:trHeight w:val="630"/>
        </w:trPr>
        <w:tc>
          <w:tcPr>
            <w:tcW w:w="3460" w:type="dxa"/>
            <w:vAlign w:val="bottom"/>
          </w:tcPr>
          <w:p>
            <w:pPr>
              <w:spacing w:after="0"/>
              <w:rPr>
                <w:sz w:val="20"/>
                <w:szCs w:val="20"/>
                <w:color w:val="auto"/>
              </w:rPr>
            </w:pPr>
            <w:r>
              <w:rPr>
                <w:rFonts w:ascii="Times New Roman" w:cs="Times New Roman" w:eastAsia="Times New Roman" w:hAnsi="Times New Roman"/>
                <w:sz w:val="18"/>
                <w:szCs w:val="18"/>
                <w:color w:val="auto"/>
              </w:rPr>
              <w:t>[Corporate Seal]</w:t>
            </w:r>
          </w:p>
        </w:tc>
        <w:tc>
          <w:tcPr>
            <w:tcW w:w="26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4180" w:type="dxa"/>
            <w:vAlign w:val="bottom"/>
            <w:gridSpan w:val="4"/>
          </w:tcPr>
          <w:p>
            <w:pPr>
              <w:ind w:left="100"/>
              <w:spacing w:after="0"/>
              <w:rPr>
                <w:sz w:val="20"/>
                <w:szCs w:val="20"/>
                <w:color w:val="auto"/>
              </w:rPr>
            </w:pPr>
            <w:r>
              <w:rPr>
                <w:rFonts w:ascii="Times New Roman" w:cs="Times New Roman" w:eastAsia="Times New Roman" w:hAnsi="Times New Roman"/>
                <w:sz w:val="18"/>
                <w:szCs w:val="18"/>
                <w:color w:val="auto"/>
              </w:rPr>
              <w:t>Bassett Furniture Industries, Incorporated</w:t>
            </w:r>
          </w:p>
        </w:tc>
      </w:tr>
      <w:tr>
        <w:trPr>
          <w:trHeight w:val="234"/>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color w:val="auto"/>
              </w:rPr>
              <w:t>Its sole Member and Manager</w:t>
            </w:r>
          </w:p>
        </w:tc>
        <w:tc>
          <w:tcPr>
            <w:tcW w:w="1440" w:type="dxa"/>
            <w:vAlign w:val="bottom"/>
          </w:tcPr>
          <w:p>
            <w:pPr>
              <w:spacing w:after="0"/>
              <w:rPr>
                <w:sz w:val="20"/>
                <w:szCs w:val="20"/>
                <w:color w:val="auto"/>
              </w:rPr>
            </w:pPr>
          </w:p>
        </w:tc>
      </w:tr>
      <w:tr>
        <w:trPr>
          <w:trHeight w:val="608"/>
        </w:trPr>
        <w:tc>
          <w:tcPr>
            <w:tcW w:w="34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By:</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 Michael Daniel</w:t>
            </w:r>
          </w:p>
        </w:tc>
        <w:tc>
          <w:tcPr>
            <w:tcW w:w="1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1440" w:type="dxa"/>
            <w:vAlign w:val="bottom"/>
            <w:tcBorders>
              <w:left w:val="single" w:sz="8" w:color="auto"/>
            </w:tcBorders>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Name:</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 Michael Daniel</w:t>
            </w:r>
          </w:p>
        </w:tc>
        <w:tc>
          <w:tcPr>
            <w:tcW w:w="144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Senior Vice President, Chief Financial Officer</w:t>
            </w:r>
          </w:p>
        </w:tc>
      </w:tr>
      <w:tr>
        <w:trPr>
          <w:trHeight w:val="608"/>
        </w:trPr>
        <w:tc>
          <w:tcPr>
            <w:tcW w:w="34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By:</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Jay R. Hervey</w:t>
            </w:r>
          </w:p>
        </w:tc>
        <w:tc>
          <w:tcPr>
            <w:tcW w:w="1440" w:type="dxa"/>
            <w:vAlign w:val="bottom"/>
          </w:tcPr>
          <w:p>
            <w:pPr>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Name:</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Jay R. Hervey</w:t>
            </w:r>
          </w:p>
        </w:tc>
        <w:tc>
          <w:tcPr>
            <w:tcW w:w="144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w w:val="99"/>
              </w:rPr>
              <w:t>Vice President, General Counsel and Secretary</w:t>
            </w:r>
          </w:p>
        </w:tc>
      </w:tr>
      <w:tr>
        <w:trPr>
          <w:trHeight w:val="648"/>
        </w:trPr>
        <w:tc>
          <w:tcPr>
            <w:tcW w:w="3460" w:type="dxa"/>
            <w:vAlign w:val="bottom"/>
          </w:tcPr>
          <w:p>
            <w:pPr>
              <w:spacing w:after="0"/>
              <w:rPr>
                <w:sz w:val="24"/>
                <w:szCs w:val="24"/>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b w:val="1"/>
                <w:bCs w:val="1"/>
                <w:color w:val="auto"/>
              </w:rPr>
              <w:t>BASSETT DIRECT NC, LLC</w:t>
            </w:r>
          </w:p>
        </w:tc>
        <w:tc>
          <w:tcPr>
            <w:tcW w:w="1440" w:type="dxa"/>
            <w:vAlign w:val="bottom"/>
          </w:tcPr>
          <w:p>
            <w:pPr>
              <w:spacing w:after="0"/>
              <w:rPr>
                <w:sz w:val="24"/>
                <w:szCs w:val="24"/>
                <w:color w:val="auto"/>
              </w:rPr>
            </w:pPr>
          </w:p>
        </w:tc>
      </w:tr>
      <w:tr>
        <w:trPr>
          <w:trHeight w:val="414"/>
        </w:trPr>
        <w:tc>
          <w:tcPr>
            <w:tcW w:w="3460" w:type="dxa"/>
            <w:vAlign w:val="bottom"/>
          </w:tcPr>
          <w:p>
            <w:pPr>
              <w:spacing w:after="0"/>
              <w:rPr>
                <w:sz w:val="20"/>
                <w:szCs w:val="20"/>
                <w:color w:val="auto"/>
              </w:rPr>
            </w:pPr>
            <w:r>
              <w:rPr>
                <w:rFonts w:ascii="Times New Roman" w:cs="Times New Roman" w:eastAsia="Times New Roman" w:hAnsi="Times New Roman"/>
                <w:sz w:val="18"/>
                <w:szCs w:val="18"/>
                <w:color w:val="auto"/>
              </w:rPr>
              <w:t>[Corporate Seal]</w:t>
            </w:r>
          </w:p>
        </w:tc>
        <w:tc>
          <w:tcPr>
            <w:tcW w:w="26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274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Bassett Direct Stores, LLC</w:t>
            </w:r>
          </w:p>
        </w:tc>
        <w:tc>
          <w:tcPr>
            <w:tcW w:w="1440" w:type="dxa"/>
            <w:vAlign w:val="bottom"/>
          </w:tcPr>
          <w:p>
            <w:pPr>
              <w:spacing w:after="0"/>
              <w:rPr>
                <w:sz w:val="24"/>
                <w:szCs w:val="24"/>
                <w:color w:val="auto"/>
              </w:rPr>
            </w:pPr>
          </w:p>
        </w:tc>
      </w:tr>
      <w:tr>
        <w:trPr>
          <w:trHeight w:val="234"/>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color w:val="auto"/>
              </w:rPr>
              <w:t>Its sole Member and Manager</w:t>
            </w:r>
          </w:p>
        </w:tc>
        <w:tc>
          <w:tcPr>
            <w:tcW w:w="1440" w:type="dxa"/>
            <w:vAlign w:val="bottom"/>
          </w:tcPr>
          <w:p>
            <w:pPr>
              <w:spacing w:after="0"/>
              <w:rPr>
                <w:sz w:val="20"/>
                <w:szCs w:val="20"/>
                <w:color w:val="auto"/>
              </w:rPr>
            </w:pPr>
          </w:p>
        </w:tc>
      </w:tr>
      <w:tr>
        <w:trPr>
          <w:trHeight w:val="414"/>
        </w:trPr>
        <w:tc>
          <w:tcPr>
            <w:tcW w:w="3460" w:type="dxa"/>
            <w:vAlign w:val="bottom"/>
          </w:tcPr>
          <w:p>
            <w:pPr>
              <w:spacing w:after="0"/>
              <w:rPr>
                <w:sz w:val="24"/>
                <w:szCs w:val="24"/>
                <w:color w:val="auto"/>
              </w:rPr>
            </w:pPr>
          </w:p>
        </w:tc>
        <w:tc>
          <w:tcPr>
            <w:tcW w:w="26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4180" w:type="dxa"/>
            <w:vAlign w:val="bottom"/>
            <w:gridSpan w:val="4"/>
          </w:tcPr>
          <w:p>
            <w:pPr>
              <w:ind w:left="100"/>
              <w:spacing w:after="0"/>
              <w:rPr>
                <w:sz w:val="20"/>
                <w:szCs w:val="20"/>
                <w:color w:val="auto"/>
              </w:rPr>
            </w:pPr>
            <w:r>
              <w:rPr>
                <w:rFonts w:ascii="Times New Roman" w:cs="Times New Roman" w:eastAsia="Times New Roman" w:hAnsi="Times New Roman"/>
                <w:sz w:val="18"/>
                <w:szCs w:val="18"/>
                <w:color w:val="auto"/>
              </w:rPr>
              <w:t>Bassett Furniture Industries, Incorporated</w:t>
            </w:r>
          </w:p>
        </w:tc>
      </w:tr>
      <w:tr>
        <w:trPr>
          <w:trHeight w:val="234"/>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color w:val="auto"/>
              </w:rPr>
              <w:t>Its sole Member and Manager</w:t>
            </w:r>
          </w:p>
        </w:tc>
        <w:tc>
          <w:tcPr>
            <w:tcW w:w="1440" w:type="dxa"/>
            <w:vAlign w:val="bottom"/>
          </w:tcPr>
          <w:p>
            <w:pPr>
              <w:spacing w:after="0"/>
              <w:rPr>
                <w:sz w:val="20"/>
                <w:szCs w:val="20"/>
                <w:color w:val="auto"/>
              </w:rPr>
            </w:pPr>
          </w:p>
        </w:tc>
      </w:tr>
      <w:tr>
        <w:trPr>
          <w:trHeight w:val="608"/>
        </w:trPr>
        <w:tc>
          <w:tcPr>
            <w:tcW w:w="34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By:</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 Michael Daniel</w:t>
            </w:r>
          </w:p>
        </w:tc>
        <w:tc>
          <w:tcPr>
            <w:tcW w:w="1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1440" w:type="dxa"/>
            <w:vAlign w:val="bottom"/>
            <w:tcBorders>
              <w:left w:val="single" w:sz="8" w:color="auto"/>
            </w:tcBorders>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Name:</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 Michael Daniel</w:t>
            </w:r>
          </w:p>
        </w:tc>
        <w:tc>
          <w:tcPr>
            <w:tcW w:w="144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Senior Vice President, Chief Financial Officer</w:t>
            </w:r>
          </w:p>
        </w:tc>
      </w:tr>
      <w:tr>
        <w:trPr>
          <w:trHeight w:val="608"/>
        </w:trPr>
        <w:tc>
          <w:tcPr>
            <w:tcW w:w="34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By:</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Jay R. Hervey</w:t>
            </w:r>
          </w:p>
        </w:tc>
        <w:tc>
          <w:tcPr>
            <w:tcW w:w="1440" w:type="dxa"/>
            <w:vAlign w:val="bottom"/>
          </w:tcPr>
          <w:p>
            <w:pPr>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Name:</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Jay R. Hervey</w:t>
            </w:r>
          </w:p>
        </w:tc>
        <w:tc>
          <w:tcPr>
            <w:tcW w:w="144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w w:val="99"/>
              </w:rPr>
              <w:t>Vice President, General Counsel and Secretary</w:t>
            </w:r>
          </w:p>
        </w:tc>
      </w:tr>
    </w:tbl>
    <w:p>
      <w:pPr>
        <w:spacing w:after="0" w:line="200" w:lineRule="exact"/>
        <w:rPr>
          <w:sz w:val="20"/>
          <w:szCs w:val="20"/>
          <w:color w:val="auto"/>
        </w:rPr>
      </w:pPr>
    </w:p>
    <w:p>
      <w:pPr>
        <w:spacing w:after="0" w:line="214" w:lineRule="exact"/>
        <w:rPr>
          <w:sz w:val="20"/>
          <w:szCs w:val="20"/>
          <w:color w:val="auto"/>
        </w:rPr>
      </w:pPr>
    </w:p>
    <w:p>
      <w:pPr>
        <w:jc w:val="center"/>
        <w:ind w:right="-1139"/>
        <w:spacing w:after="0"/>
        <w:rPr>
          <w:sz w:val="20"/>
          <w:szCs w:val="20"/>
          <w:color w:val="auto"/>
        </w:rPr>
      </w:pPr>
      <w:r>
        <w:rPr>
          <w:rFonts w:ascii="Times New Roman" w:cs="Times New Roman" w:eastAsia="Times New Roman" w:hAnsi="Times New Roman"/>
          <w:sz w:val="18"/>
          <w:szCs w:val="18"/>
          <w:color w:val="auto"/>
        </w:rPr>
        <w:t>[Executions Continue on Following Pages]</w:t>
      </w:r>
    </w:p>
    <w:p>
      <w:pPr>
        <w:spacing w:after="0" w:line="225"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80"/>
          </w:cols>
          <w:pgMar w:left="240" w:top="576" w:right="1379" w:bottom="1440" w:gutter="0" w:footer="0" w:header="0"/>
        </w:sectPr>
      </w:pPr>
    </w:p>
    <w:bookmarkStart w:id="79" w:name="page80"/>
    <w:bookmarkEnd w:id="79"/>
    <w:tbl>
      <w:tblPr>
        <w:tblLayout w:type="fixed"/>
        <w:tblInd w:w="0" w:type="dxa"/>
        <w:tblCellMar>
          <w:top w:w="0" w:type="dxa"/>
          <w:left w:w="0" w:type="dxa"/>
          <w:bottom w:w="0" w:type="dxa"/>
          <w:right w:w="0" w:type="dxa"/>
        </w:tblCellMar>
      </w:tblPr>
      <w:tr>
        <w:trPr>
          <w:trHeight w:val="238"/>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b w:val="1"/>
                <w:bCs w:val="1"/>
                <w:color w:val="auto"/>
              </w:rPr>
              <w:t>BASSETT DIRECT SC, LLC</w:t>
            </w:r>
          </w:p>
        </w:tc>
        <w:tc>
          <w:tcPr>
            <w:tcW w:w="1440" w:type="dxa"/>
            <w:vAlign w:val="bottom"/>
          </w:tcPr>
          <w:p>
            <w:pPr>
              <w:spacing w:after="0"/>
              <w:rPr>
                <w:sz w:val="20"/>
                <w:szCs w:val="20"/>
                <w:color w:val="auto"/>
              </w:rPr>
            </w:pPr>
          </w:p>
        </w:tc>
      </w:tr>
      <w:tr>
        <w:trPr>
          <w:trHeight w:val="414"/>
        </w:trPr>
        <w:tc>
          <w:tcPr>
            <w:tcW w:w="3460" w:type="dxa"/>
            <w:vAlign w:val="bottom"/>
          </w:tcPr>
          <w:p>
            <w:pPr>
              <w:spacing w:after="0"/>
              <w:rPr>
                <w:sz w:val="20"/>
                <w:szCs w:val="20"/>
                <w:color w:val="auto"/>
              </w:rPr>
            </w:pPr>
            <w:r>
              <w:rPr>
                <w:rFonts w:ascii="Times New Roman" w:cs="Times New Roman" w:eastAsia="Times New Roman" w:hAnsi="Times New Roman"/>
                <w:sz w:val="18"/>
                <w:szCs w:val="18"/>
                <w:color w:val="auto"/>
              </w:rPr>
              <w:t>[Corporate Seal]</w:t>
            </w:r>
          </w:p>
        </w:tc>
        <w:tc>
          <w:tcPr>
            <w:tcW w:w="26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274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Bassett Direct Stores, LLC</w:t>
            </w:r>
          </w:p>
        </w:tc>
        <w:tc>
          <w:tcPr>
            <w:tcW w:w="1440" w:type="dxa"/>
            <w:vAlign w:val="bottom"/>
          </w:tcPr>
          <w:p>
            <w:pPr>
              <w:spacing w:after="0"/>
              <w:rPr>
                <w:sz w:val="24"/>
                <w:szCs w:val="24"/>
                <w:color w:val="auto"/>
              </w:rPr>
            </w:pPr>
          </w:p>
        </w:tc>
      </w:tr>
      <w:tr>
        <w:trPr>
          <w:trHeight w:val="234"/>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color w:val="auto"/>
              </w:rPr>
              <w:t>Its sole Member and Manager</w:t>
            </w:r>
          </w:p>
        </w:tc>
        <w:tc>
          <w:tcPr>
            <w:tcW w:w="1440" w:type="dxa"/>
            <w:vAlign w:val="bottom"/>
          </w:tcPr>
          <w:p>
            <w:pPr>
              <w:spacing w:after="0"/>
              <w:rPr>
                <w:sz w:val="20"/>
                <w:szCs w:val="20"/>
                <w:color w:val="auto"/>
              </w:rPr>
            </w:pPr>
          </w:p>
        </w:tc>
      </w:tr>
      <w:tr>
        <w:trPr>
          <w:trHeight w:val="414"/>
        </w:trPr>
        <w:tc>
          <w:tcPr>
            <w:tcW w:w="3460" w:type="dxa"/>
            <w:vAlign w:val="bottom"/>
          </w:tcPr>
          <w:p>
            <w:pPr>
              <w:spacing w:after="0"/>
              <w:rPr>
                <w:sz w:val="24"/>
                <w:szCs w:val="24"/>
                <w:color w:val="auto"/>
              </w:rPr>
            </w:pPr>
          </w:p>
        </w:tc>
        <w:tc>
          <w:tcPr>
            <w:tcW w:w="26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4180" w:type="dxa"/>
            <w:vAlign w:val="bottom"/>
            <w:gridSpan w:val="4"/>
          </w:tcPr>
          <w:p>
            <w:pPr>
              <w:ind w:left="100"/>
              <w:spacing w:after="0"/>
              <w:rPr>
                <w:sz w:val="20"/>
                <w:szCs w:val="20"/>
                <w:color w:val="auto"/>
              </w:rPr>
            </w:pPr>
            <w:r>
              <w:rPr>
                <w:rFonts w:ascii="Times New Roman" w:cs="Times New Roman" w:eastAsia="Times New Roman" w:hAnsi="Times New Roman"/>
                <w:sz w:val="18"/>
                <w:szCs w:val="18"/>
                <w:color w:val="auto"/>
              </w:rPr>
              <w:t>Bassett Furniture Industries, Incorporated</w:t>
            </w:r>
          </w:p>
        </w:tc>
      </w:tr>
      <w:tr>
        <w:trPr>
          <w:trHeight w:val="234"/>
        </w:trPr>
        <w:tc>
          <w:tcPr>
            <w:tcW w:w="3460" w:type="dxa"/>
            <w:vAlign w:val="bottom"/>
          </w:tcPr>
          <w:p>
            <w:pPr>
              <w:spacing w:after="0"/>
              <w:rPr>
                <w:sz w:val="20"/>
                <w:szCs w:val="20"/>
                <w:color w:val="auto"/>
              </w:rPr>
            </w:pPr>
          </w:p>
        </w:tc>
        <w:tc>
          <w:tcPr>
            <w:tcW w:w="5380" w:type="dxa"/>
            <w:vAlign w:val="bottom"/>
            <w:gridSpan w:val="4"/>
          </w:tcPr>
          <w:p>
            <w:pPr>
              <w:ind w:left="2260"/>
              <w:spacing w:after="0"/>
              <w:rPr>
                <w:sz w:val="20"/>
                <w:szCs w:val="20"/>
                <w:color w:val="auto"/>
              </w:rPr>
            </w:pPr>
            <w:r>
              <w:rPr>
                <w:rFonts w:ascii="Times New Roman" w:cs="Times New Roman" w:eastAsia="Times New Roman" w:hAnsi="Times New Roman"/>
                <w:sz w:val="18"/>
                <w:szCs w:val="18"/>
                <w:color w:val="auto"/>
              </w:rPr>
              <w:t>Its sole Member and Manager</w:t>
            </w:r>
          </w:p>
        </w:tc>
        <w:tc>
          <w:tcPr>
            <w:tcW w:w="1440" w:type="dxa"/>
            <w:vAlign w:val="bottom"/>
          </w:tcPr>
          <w:p>
            <w:pPr>
              <w:spacing w:after="0"/>
              <w:rPr>
                <w:sz w:val="20"/>
                <w:szCs w:val="20"/>
                <w:color w:val="auto"/>
              </w:rPr>
            </w:pPr>
          </w:p>
        </w:tc>
      </w:tr>
      <w:tr>
        <w:trPr>
          <w:trHeight w:val="608"/>
        </w:trPr>
        <w:tc>
          <w:tcPr>
            <w:tcW w:w="34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By:</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 Michael Daniel</w:t>
            </w:r>
          </w:p>
        </w:tc>
        <w:tc>
          <w:tcPr>
            <w:tcW w:w="1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1440" w:type="dxa"/>
            <w:vAlign w:val="bottom"/>
            <w:tcBorders>
              <w:left w:val="single" w:sz="8" w:color="auto"/>
            </w:tcBorders>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Name:</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 Michael Daniel</w:t>
            </w:r>
          </w:p>
        </w:tc>
        <w:tc>
          <w:tcPr>
            <w:tcW w:w="144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Senior Vice President, Chief Financial Officer</w:t>
            </w:r>
          </w:p>
        </w:tc>
      </w:tr>
      <w:tr>
        <w:trPr>
          <w:trHeight w:val="608"/>
        </w:trPr>
        <w:tc>
          <w:tcPr>
            <w:tcW w:w="34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By:</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Jay R. Hervey</w:t>
            </w:r>
          </w:p>
        </w:tc>
        <w:tc>
          <w:tcPr>
            <w:tcW w:w="1440" w:type="dxa"/>
            <w:vAlign w:val="bottom"/>
          </w:tcPr>
          <w:p>
            <w:pPr>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34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shd w:val="clear" w:color="auto" w:fill="000000"/>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r>
        <w:trPr>
          <w:trHeight w:val="218"/>
        </w:trPr>
        <w:tc>
          <w:tcPr>
            <w:tcW w:w="34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Name:</w:t>
            </w:r>
          </w:p>
        </w:tc>
        <w:tc>
          <w:tcPr>
            <w:tcW w:w="2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Jay R. Hervey</w:t>
            </w:r>
          </w:p>
        </w:tc>
        <w:tc>
          <w:tcPr>
            <w:tcW w:w="1440" w:type="dxa"/>
            <w:vAlign w:val="bottom"/>
          </w:tcPr>
          <w:p>
            <w:pPr>
              <w:spacing w:after="0"/>
              <w:rPr>
                <w:sz w:val="18"/>
                <w:szCs w:val="18"/>
                <w:color w:val="auto"/>
              </w:rPr>
            </w:pPr>
          </w:p>
        </w:tc>
      </w:tr>
      <w:tr>
        <w:trPr>
          <w:trHeight w:val="234"/>
        </w:trPr>
        <w:tc>
          <w:tcPr>
            <w:tcW w:w="34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7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Title:</w:t>
            </w: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w w:val="99"/>
              </w:rPr>
              <w:t>Vice President, General Counsel and Secretary</w:t>
            </w: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139"/>
        <w:spacing w:after="0"/>
        <w:rPr>
          <w:sz w:val="20"/>
          <w:szCs w:val="20"/>
          <w:color w:val="auto"/>
        </w:rPr>
      </w:pPr>
      <w:r>
        <w:rPr>
          <w:rFonts w:ascii="Times New Roman" w:cs="Times New Roman" w:eastAsia="Times New Roman" w:hAnsi="Times New Roman"/>
          <w:sz w:val="18"/>
          <w:szCs w:val="18"/>
          <w:color w:val="auto"/>
        </w:rPr>
        <w:t>[Executions Continue on Following Page]</w:t>
      </w:r>
    </w:p>
    <w:p>
      <w:pPr>
        <w:spacing w:after="0" w:line="225"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80"/>
          </w:cols>
          <w:pgMar w:left="240" w:top="576" w:right="1379" w:bottom="1440" w:gutter="0" w:footer="0" w:header="0"/>
        </w:sectPr>
      </w:pPr>
    </w:p>
    <w:bookmarkStart w:id="80" w:name="page81"/>
    <w:bookmarkEnd w:id="80"/>
    <w:p>
      <w:pPr>
        <w:jc w:val="right"/>
        <w:ind w:right="759"/>
        <w:spacing w:after="0"/>
        <w:rPr>
          <w:sz w:val="20"/>
          <w:szCs w:val="20"/>
          <w:color w:val="auto"/>
        </w:rPr>
      </w:pPr>
      <w:r>
        <w:rPr>
          <w:rFonts w:ascii="Times New Roman" w:cs="Times New Roman" w:eastAsia="Times New Roman" w:hAnsi="Times New Roman"/>
          <w:sz w:val="18"/>
          <w:szCs w:val="18"/>
          <w:b w:val="1"/>
          <w:bCs w:val="1"/>
          <w:color w:val="auto"/>
        </w:rPr>
        <w:t>BRANCH BANKING AND TRUST COMPANY</w:t>
      </w:r>
    </w:p>
    <w:p>
      <w:pPr>
        <w:spacing w:after="0" w:line="200" w:lineRule="exact"/>
        <w:rPr>
          <w:sz w:val="20"/>
          <w:szCs w:val="20"/>
          <w:color w:val="auto"/>
        </w:rPr>
      </w:pPr>
    </w:p>
    <w:p>
      <w:pPr>
        <w:spacing w:after="0" w:line="232" w:lineRule="exact"/>
        <w:rPr>
          <w:sz w:val="20"/>
          <w:szCs w:val="20"/>
          <w:color w:val="auto"/>
        </w:rPr>
      </w:pPr>
    </w:p>
    <w:tbl>
      <w:tblPr>
        <w:tblLayout w:type="fixed"/>
        <w:tblInd w:w="5720" w:type="dxa"/>
        <w:tblCellMar>
          <w:top w:w="0" w:type="dxa"/>
          <w:left w:w="0" w:type="dxa"/>
          <w:bottom w:w="0" w:type="dxa"/>
          <w:right w:w="0" w:type="dxa"/>
        </w:tblCellMar>
      </w:tblPr>
      <w:tr>
        <w:trPr>
          <w:trHeight w:val="207"/>
        </w:trPr>
        <w:tc>
          <w:tcPr>
            <w:tcW w:w="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w:t>
            </w:r>
          </w:p>
        </w:tc>
        <w:tc>
          <w:tcPr>
            <w:tcW w:w="25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 Ray D. Vaughn</w:t>
            </w:r>
          </w:p>
        </w:tc>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w w:val="94"/>
              </w:rPr>
              <w:t>(SEAL)</w:t>
            </w:r>
          </w:p>
        </w:tc>
      </w:tr>
      <w:tr>
        <w:trPr>
          <w:trHeight w:val="20"/>
        </w:trPr>
        <w:tc>
          <w:tcPr>
            <w:tcW w:w="2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52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218"/>
        </w:trPr>
        <w:tc>
          <w:tcPr>
            <w:tcW w:w="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w:t>
            </w:r>
          </w:p>
        </w:tc>
        <w:tc>
          <w:tcPr>
            <w:tcW w:w="2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Ray D. Vaughn</w:t>
            </w:r>
          </w:p>
        </w:tc>
        <w:tc>
          <w:tcPr>
            <w:tcW w:w="560" w:type="dxa"/>
            <w:vAlign w:val="bottom"/>
          </w:tcPr>
          <w:p>
            <w:pPr>
              <w:spacing w:after="0"/>
              <w:rPr>
                <w:sz w:val="18"/>
                <w:szCs w:val="18"/>
                <w:color w:val="auto"/>
              </w:rPr>
            </w:pPr>
          </w:p>
        </w:tc>
      </w:tr>
      <w:tr>
        <w:trPr>
          <w:trHeight w:val="234"/>
        </w:trPr>
        <w:tc>
          <w:tcPr>
            <w:tcW w:w="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w:t>
            </w:r>
          </w:p>
        </w:tc>
        <w:tc>
          <w:tcPr>
            <w:tcW w:w="25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Senior Vice President</w:t>
            </w:r>
          </w:p>
        </w:tc>
        <w:tc>
          <w:tcPr>
            <w:tcW w:w="56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A-1 – Replacement Note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#36859918v2</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204750.000755</w:t>
      </w:r>
    </w:p>
    <w:p>
      <w:pPr>
        <w:spacing w:after="0" w:line="207"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19"/>
          </w:cols>
          <w:pgMar w:left="240" w:top="576" w:right="1440" w:bottom="1440" w:gutter="0" w:footer="0" w:header="0"/>
        </w:sectPr>
      </w:pPr>
    </w:p>
    <w:bookmarkStart w:id="81" w:name="page82"/>
    <w:bookmarkEnd w:id="81"/>
    <w:p>
      <w:pPr>
        <w:spacing w:after="0"/>
        <w:rPr>
          <w:sz w:val="20"/>
          <w:szCs w:val="20"/>
          <w:color w:val="auto"/>
        </w:rPr>
      </w:pPr>
      <w:r>
        <w:rPr>
          <w:rFonts w:ascii="Times New Roman" w:cs="Times New Roman" w:eastAsia="Times New Roman" w:hAnsi="Times New Roman"/>
          <w:sz w:val="18"/>
          <w:szCs w:val="18"/>
          <w:color w:val="auto"/>
        </w:rPr>
        <w:t>Exhibit A-1 – Replacement Note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FIRST REPLACEMENT NOTE</w:t>
      </w:r>
    </w:p>
    <w:p>
      <w:pPr>
        <w:sectPr>
          <w:pgSz w:w="11900" w:h="16838" w:orient="portrait"/>
          <w:cols w:equalWidth="0" w:num="1">
            <w:col w:w="11420"/>
          </w:cols>
          <w:pgMar w:left="240" w:top="580" w:right="23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$25,000,000.00</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Roanoke, Virginia</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15, 2018</w:t>
      </w:r>
    </w:p>
    <w:p>
      <w:pPr>
        <w:spacing w:after="0" w:line="200" w:lineRule="exact"/>
        <w:rPr>
          <w:sz w:val="20"/>
          <w:szCs w:val="20"/>
          <w:color w:val="auto"/>
        </w:rPr>
      </w:pPr>
    </w:p>
    <w:p>
      <w:pPr>
        <w:sectPr>
          <w:pgSz w:w="11900" w:h="16838" w:orient="portrait"/>
          <w:cols w:equalWidth="0" w:num="2">
            <w:col w:w="9260" w:space="720"/>
            <w:col w:w="1440"/>
          </w:cols>
          <w:pgMar w:left="240" w:top="580" w:right="239" w:bottom="1440" w:gutter="0" w:footer="0" w:header="0"/>
          <w:type w:val="continuous"/>
        </w:sectPr>
      </w:pPr>
    </w:p>
    <w:p>
      <w:pPr>
        <w:spacing w:after="0" w:line="7" w:lineRule="exact"/>
        <w:rPr>
          <w:sz w:val="20"/>
          <w:szCs w:val="20"/>
          <w:color w:val="auto"/>
        </w:rPr>
      </w:pPr>
    </w:p>
    <w:p>
      <w:pPr>
        <w:jc w:val="both"/>
        <w:ind w:firstLine="1297"/>
        <w:spacing w:after="0" w:line="254" w:lineRule="auto"/>
        <w:rPr>
          <w:sz w:val="20"/>
          <w:szCs w:val="20"/>
          <w:color w:val="auto"/>
        </w:rPr>
      </w:pPr>
      <w:r>
        <w:rPr>
          <w:rFonts w:ascii="Times New Roman" w:cs="Times New Roman" w:eastAsia="Times New Roman" w:hAnsi="Times New Roman"/>
          <w:sz w:val="18"/>
          <w:szCs w:val="18"/>
          <w:color w:val="auto"/>
        </w:rPr>
        <w:t>For value received, BASSETT FURNITURE INDUSTRIES, INCORPORATED (the “Borrower”) promises to pay to the order of BRANCH BANKING AND TRUST COMPANY (the “Bank”), the principal sum of TWENTY-FIVE MILLION AND NO/100 DOLLARS ($25,000,000.00), or such lesser amount as shall equal the unpaid principal amount of each Advance (as defined in the Credit Agreement (as hereinafter defined)) made by the Bank to the Borrower pursuant to the Credit Agreement, on the dates and in the amounts provided in this Note. The Borrower promises to pay interest on the unpaid principal amount of this Note on the dates and at the rate or rates provided for in this Note. Interest on any overdue principal of and, to the extent permitted by law, overdue interest on the principal amount hereof shall bear interest at the Default Rate, as provided for in this Note. All such payments of principal and interest shall be made in lawful money of the United States in federal or other immediately available funds at the office of Branch Banking and Trust Company, 310 First Street, Suite 200, Roanoke, Virginia 24011, or at such other address as may be specified from time to time pursuant to the Credit Agreement.</w:t>
      </w:r>
    </w:p>
    <w:p>
      <w:pPr>
        <w:spacing w:after="0" w:line="189" w:lineRule="exact"/>
        <w:rPr>
          <w:sz w:val="20"/>
          <w:szCs w:val="20"/>
          <w:color w:val="auto"/>
        </w:rPr>
      </w:pPr>
    </w:p>
    <w:p>
      <w:pPr>
        <w:jc w:val="both"/>
        <w:ind w:firstLine="1297"/>
        <w:spacing w:after="0" w:line="261" w:lineRule="auto"/>
        <w:rPr>
          <w:sz w:val="20"/>
          <w:szCs w:val="20"/>
          <w:color w:val="auto"/>
        </w:rPr>
      </w:pPr>
      <w:r>
        <w:rPr>
          <w:rFonts w:ascii="Times New Roman" w:cs="Times New Roman" w:eastAsia="Times New Roman" w:hAnsi="Times New Roman"/>
          <w:sz w:val="18"/>
          <w:szCs w:val="18"/>
          <w:color w:val="auto"/>
        </w:rPr>
        <w:t xml:space="preserve">All Advances made by the Bank, the interest rates from time to time applicable thereto and all repayments of the principal thereof shall be recorded by the Bank and, prior to any transfer hereof, endorsed by the Bank on the schedule attached hereto, or on a continuation of such schedule attached to and made a part hereof;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failure of the Bank to make, or any error of the Bank in making, any such recordation or endorsement shall not affect the obligations of the Borrower hereunder or under the Credit Agreement.</w:t>
      </w:r>
    </w:p>
    <w:p>
      <w:pPr>
        <w:spacing w:after="0" w:line="180" w:lineRule="exact"/>
        <w:rPr>
          <w:sz w:val="20"/>
          <w:szCs w:val="20"/>
          <w:color w:val="auto"/>
        </w:rPr>
      </w:pPr>
    </w:p>
    <w:p>
      <w:pPr>
        <w:jc w:val="both"/>
        <w:ind w:firstLine="1297"/>
        <w:spacing w:after="0" w:line="258" w:lineRule="auto"/>
        <w:rPr>
          <w:sz w:val="20"/>
          <w:szCs w:val="20"/>
          <w:color w:val="auto"/>
        </w:rPr>
      </w:pPr>
      <w:r>
        <w:rPr>
          <w:rFonts w:ascii="Times New Roman" w:cs="Times New Roman" w:eastAsia="Times New Roman" w:hAnsi="Times New Roman"/>
          <w:sz w:val="18"/>
          <w:szCs w:val="18"/>
          <w:color w:val="auto"/>
        </w:rPr>
        <w:t>Interest on this Note for each Interest Period (as hereinafter defined) shall be due and payable on the fifth day of each month immediately succeeding the last day of the Interest Period ending on November 30, 2018; provided that: (1) all accrued unpaid interest on this Note shall be paid in full on December 5, 2021 (the “Termination Date”); and (2) should the Commitment (as such term is defined in the Credit Agreement) be terminated at any time prior to the Termination Date for any reason, any and all accrued interest shall be paid on the date of such termination. The principal balance of this Note shall be due and payable, subject to Section 6.01 of the Credit Agreement, on the Termination Date.</w:t>
      </w:r>
    </w:p>
    <w:p>
      <w:pPr>
        <w:spacing w:after="0" w:line="18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For purposes of this Note, the following terms shall have the following meanings:</w:t>
      </w:r>
    </w:p>
    <w:p>
      <w:pPr>
        <w:spacing w:after="0" w:line="225" w:lineRule="exact"/>
        <w:rPr>
          <w:sz w:val="20"/>
          <w:szCs w:val="20"/>
          <w:color w:val="auto"/>
        </w:rPr>
      </w:pPr>
    </w:p>
    <w:p>
      <w:pPr>
        <w:jc w:val="both"/>
        <w:ind w:left="1300" w:firstLine="648"/>
        <w:spacing w:after="0" w:line="266" w:lineRule="auto"/>
        <w:rPr>
          <w:sz w:val="20"/>
          <w:szCs w:val="20"/>
          <w:color w:val="auto"/>
        </w:rPr>
      </w:pPr>
      <w:r>
        <w:rPr>
          <w:rFonts w:ascii="Times New Roman" w:cs="Times New Roman" w:eastAsia="Times New Roman" w:hAnsi="Times New Roman"/>
          <w:sz w:val="18"/>
          <w:szCs w:val="18"/>
          <w:color w:val="auto"/>
        </w:rPr>
        <w:t>The “Adjusted Monthly Libor Index” applicable to any Interest Period means a rate per annum equal to the quotient obtained (rounded upward, if necessary, to the next higher 1/100th of 1%) by dividing (i) the applicable London Interbank Offered Rate for such Interest Period by (ii) 1.00 minus the Euro-Dollar Reserve Percentage.</w:t>
      </w:r>
    </w:p>
    <w:p>
      <w:pPr>
        <w:spacing w:after="0" w:line="176"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The “Applicable Margin” means 1.40%.</w:t>
      </w:r>
    </w:p>
    <w:p>
      <w:pPr>
        <w:spacing w:after="0" w:line="225"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18"/>
          <w:szCs w:val="18"/>
          <w:color w:val="auto"/>
        </w:rPr>
        <w:t>An “Interest Period” means a calendar month, provided that the last Interest Period under this Note shall end on the Termination</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Date.</w:t>
      </w:r>
    </w:p>
    <w:p>
      <w:pPr>
        <w:spacing w:after="0" w:line="207" w:lineRule="exact"/>
        <w:rPr>
          <w:sz w:val="20"/>
          <w:szCs w:val="20"/>
          <w:color w:val="auto"/>
        </w:rPr>
      </w:pPr>
    </w:p>
    <w:p>
      <w:pPr>
        <w:jc w:val="both"/>
        <w:ind w:left="1300" w:firstLine="648"/>
        <w:spacing w:after="0" w:line="261" w:lineRule="auto"/>
        <w:rPr>
          <w:sz w:val="20"/>
          <w:szCs w:val="20"/>
          <w:color w:val="auto"/>
        </w:rPr>
      </w:pPr>
      <w:r>
        <w:rPr>
          <w:rFonts w:ascii="Times New Roman" w:cs="Times New Roman" w:eastAsia="Times New Roman" w:hAnsi="Times New Roman"/>
          <w:sz w:val="18"/>
          <w:szCs w:val="18"/>
          <w:color w:val="auto"/>
        </w:rPr>
        <w:t>During each Interest Period, this Note shall bear interest on the outstanding principal amount hereof, for the Interest Period applicable thereto, at a rate per annum equal to the sum of: (1) the Applicable Margin, plus (2) the applicable Adjusted Monthly Libor Index for such Interest Period. Any overdue principal of and, to the extent permitted by applicable law, overdue interest on this Note shall bear interest, payable on demand, for each day until paid in full at a rate per annum equal to the Default Rate.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type w:val="continuous"/>
        </w:sectPr>
      </w:pPr>
    </w:p>
    <w:bookmarkStart w:id="82" w:name="page83"/>
    <w:bookmarkEnd w:id="82"/>
    <w:p>
      <w:pPr>
        <w:jc w:val="both"/>
        <w:ind w:left="1300" w:firstLine="648"/>
        <w:spacing w:after="0" w:line="282" w:lineRule="auto"/>
        <w:rPr>
          <w:sz w:val="20"/>
          <w:szCs w:val="20"/>
          <w:color w:val="auto"/>
        </w:rPr>
      </w:pPr>
      <w:r>
        <w:rPr>
          <w:rFonts w:ascii="Times New Roman" w:cs="Times New Roman" w:eastAsia="Times New Roman" w:hAnsi="Times New Roman"/>
          <w:sz w:val="18"/>
          <w:szCs w:val="18"/>
          <w:color w:val="auto"/>
        </w:rPr>
        <w:t>The “Default Rate” means, on any day, the sum of 2% plus the then highest interest rate (including the Applicable Margin) which may be applicable to this Note (irrespective of whether any balance is actually outstanding under this Note).</w:t>
      </w:r>
    </w:p>
    <w:p>
      <w:pPr>
        <w:spacing w:after="0" w:line="162" w:lineRule="exact"/>
        <w:rPr>
          <w:sz w:val="20"/>
          <w:szCs w:val="20"/>
          <w:color w:val="auto"/>
        </w:rPr>
      </w:pPr>
    </w:p>
    <w:p>
      <w:pPr>
        <w:jc w:val="both"/>
        <w:ind w:left="1300" w:firstLine="648"/>
        <w:spacing w:after="0" w:line="254" w:lineRule="auto"/>
        <w:rPr>
          <w:sz w:val="20"/>
          <w:szCs w:val="20"/>
          <w:color w:val="auto"/>
        </w:rPr>
      </w:pPr>
      <w:r>
        <w:rPr>
          <w:rFonts w:ascii="Times New Roman" w:cs="Times New Roman" w:eastAsia="Times New Roman" w:hAnsi="Times New Roman"/>
          <w:sz w:val="18"/>
          <w:szCs w:val="18"/>
          <w:color w:val="auto"/>
        </w:rPr>
        <w:t xml:space="preserve">The “London Interbank Offered Rate” means for each Interest Period the average rate quoted by Bloomberg Finance L.P., or any quoting service or commonly available source utilized by the Bank, on the determination date for deposits in U. S. Dollars offered in the London interbank market for a term comparable to such Interest Period determined at approximately 11:00 am London time two (2) Euro-Dollar Business Days prior to the commencement of the applicable Interest Period; provided that if the above method for determining the London Interbank Offered Rate shall not be available, the rate quoted in </w:t>
      </w:r>
      <w:r>
        <w:rPr>
          <w:rFonts w:ascii="Times New Roman" w:cs="Times New Roman" w:eastAsia="Times New Roman" w:hAnsi="Times New Roman"/>
          <w:sz w:val="18"/>
          <w:szCs w:val="18"/>
          <w:i w:val="1"/>
          <w:iCs w:val="1"/>
          <w:color w:val="auto"/>
        </w:rPr>
        <w:t>The Wall Street Journal</w:t>
      </w:r>
      <w:r>
        <w:rPr>
          <w:rFonts w:ascii="Times New Roman" w:cs="Times New Roman" w:eastAsia="Times New Roman" w:hAnsi="Times New Roman"/>
          <w:sz w:val="18"/>
          <w:szCs w:val="18"/>
          <w:color w:val="auto"/>
        </w:rPr>
        <w:t>, or a rate determined by a substitute method of determination agreed on by the Borrower and the Bank; provided, if such agreement is not reached within a reasonable period of time (in the Bank’s sole judgment), a rate reasonably determined by the Bank in its sole discretion as a rate being paid, as of the determination date, by first class banking organizations (as determined by the Bank) in the London interbank market for U. S. Dollar deposits; and provided further that if the London Interbank Offered Rate determined as provided above would be less than zero percent (0%), then the London Interbank Offered Rate shall be deemed to be zero percent (0%).</w:t>
      </w:r>
    </w:p>
    <w:p>
      <w:pPr>
        <w:spacing w:after="0" w:line="186" w:lineRule="exact"/>
        <w:rPr>
          <w:sz w:val="20"/>
          <w:szCs w:val="20"/>
          <w:color w:val="auto"/>
        </w:rPr>
      </w:pPr>
    </w:p>
    <w:p>
      <w:pPr>
        <w:jc w:val="both"/>
        <w:ind w:left="1300" w:firstLine="648"/>
        <w:spacing w:after="0" w:line="256" w:lineRule="auto"/>
        <w:rPr>
          <w:sz w:val="20"/>
          <w:szCs w:val="20"/>
          <w:color w:val="auto"/>
        </w:rPr>
      </w:pPr>
      <w:r>
        <w:rPr>
          <w:rFonts w:ascii="Times New Roman" w:cs="Times New Roman" w:eastAsia="Times New Roman" w:hAnsi="Times New Roman"/>
          <w:sz w:val="18"/>
          <w:szCs w:val="18"/>
          <w:color w:val="auto"/>
        </w:rPr>
        <w:t>“Euro-Dollar Reserve Percentage” means for any day that percentage (expressed as a decimal) which is in effect on such day, as prescribed by the Board of Governors of the Federal Reserve System (or any successor) for determining the maximum reserve requirement for a member bank of the Federal Reserve System in respect of “Eurocurrency liabilities” (or in respect of any other category of liabilities which includes deposits by reference to which the interest rate on this Note is determined or any category of extensions of credit or other assets which includes loans by a non-United States office of the Bank to United States residents). The Adjusted Monthly Libor Index shall be adjusted automatically on and as of the effective date of any change in the Euro-Dollar Reserve Percentage.</w:t>
      </w:r>
    </w:p>
    <w:p>
      <w:pPr>
        <w:spacing w:after="0" w:line="188" w:lineRule="exact"/>
        <w:rPr>
          <w:sz w:val="20"/>
          <w:szCs w:val="20"/>
          <w:color w:val="auto"/>
        </w:rPr>
      </w:pPr>
    </w:p>
    <w:p>
      <w:pPr>
        <w:jc w:val="both"/>
        <w:ind w:firstLine="1297"/>
        <w:spacing w:after="0" w:line="266" w:lineRule="auto"/>
        <w:rPr>
          <w:sz w:val="20"/>
          <w:szCs w:val="20"/>
          <w:color w:val="auto"/>
        </w:rPr>
      </w:pPr>
      <w:r>
        <w:rPr>
          <w:rFonts w:ascii="Times New Roman" w:cs="Times New Roman" w:eastAsia="Times New Roman" w:hAnsi="Times New Roman"/>
          <w:sz w:val="18"/>
          <w:szCs w:val="18"/>
          <w:color w:val="auto"/>
        </w:rPr>
        <w:t>If any of the events described in Article VIII of the Credit Agreement shall occur, the interest rate charged on this Note shall be adjusted as set forth in Article VIII of the Credit Agreement, and the Borrower shall pay interest and all compensation, fees and expenses set forth in Article VIII of the Credit Agreement as set forth in Article VIII of the Credit Agreement.</w:t>
      </w:r>
    </w:p>
    <w:p>
      <w:pPr>
        <w:spacing w:after="0" w:line="176" w:lineRule="exact"/>
        <w:rPr>
          <w:sz w:val="20"/>
          <w:szCs w:val="20"/>
          <w:color w:val="auto"/>
        </w:rPr>
      </w:pPr>
    </w:p>
    <w:p>
      <w:pPr>
        <w:jc w:val="both"/>
        <w:ind w:firstLine="1297"/>
        <w:spacing w:after="0" w:line="256" w:lineRule="auto"/>
        <w:rPr>
          <w:sz w:val="20"/>
          <w:szCs w:val="20"/>
          <w:color w:val="auto"/>
        </w:rPr>
      </w:pPr>
      <w:r>
        <w:rPr>
          <w:rFonts w:ascii="Times New Roman" w:cs="Times New Roman" w:eastAsia="Times New Roman" w:hAnsi="Times New Roman"/>
          <w:sz w:val="18"/>
          <w:szCs w:val="18"/>
          <w:color w:val="auto"/>
        </w:rPr>
        <w:t>This Note is the Note referred to in the Fifth Amended and Restated Credit Agreement dated as of December 5, 2015 among the Borrower, Bassett Furniture Industries of North Carolina, LLC, Bassett Direct Stores, LLC, Bassett Direct NC, LLC and Bassett Direct SC, LLC, and Branch Banking and Trust Company, as amended by First Amendment to Fifth Amended and Restated Credit Agreement dated of even date herewith (as so amended and as the same may be amended or modified from time to time, the “Credit Agreement”). Capitalized terms used in this Note that are not otherwise defined herein shall have the meanings assigned thereto in the Credit Agreement. Reference is made to the Credit Agreement for provisions for the prepayment and the repayment hereof and the acceleration of the maturity hereof.</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83" w:name="page84"/>
    <w:bookmarkEnd w:id="83"/>
    <w:p>
      <w:pPr>
        <w:ind w:firstLine="1297"/>
        <w:spacing w:after="0" w:line="282" w:lineRule="auto"/>
        <w:rPr>
          <w:sz w:val="20"/>
          <w:szCs w:val="20"/>
          <w:color w:val="auto"/>
        </w:rPr>
      </w:pPr>
      <w:r>
        <w:rPr>
          <w:rFonts w:ascii="Times New Roman" w:cs="Times New Roman" w:eastAsia="Times New Roman" w:hAnsi="Times New Roman"/>
          <w:sz w:val="18"/>
          <w:szCs w:val="18"/>
          <w:color w:val="auto"/>
        </w:rPr>
        <w:t>The Borrower hereby waives presentment, demand, protest, notice of demand, protest and nonpayment and any other notice required by law relative hereto, except to the extent as otherwise may be expressly provided for in the Credit Agreement.</w:t>
      </w:r>
    </w:p>
    <w:p>
      <w:pPr>
        <w:spacing w:after="0" w:line="162" w:lineRule="exact"/>
        <w:rPr>
          <w:sz w:val="20"/>
          <w:szCs w:val="20"/>
          <w:color w:val="auto"/>
        </w:rPr>
      </w:pPr>
    </w:p>
    <w:p>
      <w:pPr>
        <w:ind w:firstLine="1297"/>
        <w:spacing w:after="0" w:line="282" w:lineRule="auto"/>
        <w:rPr>
          <w:sz w:val="20"/>
          <w:szCs w:val="20"/>
          <w:color w:val="auto"/>
        </w:rPr>
      </w:pPr>
      <w:r>
        <w:rPr>
          <w:rFonts w:ascii="Times New Roman" w:cs="Times New Roman" w:eastAsia="Times New Roman" w:hAnsi="Times New Roman"/>
          <w:sz w:val="18"/>
          <w:szCs w:val="18"/>
          <w:color w:val="auto"/>
        </w:rPr>
        <w:t>The Borrower agrees, in the event that this Note or any portion hereof is collected by law or through an attorney at law, to pay all reasonable costs of collection, including, without limitation, reasonable attorneys’ fees and expenses.</w:t>
      </w:r>
    </w:p>
    <w:p>
      <w:pPr>
        <w:spacing w:after="0" w:line="162" w:lineRule="exact"/>
        <w:rPr>
          <w:sz w:val="20"/>
          <w:szCs w:val="20"/>
          <w:color w:val="auto"/>
        </w:rPr>
      </w:pPr>
    </w:p>
    <w:p>
      <w:pPr>
        <w:ind w:firstLine="1297"/>
        <w:spacing w:after="0" w:line="282" w:lineRule="auto"/>
        <w:rPr>
          <w:sz w:val="20"/>
          <w:szCs w:val="20"/>
          <w:color w:val="auto"/>
        </w:rPr>
      </w:pPr>
      <w:r>
        <w:rPr>
          <w:rFonts w:ascii="Times New Roman" w:cs="Times New Roman" w:eastAsia="Times New Roman" w:hAnsi="Times New Roman"/>
          <w:sz w:val="18"/>
          <w:szCs w:val="18"/>
          <w:color w:val="auto"/>
        </w:rPr>
        <w:t>IN WITNESS WHEREOF, the Borrower has caused this Fifth Amended and Restated Revolving Credit Note to be duly executed under seal, by its duly authorized officer as of the day and year first above written.</w:t>
      </w:r>
    </w:p>
    <w:p>
      <w:pPr>
        <w:spacing w:after="0" w:line="162"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BASSETT FURNITURE INDUSTRIES,</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INCORPORATED</w:t>
      </w:r>
    </w:p>
    <w:p>
      <w:pPr>
        <w:spacing w:after="0" w:line="200" w:lineRule="exact"/>
        <w:rPr>
          <w:sz w:val="20"/>
          <w:szCs w:val="20"/>
          <w:color w:val="auto"/>
        </w:rPr>
      </w:pPr>
    </w:p>
    <w:p>
      <w:pPr>
        <w:spacing w:after="0" w:line="210" w:lineRule="exact"/>
        <w:rPr>
          <w:sz w:val="20"/>
          <w:szCs w:val="20"/>
          <w:color w:val="auto"/>
        </w:rPr>
      </w:pPr>
    </w:p>
    <w:tbl>
      <w:tblPr>
        <w:tblLayout w:type="fixed"/>
        <w:tblInd w:w="5720" w:type="dxa"/>
        <w:tblCellMar>
          <w:top w:w="0" w:type="dxa"/>
          <w:left w:w="0" w:type="dxa"/>
          <w:bottom w:w="0" w:type="dxa"/>
          <w:right w:w="0" w:type="dxa"/>
        </w:tblCellMar>
      </w:tblPr>
      <w:tr>
        <w:trPr>
          <w:trHeight w:val="207"/>
        </w:trPr>
        <w:tc>
          <w:tcPr>
            <w:tcW w:w="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w:t>
            </w:r>
          </w:p>
        </w:tc>
        <w:tc>
          <w:tcPr>
            <w:tcW w:w="24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 J. Michael Daniel</w:t>
            </w:r>
          </w:p>
        </w:tc>
        <w:tc>
          <w:tcPr>
            <w:tcW w:w="1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260" w:type="dxa"/>
            <w:vAlign w:val="bottom"/>
            <w:tcBorders>
              <w:right w:val="single" w:sz="8" w:color="auto"/>
            </w:tcBorders>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r>
      <w:tr>
        <w:trPr>
          <w:trHeight w:val="218"/>
        </w:trPr>
        <w:tc>
          <w:tcPr>
            <w:tcW w:w="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w:t>
            </w:r>
          </w:p>
        </w:tc>
        <w:tc>
          <w:tcPr>
            <w:tcW w:w="24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J. Michael Daniel</w:t>
            </w: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34"/>
        </w:trPr>
        <w:tc>
          <w:tcPr>
            <w:tcW w:w="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w:t>
            </w:r>
          </w:p>
        </w:tc>
        <w:tc>
          <w:tcPr>
            <w:tcW w:w="354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w w:val="98"/>
              </w:rPr>
              <w:t>Senior Vice President, Chief Financial Officer</w:t>
            </w:r>
          </w:p>
        </w:tc>
      </w:tr>
      <w:tr>
        <w:trPr>
          <w:trHeight w:val="608"/>
        </w:trPr>
        <w:tc>
          <w:tcPr>
            <w:tcW w:w="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w:t>
            </w:r>
          </w:p>
        </w:tc>
        <w:tc>
          <w:tcPr>
            <w:tcW w:w="24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 Jay R. Hervey</w:t>
            </w:r>
          </w:p>
        </w:tc>
        <w:tc>
          <w:tcPr>
            <w:tcW w:w="8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Times New Roman" w:cs="Times New Roman" w:eastAsia="Times New Roman" w:hAnsi="Times New Roman"/>
                <w:sz w:val="18"/>
                <w:szCs w:val="18"/>
                <w:color w:val="auto"/>
              </w:rPr>
              <w:t>(SEAL)</w:t>
            </w:r>
          </w:p>
        </w:tc>
      </w:tr>
      <w:tr>
        <w:trPr>
          <w:trHeight w:val="20"/>
        </w:trPr>
        <w:tc>
          <w:tcPr>
            <w:tcW w:w="2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r>
      <w:tr>
        <w:trPr>
          <w:trHeight w:val="218"/>
        </w:trPr>
        <w:tc>
          <w:tcPr>
            <w:tcW w:w="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w:t>
            </w:r>
          </w:p>
        </w:tc>
        <w:tc>
          <w:tcPr>
            <w:tcW w:w="24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Jay R. Hervey</w:t>
            </w: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34"/>
        </w:trPr>
        <w:tc>
          <w:tcPr>
            <w:tcW w:w="6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w:t>
            </w:r>
          </w:p>
        </w:tc>
        <w:tc>
          <w:tcPr>
            <w:tcW w:w="354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w w:val="98"/>
              </w:rPr>
              <w:t>Vice President, General Counsel and Secretary</w:t>
            </w: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84" w:name="page85"/>
    <w:bookmarkEnd w:id="84"/>
    <w:tbl>
      <w:tblPr>
        <w:tblLayout w:type="fixed"/>
        <w:tblInd w:w="0" w:type="dxa"/>
        <w:tblCellMar>
          <w:top w:w="0" w:type="dxa"/>
          <w:left w:w="0" w:type="dxa"/>
          <w:bottom w:w="0" w:type="dxa"/>
          <w:right w:w="0" w:type="dxa"/>
        </w:tblCellMar>
      </w:tblPr>
      <w:tr>
        <w:trPr>
          <w:trHeight w:val="234"/>
        </w:trPr>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700" w:type="dxa"/>
            <w:vAlign w:val="bottom"/>
            <w:gridSpan w:val="4"/>
          </w:tcPr>
          <w:p>
            <w:pPr>
              <w:jc w:val="center"/>
              <w:ind w:right="1240"/>
              <w:spacing w:after="0"/>
              <w:rPr>
                <w:sz w:val="20"/>
                <w:szCs w:val="20"/>
                <w:color w:val="auto"/>
              </w:rPr>
            </w:pPr>
            <w:r>
              <w:rPr>
                <w:rFonts w:ascii="Times New Roman" w:cs="Times New Roman" w:eastAsia="Times New Roman" w:hAnsi="Times New Roman"/>
                <w:sz w:val="18"/>
                <w:szCs w:val="18"/>
                <w:color w:val="auto"/>
              </w:rPr>
              <w:t>First Replacement Note (cont’d)</w:t>
            </w:r>
          </w:p>
        </w:tc>
        <w:tc>
          <w:tcPr>
            <w:tcW w:w="6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920" w:type="dxa"/>
            <w:vAlign w:val="bottom"/>
          </w:tcPr>
          <w:p>
            <w:pPr>
              <w:spacing w:after="0"/>
              <w:rPr>
                <w:sz w:val="20"/>
                <w:szCs w:val="20"/>
                <w:color w:val="auto"/>
              </w:rPr>
            </w:pPr>
          </w:p>
        </w:tc>
      </w:tr>
      <w:tr>
        <w:trPr>
          <w:trHeight w:val="432"/>
        </w:trPr>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820" w:type="dxa"/>
            <w:vAlign w:val="bottom"/>
            <w:gridSpan w:val="6"/>
          </w:tcPr>
          <w:p>
            <w:pPr>
              <w:jc w:val="center"/>
              <w:ind w:right="100"/>
              <w:spacing w:after="0"/>
              <w:rPr>
                <w:sz w:val="20"/>
                <w:szCs w:val="20"/>
                <w:color w:val="auto"/>
              </w:rPr>
            </w:pPr>
            <w:r>
              <w:rPr>
                <w:rFonts w:ascii="Times New Roman" w:cs="Times New Roman" w:eastAsia="Times New Roman" w:hAnsi="Times New Roman"/>
                <w:sz w:val="18"/>
                <w:szCs w:val="18"/>
                <w:color w:val="auto"/>
                <w:w w:val="97"/>
              </w:rPr>
              <w:t>ADVANCES AND PAYMENTS OF PRINCIPAL</w:t>
            </w:r>
          </w:p>
        </w:tc>
        <w:tc>
          <w:tcPr>
            <w:tcW w:w="6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414"/>
        </w:trPr>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740" w:type="dxa"/>
            <w:vAlign w:val="bottom"/>
            <w:gridSpan w:val="3"/>
          </w:tcPr>
          <w:p>
            <w:pPr>
              <w:jc w:val="center"/>
              <w:ind w:left="50"/>
              <w:spacing w:after="0"/>
              <w:rPr>
                <w:sz w:val="20"/>
                <w:szCs w:val="20"/>
                <w:color w:val="auto"/>
              </w:rPr>
            </w:pPr>
            <w:r>
              <w:rPr>
                <w:rFonts w:ascii="Times New Roman" w:cs="Times New Roman" w:eastAsia="Times New Roman" w:hAnsi="Times New Roman"/>
                <w:sz w:val="18"/>
                <w:szCs w:val="18"/>
                <w:color w:val="auto"/>
              </w:rPr>
              <w:t>Amount</w:t>
            </w:r>
          </w:p>
        </w:tc>
        <w:tc>
          <w:tcPr>
            <w:tcW w:w="3080" w:type="dxa"/>
            <w:vAlign w:val="bottom"/>
            <w:gridSpan w:val="3"/>
          </w:tcPr>
          <w:p>
            <w:pPr>
              <w:jc w:val="center"/>
              <w:ind w:right="1260"/>
              <w:spacing w:after="0"/>
              <w:rPr>
                <w:sz w:val="20"/>
                <w:szCs w:val="20"/>
                <w:color w:val="auto"/>
              </w:rPr>
            </w:pPr>
            <w:r>
              <w:rPr>
                <w:rFonts w:ascii="Times New Roman" w:cs="Times New Roman" w:eastAsia="Times New Roman" w:hAnsi="Times New Roman"/>
                <w:sz w:val="18"/>
                <w:szCs w:val="18"/>
                <w:color w:val="auto"/>
                <w:w w:val="99"/>
              </w:rPr>
              <w:t>Amount of</w:t>
            </w:r>
          </w:p>
        </w:tc>
        <w:tc>
          <w:tcPr>
            <w:tcW w:w="6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216"/>
        </w:trPr>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40" w:type="dxa"/>
            <w:vAlign w:val="bottom"/>
            <w:gridSpan w:val="3"/>
          </w:tcPr>
          <w:p>
            <w:pPr>
              <w:jc w:val="center"/>
              <w:ind w:left="330"/>
              <w:spacing w:after="0"/>
              <w:rPr>
                <w:sz w:val="20"/>
                <w:szCs w:val="20"/>
                <w:color w:val="auto"/>
              </w:rPr>
            </w:pPr>
            <w:r>
              <w:rPr>
                <w:rFonts w:ascii="Times New Roman" w:cs="Times New Roman" w:eastAsia="Times New Roman" w:hAnsi="Times New Roman"/>
                <w:sz w:val="18"/>
                <w:szCs w:val="18"/>
                <w:color w:val="auto"/>
                <w:w w:val="99"/>
              </w:rPr>
              <w:t>Interest</w:t>
            </w:r>
          </w:p>
        </w:tc>
        <w:tc>
          <w:tcPr>
            <w:tcW w:w="760" w:type="dxa"/>
            <w:vAlign w:val="bottom"/>
          </w:tcPr>
          <w:p>
            <w:pPr>
              <w:spacing w:after="0"/>
              <w:rPr>
                <w:sz w:val="18"/>
                <w:szCs w:val="18"/>
                <w:color w:val="auto"/>
              </w:rPr>
            </w:pPr>
          </w:p>
        </w:tc>
        <w:tc>
          <w:tcPr>
            <w:tcW w:w="980" w:type="dxa"/>
            <w:vAlign w:val="bottom"/>
            <w:gridSpan w:val="2"/>
          </w:tcPr>
          <w:p>
            <w:pPr>
              <w:jc w:val="center"/>
              <w:ind w:right="530"/>
              <w:spacing w:after="0"/>
              <w:rPr>
                <w:sz w:val="20"/>
                <w:szCs w:val="20"/>
                <w:color w:val="auto"/>
              </w:rPr>
            </w:pPr>
            <w:r>
              <w:rPr>
                <w:rFonts w:ascii="Times New Roman" w:cs="Times New Roman" w:eastAsia="Times New Roman" w:hAnsi="Times New Roman"/>
                <w:sz w:val="18"/>
                <w:szCs w:val="18"/>
                <w:color w:val="auto"/>
              </w:rPr>
              <w:t>of</w:t>
            </w:r>
          </w:p>
        </w:tc>
        <w:tc>
          <w:tcPr>
            <w:tcW w:w="3080" w:type="dxa"/>
            <w:vAlign w:val="bottom"/>
            <w:gridSpan w:val="3"/>
          </w:tcPr>
          <w:p>
            <w:pPr>
              <w:jc w:val="center"/>
              <w:ind w:right="1280"/>
              <w:spacing w:after="0"/>
              <w:rPr>
                <w:sz w:val="20"/>
                <w:szCs w:val="20"/>
                <w:color w:val="auto"/>
              </w:rPr>
            </w:pPr>
            <w:r>
              <w:rPr>
                <w:rFonts w:ascii="Times New Roman" w:cs="Times New Roman" w:eastAsia="Times New Roman" w:hAnsi="Times New Roman"/>
                <w:sz w:val="18"/>
                <w:szCs w:val="18"/>
                <w:color w:val="auto"/>
                <w:w w:val="98"/>
              </w:rPr>
              <w:t>Principal</w:t>
            </w:r>
          </w:p>
        </w:tc>
        <w:tc>
          <w:tcPr>
            <w:tcW w:w="3240" w:type="dxa"/>
            <w:vAlign w:val="bottom"/>
            <w:gridSpan w:val="3"/>
          </w:tcPr>
          <w:p>
            <w:pPr>
              <w:ind w:left="640"/>
              <w:spacing w:after="0"/>
              <w:rPr>
                <w:sz w:val="20"/>
                <w:szCs w:val="20"/>
                <w:color w:val="auto"/>
              </w:rPr>
            </w:pPr>
            <w:r>
              <w:rPr>
                <w:rFonts w:ascii="Times New Roman" w:cs="Times New Roman" w:eastAsia="Times New Roman" w:hAnsi="Times New Roman"/>
                <w:sz w:val="18"/>
                <w:szCs w:val="18"/>
                <w:color w:val="auto"/>
              </w:rPr>
              <w:t>Notation</w:t>
            </w:r>
          </w:p>
        </w:tc>
      </w:tr>
      <w:tr>
        <w:trPr>
          <w:trHeight w:val="194"/>
        </w:trPr>
        <w:tc>
          <w:tcPr>
            <w:tcW w:w="1320" w:type="dxa"/>
            <w:vAlign w:val="bottom"/>
            <w:gridSpan w:val="2"/>
          </w:tcPr>
          <w:p>
            <w:pPr>
              <w:spacing w:after="0" w:line="194" w:lineRule="exact"/>
              <w:rPr>
                <w:sz w:val="20"/>
                <w:szCs w:val="20"/>
                <w:color w:val="auto"/>
              </w:rPr>
            </w:pPr>
            <w:r>
              <w:rPr>
                <w:rFonts w:ascii="Times New Roman" w:cs="Times New Roman" w:eastAsia="Times New Roman" w:hAnsi="Times New Roman"/>
                <w:sz w:val="18"/>
                <w:szCs w:val="18"/>
                <w:color w:val="auto"/>
              </w:rPr>
              <w:t>Date</w:t>
            </w:r>
          </w:p>
        </w:tc>
        <w:tc>
          <w:tcPr>
            <w:tcW w:w="2040" w:type="dxa"/>
            <w:vAlign w:val="bottom"/>
            <w:gridSpan w:val="3"/>
          </w:tcPr>
          <w:p>
            <w:pPr>
              <w:jc w:val="center"/>
              <w:ind w:left="310"/>
              <w:spacing w:after="0" w:line="194" w:lineRule="exact"/>
              <w:rPr>
                <w:sz w:val="20"/>
                <w:szCs w:val="20"/>
                <w:color w:val="auto"/>
              </w:rPr>
            </w:pPr>
            <w:r>
              <w:rPr>
                <w:rFonts w:ascii="Times New Roman" w:cs="Times New Roman" w:eastAsia="Times New Roman" w:hAnsi="Times New Roman"/>
                <w:sz w:val="18"/>
                <w:szCs w:val="18"/>
                <w:color w:val="auto"/>
                <w:w w:val="96"/>
              </w:rPr>
              <w:t>Rate</w:t>
            </w:r>
          </w:p>
        </w:tc>
        <w:tc>
          <w:tcPr>
            <w:tcW w:w="1740" w:type="dxa"/>
            <w:vAlign w:val="bottom"/>
            <w:gridSpan w:val="3"/>
          </w:tcPr>
          <w:p>
            <w:pPr>
              <w:jc w:val="center"/>
              <w:ind w:left="50"/>
              <w:spacing w:after="0" w:line="194" w:lineRule="exact"/>
              <w:rPr>
                <w:sz w:val="20"/>
                <w:szCs w:val="20"/>
                <w:color w:val="auto"/>
              </w:rPr>
            </w:pPr>
            <w:r>
              <w:rPr>
                <w:rFonts w:ascii="Times New Roman" w:cs="Times New Roman" w:eastAsia="Times New Roman" w:hAnsi="Times New Roman"/>
                <w:sz w:val="18"/>
                <w:szCs w:val="18"/>
                <w:color w:val="auto"/>
                <w:w w:val="97"/>
              </w:rPr>
              <w:t>Loan</w:t>
            </w:r>
          </w:p>
        </w:tc>
        <w:tc>
          <w:tcPr>
            <w:tcW w:w="3080" w:type="dxa"/>
            <w:vAlign w:val="bottom"/>
            <w:gridSpan w:val="3"/>
          </w:tcPr>
          <w:p>
            <w:pPr>
              <w:jc w:val="center"/>
              <w:ind w:right="1280"/>
              <w:spacing w:after="0" w:line="194" w:lineRule="exact"/>
              <w:rPr>
                <w:sz w:val="20"/>
                <w:szCs w:val="20"/>
                <w:color w:val="auto"/>
              </w:rPr>
            </w:pPr>
            <w:r>
              <w:rPr>
                <w:rFonts w:ascii="Times New Roman" w:cs="Times New Roman" w:eastAsia="Times New Roman" w:hAnsi="Times New Roman"/>
                <w:sz w:val="18"/>
                <w:szCs w:val="18"/>
                <w:color w:val="auto"/>
              </w:rPr>
              <w:t>Repaid</w:t>
            </w:r>
          </w:p>
        </w:tc>
        <w:tc>
          <w:tcPr>
            <w:tcW w:w="640" w:type="dxa"/>
            <w:vAlign w:val="bottom"/>
          </w:tcPr>
          <w:p>
            <w:pPr>
              <w:spacing w:after="0"/>
              <w:rPr>
                <w:sz w:val="16"/>
                <w:szCs w:val="16"/>
                <w:color w:val="auto"/>
              </w:rPr>
            </w:pPr>
          </w:p>
        </w:tc>
        <w:tc>
          <w:tcPr>
            <w:tcW w:w="2600" w:type="dxa"/>
            <w:vAlign w:val="bottom"/>
            <w:gridSpan w:val="2"/>
          </w:tcPr>
          <w:p>
            <w:pPr>
              <w:spacing w:after="0" w:line="194" w:lineRule="exact"/>
              <w:rPr>
                <w:sz w:val="20"/>
                <w:szCs w:val="20"/>
                <w:color w:val="auto"/>
              </w:rPr>
            </w:pPr>
            <w:r>
              <w:rPr>
                <w:rFonts w:ascii="Times New Roman" w:cs="Times New Roman" w:eastAsia="Times New Roman" w:hAnsi="Times New Roman"/>
                <w:sz w:val="18"/>
                <w:szCs w:val="18"/>
                <w:color w:val="auto"/>
              </w:rPr>
              <w:t>Made By</w:t>
            </w:r>
          </w:p>
        </w:tc>
      </w:tr>
      <w:tr>
        <w:trPr>
          <w:trHeight w:val="237"/>
        </w:trPr>
        <w:tc>
          <w:tcPr>
            <w:tcW w:w="340" w:type="dxa"/>
            <w:vAlign w:val="bottom"/>
            <w:tcBorders>
              <w:top w:val="single" w:sz="8" w:color="auto"/>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360" w:type="dxa"/>
            <w:vAlign w:val="bottom"/>
            <w:tcBorders>
              <w:top w:val="single" w:sz="8" w:color="auto"/>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360" w:type="dxa"/>
            <w:vAlign w:val="bottom"/>
            <w:tcBorders>
              <w:top w:val="single" w:sz="8" w:color="auto"/>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520" w:type="dxa"/>
            <w:vAlign w:val="bottom"/>
            <w:tcBorders>
              <w:top w:val="single" w:sz="8" w:color="auto"/>
              <w:bottom w:val="single" w:sz="8" w:color="auto"/>
            </w:tcBorders>
          </w:tcPr>
          <w:p>
            <w:pPr>
              <w:spacing w:after="0"/>
              <w:rPr>
                <w:sz w:val="20"/>
                <w:szCs w:val="20"/>
                <w:color w:val="auto"/>
              </w:rPr>
            </w:pPr>
          </w:p>
        </w:tc>
        <w:tc>
          <w:tcPr>
            <w:tcW w:w="19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spacing w:after="0"/>
              <w:rPr>
                <w:sz w:val="20"/>
                <w:szCs w:val="20"/>
                <w:color w:val="auto"/>
              </w:rPr>
            </w:pPr>
          </w:p>
        </w:tc>
        <w:tc>
          <w:tcPr>
            <w:tcW w:w="1920" w:type="dxa"/>
            <w:vAlign w:val="bottom"/>
            <w:tcBorders>
              <w:bottom w:val="single" w:sz="8" w:color="auto"/>
            </w:tcBorders>
          </w:tcPr>
          <w:p>
            <w:pPr>
              <w:spacing w:after="0"/>
              <w:rPr>
                <w:sz w:val="20"/>
                <w:szCs w:val="20"/>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r>
        <w:trPr>
          <w:trHeight w:val="426"/>
        </w:trPr>
        <w:tc>
          <w:tcPr>
            <w:tcW w:w="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r>
    </w:tbl>
    <w:p>
      <w:pPr>
        <w:spacing w:after="0" w:line="198" w:lineRule="exact"/>
        <w:rPr>
          <w:sz w:val="20"/>
          <w:szCs w:val="20"/>
          <w:color w:val="auto"/>
        </w:rPr>
      </w:pPr>
    </w:p>
    <w:p>
      <w:pPr>
        <w:ind w:left="5100"/>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420"/>
          </w:cols>
          <w:pgMar w:left="240" w:top="580" w:right="239" w:bottom="1440" w:gutter="0" w:footer="0" w:header="0"/>
        </w:sectPr>
      </w:pPr>
    </w:p>
    <w:bookmarkStart w:id="85" w:name="page86"/>
    <w:bookmarkEnd w:id="85"/>
    <w:p>
      <w:pPr>
        <w:ind w:left="4152"/>
        <w:spacing w:after="0"/>
        <w:rPr>
          <w:sz w:val="20"/>
          <w:szCs w:val="20"/>
          <w:color w:val="auto"/>
        </w:rPr>
      </w:pPr>
      <w:r>
        <w:rPr>
          <w:rFonts w:ascii="Times New Roman" w:cs="Times New Roman" w:eastAsia="Times New Roman" w:hAnsi="Times New Roman"/>
          <w:sz w:val="18"/>
          <w:szCs w:val="18"/>
          <w:u w:val="single" w:color="auto"/>
          <w:color w:val="auto"/>
        </w:rPr>
        <w:t>EXHIBIT 21 - LIST OF SUBSIDIARIES*</w:t>
      </w:r>
    </w:p>
    <w:p>
      <w:pPr>
        <w:spacing w:after="0" w:line="200" w:lineRule="exact"/>
        <w:rPr>
          <w:sz w:val="20"/>
          <w:szCs w:val="20"/>
          <w:color w:val="auto"/>
        </w:rPr>
      </w:pPr>
    </w:p>
    <w:p>
      <w:pPr>
        <w:spacing w:after="0" w:line="241" w:lineRule="exact"/>
        <w:rPr>
          <w:sz w:val="20"/>
          <w:szCs w:val="20"/>
          <w:color w:val="auto"/>
        </w:rPr>
      </w:pPr>
    </w:p>
    <w:p>
      <w:pPr>
        <w:ind w:left="492" w:hanging="492"/>
        <w:spacing w:after="0"/>
        <w:tabs>
          <w:tab w:leader="none" w:pos="492" w:val="left"/>
        </w:tabs>
        <w:numPr>
          <w:ilvl w:val="0"/>
          <w:numId w:val="3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Bassett Furniture Industries of North Carolina, LLC (North Carolina limited liability company)</w:t>
      </w:r>
    </w:p>
    <w:p>
      <w:pPr>
        <w:spacing w:after="0" w:line="236" w:lineRule="exact"/>
        <w:rPr>
          <w:rFonts w:ascii="Times New Roman" w:cs="Times New Roman" w:eastAsia="Times New Roman" w:hAnsi="Times New Roman"/>
          <w:sz w:val="17"/>
          <w:szCs w:val="17"/>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E.B. Malone Corporation (Delaware corporation)</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Bassett Direct Stores,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Bassett Direct NC,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Bassett Direct SC,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LRG Furniture,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BDP, LC (Texas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BFD-Atlanta,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BD Boston,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BDU NY, LLC (Virginia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Zenith Freight Lines, LLC (North Carolina limited liability company)</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Zenith, Inc. (North Carolina corporation)</w:t>
      </w:r>
    </w:p>
    <w:p>
      <w:pPr>
        <w:spacing w:after="0" w:line="225" w:lineRule="exact"/>
        <w:rPr>
          <w:rFonts w:ascii="Times New Roman" w:cs="Times New Roman" w:eastAsia="Times New Roman" w:hAnsi="Times New Roman"/>
          <w:sz w:val="18"/>
          <w:szCs w:val="18"/>
          <w:color w:val="auto"/>
        </w:rPr>
      </w:pPr>
    </w:p>
    <w:p>
      <w:pPr>
        <w:ind w:left="492" w:hanging="492"/>
        <w:spacing w:after="0"/>
        <w:tabs>
          <w:tab w:leader="none" w:pos="492"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Western States Distribution, LLC (California limited liability company)</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57" w:lineRule="exact"/>
        <w:rPr>
          <w:rFonts w:ascii="Times New Roman" w:cs="Times New Roman" w:eastAsia="Times New Roman" w:hAnsi="Times New Roman"/>
          <w:sz w:val="18"/>
          <w:szCs w:val="18"/>
          <w:color w:val="auto"/>
        </w:rPr>
      </w:pPr>
    </w:p>
    <w:p>
      <w:pPr>
        <w:ind w:left="492"/>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subsidiaries are wholly-owned unless otherwise noted.</w:t>
      </w:r>
    </w:p>
    <w:p>
      <w:pPr>
        <w:sectPr>
          <w:pgSz w:w="11900" w:h="16838" w:orient="portrait"/>
          <w:cols w:equalWidth="0" w:num="1">
            <w:col w:w="10211"/>
          </w:cols>
          <w:pgMar w:left="248" w:top="337" w:right="1440" w:bottom="1440" w:gutter="0" w:footer="0" w:header="0"/>
        </w:sectPr>
      </w:pPr>
    </w:p>
    <w:bookmarkStart w:id="86" w:name="page87"/>
    <w:bookmarkEnd w:id="86"/>
    <w:p>
      <w:pPr>
        <w:jc w:val="right"/>
        <w:spacing w:after="0"/>
        <w:rPr>
          <w:sz w:val="20"/>
          <w:szCs w:val="20"/>
          <w:color w:val="auto"/>
        </w:rPr>
      </w:pPr>
      <w:r>
        <w:rPr>
          <w:rFonts w:ascii="Times New Roman" w:cs="Times New Roman" w:eastAsia="Times New Roman" w:hAnsi="Times New Roman"/>
          <w:sz w:val="18"/>
          <w:szCs w:val="18"/>
          <w:color w:val="auto"/>
        </w:rPr>
        <w:t>EXHIBIT 23A</w:t>
      </w:r>
    </w:p>
    <w:p>
      <w:pPr>
        <w:spacing w:after="0" w:line="200" w:lineRule="exact"/>
        <w:rPr>
          <w:sz w:val="20"/>
          <w:szCs w:val="20"/>
          <w:color w:val="auto"/>
        </w:rPr>
      </w:pPr>
    </w:p>
    <w:p>
      <w:pPr>
        <w:spacing w:after="0" w:line="23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consent to the incorporation by reference in the following Registration Statements:</w:t>
      </w:r>
    </w:p>
    <w:p>
      <w:pPr>
        <w:spacing w:after="0" w:line="225" w:lineRule="exact"/>
        <w:rPr>
          <w:sz w:val="20"/>
          <w:szCs w:val="20"/>
          <w:color w:val="auto"/>
        </w:rPr>
      </w:pPr>
    </w:p>
    <w:p>
      <w:pPr>
        <w:ind w:left="1000" w:hanging="668"/>
        <w:spacing w:after="0"/>
        <w:tabs>
          <w:tab w:leader="none" w:pos="10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(Form S-8 No. 333-175531) pertaining to the Bassett Furniture Industries, Incorporated 2010 Stock Incentive Plan, and</w:t>
      </w:r>
    </w:p>
    <w:p>
      <w:pPr>
        <w:spacing w:after="0" w:line="225" w:lineRule="exact"/>
        <w:rPr>
          <w:rFonts w:ascii="Times New Roman" w:cs="Times New Roman" w:eastAsia="Times New Roman" w:hAnsi="Times New Roman"/>
          <w:sz w:val="18"/>
          <w:szCs w:val="18"/>
          <w:color w:val="auto"/>
        </w:rPr>
      </w:pPr>
    </w:p>
    <w:p>
      <w:pPr>
        <w:ind w:left="1000" w:hanging="668"/>
        <w:spacing w:after="0"/>
        <w:tabs>
          <w:tab w:leader="none" w:pos="10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(Form S-8 No 333-217072) pertaining to the Bassett Furniture Industries, Incorporated 2017 Employee Stock Plan</w:t>
      </w:r>
    </w:p>
    <w:p>
      <w:pPr>
        <w:spacing w:after="0" w:line="225" w:lineRule="exact"/>
        <w:rPr>
          <w:sz w:val="20"/>
          <w:szCs w:val="20"/>
          <w:color w:val="auto"/>
        </w:rPr>
      </w:pPr>
    </w:p>
    <w:p>
      <w:pPr>
        <w:ind w:right="260"/>
        <w:spacing w:after="0" w:line="266" w:lineRule="auto"/>
        <w:rPr>
          <w:sz w:val="20"/>
          <w:szCs w:val="20"/>
          <w:color w:val="auto"/>
        </w:rPr>
      </w:pPr>
      <w:r>
        <w:rPr>
          <w:rFonts w:ascii="Times New Roman" w:cs="Times New Roman" w:eastAsia="Times New Roman" w:hAnsi="Times New Roman"/>
          <w:sz w:val="18"/>
          <w:szCs w:val="18"/>
          <w:color w:val="auto"/>
        </w:rPr>
        <w:t>of our reports dated January 17, 2019 with respect to the consolidated financial statements and schedule of Bassett Furniture Industries, Incorporated and Subsidiaries and the effectiveness of internal control over financial reporting of Bassett Furniture Industries, Incorporated and Subsidiaries included in this Annual Report (Form 10-K) of Bassett Furniture Industries, Incorporated and Subsidiaries for the year ended November 24, 2018.</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Richmond, Virginia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ectPr>
          <w:pgSz w:w="11900" w:h="16838" w:orient="portrait"/>
          <w:cols w:equalWidth="0" w:num="1">
            <w:col w:w="11420"/>
          </w:cols>
          <w:pgMar w:left="240" w:top="121" w:right="239" w:bottom="1440" w:gutter="0" w:footer="0" w:header="0"/>
        </w:sectPr>
      </w:pPr>
    </w:p>
    <w:bookmarkStart w:id="87" w:name="page88"/>
    <w:bookmarkEnd w:id="87"/>
    <w:p>
      <w:pPr>
        <w:jc w:val="right"/>
        <w:spacing w:after="0"/>
        <w:rPr>
          <w:sz w:val="20"/>
          <w:szCs w:val="20"/>
          <w:color w:val="auto"/>
        </w:rPr>
      </w:pPr>
      <w:r>
        <w:rPr>
          <w:rFonts w:ascii="Times New Roman" w:cs="Times New Roman" w:eastAsia="Times New Roman" w:hAnsi="Times New Roman"/>
          <w:sz w:val="18"/>
          <w:szCs w:val="18"/>
          <w:color w:val="auto"/>
        </w:rPr>
        <w:t>Exhibit 31A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Bassett Furniture Industries, Incorporated;</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 Robert H. Spilman, Jr.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ectPr>
          <w:pgSz w:w="11900" w:h="16838" w:orient="portrait"/>
          <w:cols w:equalWidth="0" w:num="1">
            <w:col w:w="11420"/>
          </w:cols>
          <w:pgMar w:left="240" w:top="121" w:right="239" w:bottom="1440" w:gutter="0" w:footer="0" w:header="0"/>
        </w:sectPr>
      </w:pPr>
    </w:p>
    <w:bookmarkStart w:id="88" w:name="page89"/>
    <w:bookmarkEnd w:id="88"/>
    <w:p>
      <w:pPr>
        <w:jc w:val="right"/>
        <w:spacing w:after="0"/>
        <w:rPr>
          <w:sz w:val="20"/>
          <w:szCs w:val="20"/>
          <w:color w:val="auto"/>
        </w:rPr>
      </w:pPr>
      <w:r>
        <w:rPr>
          <w:rFonts w:ascii="Times New Roman" w:cs="Times New Roman" w:eastAsia="Times New Roman" w:hAnsi="Times New Roman"/>
          <w:sz w:val="18"/>
          <w:szCs w:val="18"/>
          <w:color w:val="auto"/>
        </w:rPr>
        <w:t>Exhibit 31B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Bassett Furniture Industries, Incorporated;</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 J. Michael Daniel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ectPr>
          <w:pgSz w:w="11900" w:h="16838" w:orient="portrait"/>
          <w:cols w:equalWidth="0" w:num="1">
            <w:col w:w="11420"/>
          </w:cols>
          <w:pgMar w:left="240" w:top="121" w:right="239" w:bottom="1440" w:gutter="0" w:footer="0" w:header="0"/>
        </w:sectPr>
      </w:pPr>
    </w:p>
    <w:bookmarkStart w:id="89" w:name="page90"/>
    <w:bookmarkEnd w:id="89"/>
    <w:p>
      <w:pPr>
        <w:jc w:val="right"/>
        <w:spacing w:after="0"/>
        <w:rPr>
          <w:sz w:val="20"/>
          <w:szCs w:val="20"/>
          <w:color w:val="auto"/>
        </w:rPr>
      </w:pPr>
      <w:r>
        <w:rPr>
          <w:rFonts w:ascii="Times New Roman" w:cs="Times New Roman" w:eastAsia="Times New Roman" w:hAnsi="Times New Roman"/>
          <w:sz w:val="18"/>
          <w:szCs w:val="18"/>
          <w:color w:val="auto"/>
        </w:rPr>
        <w:t>Exhibit 32A</w:t>
      </w:r>
    </w:p>
    <w:p>
      <w:pPr>
        <w:spacing w:after="0" w:line="225"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680"/>
        <w:spacing w:after="0" w:line="266" w:lineRule="auto"/>
        <w:rPr>
          <w:sz w:val="20"/>
          <w:szCs w:val="20"/>
          <w:color w:val="auto"/>
        </w:rPr>
      </w:pPr>
      <w:r>
        <w:rPr>
          <w:rFonts w:ascii="Times New Roman" w:cs="Times New Roman" w:eastAsia="Times New Roman" w:hAnsi="Times New Roman"/>
          <w:sz w:val="18"/>
          <w:szCs w:val="18"/>
          <w:color w:val="auto"/>
        </w:rPr>
        <w:t>In connection with the Annual Report of Bassett Furniture Industries, Incorporated (the “Company”) on Form 10-K for the period ended November 24, 2018,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76" w:lineRule="exact"/>
        <w:rPr>
          <w:sz w:val="20"/>
          <w:szCs w:val="20"/>
          <w:color w:val="auto"/>
        </w:rPr>
      </w:pPr>
    </w:p>
    <w:p>
      <w:pPr>
        <w:ind w:left="340" w:hanging="332"/>
        <w:spacing w:after="0"/>
        <w:tabs>
          <w:tab w:leader="none" w:pos="3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Sections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 Robert H. Spilman, Jr.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right="1180"/>
        <w:spacing w:after="0" w:line="282" w:lineRule="auto"/>
        <w:rPr>
          <w:sz w:val="20"/>
          <w:szCs w:val="20"/>
          <w:color w:val="auto"/>
        </w:rPr>
      </w:pPr>
      <w:r>
        <w:rPr>
          <w:rFonts w:ascii="Times New Roman" w:cs="Times New Roman" w:eastAsia="Times New Roman" w:hAnsi="Times New Roman"/>
          <w:sz w:val="18"/>
          <w:szCs w:val="18"/>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420"/>
          </w:cols>
          <w:pgMar w:left="240" w:top="121" w:right="239" w:bottom="1440" w:gutter="0" w:footer="0" w:header="0"/>
        </w:sectPr>
      </w:pPr>
    </w:p>
    <w:bookmarkStart w:id="90" w:name="page91"/>
    <w:bookmarkEnd w:id="90"/>
    <w:p>
      <w:pPr>
        <w:jc w:val="right"/>
        <w:spacing w:after="0"/>
        <w:rPr>
          <w:sz w:val="20"/>
          <w:szCs w:val="20"/>
          <w:color w:val="auto"/>
        </w:rPr>
      </w:pPr>
      <w:r>
        <w:rPr>
          <w:rFonts w:ascii="Times New Roman" w:cs="Times New Roman" w:eastAsia="Times New Roman" w:hAnsi="Times New Roman"/>
          <w:sz w:val="18"/>
          <w:szCs w:val="18"/>
          <w:color w:val="auto"/>
        </w:rPr>
        <w:t>Exhibit 32B</w:t>
      </w:r>
    </w:p>
    <w:p>
      <w:pPr>
        <w:spacing w:after="0" w:line="225"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780"/>
        <w:spacing w:after="0" w:line="261" w:lineRule="auto"/>
        <w:rPr>
          <w:sz w:val="20"/>
          <w:szCs w:val="20"/>
          <w:color w:val="auto"/>
        </w:rPr>
      </w:pPr>
      <w:r>
        <w:rPr>
          <w:rFonts w:ascii="Times New Roman" w:cs="Times New Roman" w:eastAsia="Times New Roman" w:hAnsi="Times New Roman"/>
          <w:sz w:val="18"/>
          <w:szCs w:val="18"/>
          <w:color w:val="auto"/>
        </w:rPr>
        <w:t>In connection with the Annual Report of Bassett Furniture Industries, Incorporated (the “Company”) on Form 10-K for the period ended November 24, 2018, as filed with the Securities and Exchange Commission on the date hereof (the “Report”), I, J. Michael Daniel, Senior Vice President and Chief Financial Officer of the Company, certify, pursuant to 18 U.S.C. ss.1350, as adopted pursuant to ss.906 of the Sarbanes-Oxley Act of 2002, that:</w:t>
      </w:r>
    </w:p>
    <w:p>
      <w:pPr>
        <w:spacing w:after="0" w:line="180" w:lineRule="exact"/>
        <w:rPr>
          <w:sz w:val="20"/>
          <w:szCs w:val="20"/>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Sections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January 17, 2019</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 J. Michael Daniel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right="1180"/>
        <w:spacing w:after="0" w:line="282" w:lineRule="auto"/>
        <w:rPr>
          <w:sz w:val="20"/>
          <w:szCs w:val="20"/>
          <w:color w:val="auto"/>
        </w:rPr>
      </w:pPr>
      <w:r>
        <w:rPr>
          <w:rFonts w:ascii="Times New Roman" w:cs="Times New Roman" w:eastAsia="Times New Roman" w:hAnsi="Times New Roman"/>
          <w:sz w:val="18"/>
          <w:szCs w:val="18"/>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8C895D"/>
    <w:multiLevelType w:val="hybridMultilevel"/>
    <w:lvl w:ilvl="0">
      <w:lvlJc w:val="left"/>
      <w:lvlText w:val="☒"/>
      <w:numFmt w:val="bullet"/>
      <w:start w:val="1"/>
    </w:lvl>
  </w:abstractNum>
  <w:abstractNum w:abstractNumId="1">
    <w:nsid w:val="333AB105"/>
    <w:multiLevelType w:val="hybridMultilevel"/>
    <w:lvl w:ilvl="0">
      <w:lvlJc w:val="left"/>
      <w:lvlText w:val="☐"/>
      <w:numFmt w:val="bullet"/>
      <w:start w:val="1"/>
    </w:lvl>
  </w:abstractNum>
  <w:abstractNum w:abstractNumId="2">
    <w:nsid w:val="721DA317"/>
    <w:multiLevelType w:val="hybridMultilevel"/>
    <w:lvl w:ilvl="0">
      <w:lvlJc w:val="left"/>
      <w:lvlText w:val="●"/>
      <w:numFmt w:val="bullet"/>
      <w:start w:val="1"/>
    </w:lvl>
  </w:abstractNum>
  <w:abstractNum w:abstractNumId="3">
    <w:nsid w:val="2443A858"/>
    <w:multiLevelType w:val="hybridMultilevel"/>
    <w:lvl w:ilvl="0">
      <w:lvlJc w:val="left"/>
      <w:lvlText w:val="●"/>
      <w:numFmt w:val="bullet"/>
      <w:start w:val="1"/>
    </w:lvl>
  </w:abstractNum>
  <w:abstractNum w:abstractNumId="4">
    <w:nsid w:val="2D1D5AE9"/>
    <w:multiLevelType w:val="hybridMultilevel"/>
    <w:lvl w:ilvl="0">
      <w:lvlJc w:val="left"/>
      <w:lvlText w:val="(%1)"/>
      <w:numFmt w:val="decimal"/>
      <w:start w:val="1"/>
    </w:lvl>
  </w:abstractNum>
  <w:abstractNum w:abstractNumId="5">
    <w:nsid w:val="6763845E"/>
    <w:multiLevelType w:val="hybridMultilevel"/>
    <w:lvl w:ilvl="0">
      <w:lvlJc w:val="left"/>
      <w:lvlText w:val="(%1)"/>
      <w:numFmt w:val="decimal"/>
      <w:start w:val="1"/>
    </w:lvl>
  </w:abstractNum>
  <w:abstractNum w:abstractNumId="6">
    <w:nsid w:val="75A2A8D4"/>
    <w:multiLevelType w:val="hybridMultilevel"/>
    <w:lvl w:ilvl="0">
      <w:lvlJc w:val="left"/>
      <w:lvlText w:val="(%1)"/>
      <w:numFmt w:val="decimal"/>
      <w:start w:val="5"/>
    </w:lvl>
  </w:abstractNum>
  <w:abstractNum w:abstractNumId="7">
    <w:nsid w:val="8EDBDAB"/>
    <w:multiLevelType w:val="hybridMultilevel"/>
    <w:lvl w:ilvl="0">
      <w:lvlJc w:val="left"/>
      <w:lvlText w:val="(%1)"/>
      <w:numFmt w:val="decimal"/>
      <w:start w:val="1"/>
    </w:lvl>
  </w:abstractNum>
  <w:abstractNum w:abstractNumId="8">
    <w:nsid w:val="79838CB2"/>
    <w:multiLevelType w:val="hybridMultilevel"/>
    <w:lvl w:ilvl="0">
      <w:lvlJc w:val="left"/>
      <w:lvlText w:val="(%1)"/>
      <w:numFmt w:val="decimal"/>
      <w:start w:val="1"/>
    </w:lvl>
  </w:abstractNum>
  <w:abstractNum w:abstractNumId="9">
    <w:nsid w:val="4353D0CD"/>
    <w:multiLevelType w:val="hybridMultilevel"/>
    <w:lvl w:ilvl="0">
      <w:lvlJc w:val="left"/>
      <w:lvlText w:val="(%1)"/>
      <w:numFmt w:val="decimal"/>
      <w:start w:val="1"/>
    </w:lvl>
  </w:abstractNum>
  <w:abstractNum w:abstractNumId="10">
    <w:nsid w:val="B03E0C6"/>
    <w:multiLevelType w:val="hybridMultilevel"/>
    <w:lvl w:ilvl="0">
      <w:lvlJc w:val="left"/>
      <w:lvlText w:val="%1."/>
      <w:numFmt w:val="decimal"/>
      <w:start w:val="1"/>
    </w:lvl>
  </w:abstractNum>
  <w:abstractNum w:abstractNumId="11">
    <w:nsid w:val="189A769B"/>
    <w:multiLevelType w:val="hybridMultilevel"/>
    <w:lvl w:ilvl="0">
      <w:lvlJc w:val="left"/>
      <w:lvlText w:val="%1."/>
      <w:numFmt w:val="decimal"/>
      <w:start w:val="2"/>
    </w:lvl>
  </w:abstractNum>
  <w:abstractNum w:abstractNumId="12">
    <w:nsid w:val="54E49EB4"/>
    <w:multiLevelType w:val="hybridMultilevel"/>
    <w:lvl w:ilvl="0">
      <w:lvlJc w:val="left"/>
      <w:lvlText w:val="%1."/>
      <w:numFmt w:val="decimal"/>
      <w:start w:val="718"/>
    </w:lvl>
  </w:abstractNum>
  <w:abstractNum w:abstractNumId="13">
    <w:nsid w:val="71F32454"/>
    <w:multiLevelType w:val="hybridMultilevel"/>
    <w:lvl w:ilvl="0">
      <w:lvlJc w:val="left"/>
      <w:lvlText w:val="-"/>
      <w:numFmt w:val="bullet"/>
      <w:start w:val="1"/>
    </w:lvl>
  </w:abstractNum>
  <w:abstractNum w:abstractNumId="14">
    <w:nsid w:val="2CA88611"/>
    <w:multiLevelType w:val="hybridMultilevel"/>
    <w:lvl w:ilvl="0">
      <w:lvlJc w:val="left"/>
      <w:lvlText w:val="%1."/>
      <w:numFmt w:val="decimal"/>
      <w:start w:val="3"/>
    </w:lvl>
  </w:abstractNum>
  <w:abstractNum w:abstractNumId="15">
    <w:nsid w:val="836C40E"/>
    <w:multiLevelType w:val="hybridMultilevel"/>
    <w:lvl w:ilvl="0">
      <w:lvlJc w:val="left"/>
      <w:lvlText w:val="%1."/>
      <w:numFmt w:val="decimal"/>
      <w:start w:val="4"/>
    </w:lvl>
  </w:abstractNum>
  <w:abstractNum w:abstractNumId="16">
    <w:nsid w:val="2901D82"/>
    <w:multiLevelType w:val="hybridMultilevel"/>
    <w:lvl w:ilvl="0">
      <w:lvlJc w:val="left"/>
      <w:lvlText w:val="%1."/>
      <w:numFmt w:val="decimal"/>
      <w:start w:val="6"/>
    </w:lvl>
  </w:abstractNum>
  <w:abstractNum w:abstractNumId="17">
    <w:nsid w:val="3A95F874"/>
    <w:multiLevelType w:val="hybridMultilevel"/>
    <w:lvl w:ilvl="0">
      <w:lvlJc w:val="left"/>
      <w:lvlText w:val="(%1)"/>
      <w:numFmt w:val="decimal"/>
      <w:start w:val="1"/>
    </w:lvl>
  </w:abstractNum>
  <w:abstractNum w:abstractNumId="18">
    <w:nsid w:val="8138641"/>
    <w:multiLevelType w:val="hybridMultilevel"/>
    <w:lvl w:ilvl="0">
      <w:lvlJc w:val="left"/>
      <w:lvlText w:val="$"/>
      <w:numFmt w:val="bullet"/>
      <w:start w:val="1"/>
    </w:lvl>
  </w:abstractNum>
  <w:abstractNum w:abstractNumId="19">
    <w:nsid w:val="1E7FF521"/>
    <w:multiLevelType w:val="hybridMultilevel"/>
    <w:lvl w:ilvl="0">
      <w:lvlJc w:val="left"/>
      <w:lvlText w:val="$"/>
      <w:numFmt w:val="bullet"/>
      <w:start w:val="1"/>
    </w:lvl>
  </w:abstractNum>
  <w:abstractNum w:abstractNumId="20">
    <w:nsid w:val="7C3DBD3D"/>
    <w:multiLevelType w:val="hybridMultilevel"/>
    <w:lvl w:ilvl="0">
      <w:lvlJc w:val="left"/>
      <w:lvlText w:val="(%1)"/>
      <w:numFmt w:val="decimal"/>
      <w:start w:val="1"/>
    </w:lvl>
  </w:abstractNum>
  <w:abstractNum w:abstractNumId="21">
    <w:nsid w:val="737B8DDC"/>
    <w:multiLevelType w:val="hybridMultilevel"/>
    <w:lvl w:ilvl="0">
      <w:lvlJc w:val="left"/>
      <w:lvlText w:val="●"/>
      <w:numFmt w:val="bullet"/>
      <w:start w:val="1"/>
    </w:lvl>
  </w:abstractNum>
  <w:abstractNum w:abstractNumId="22">
    <w:nsid w:val="6CEAF087"/>
    <w:multiLevelType w:val="hybridMultilevel"/>
    <w:lvl w:ilvl="0">
      <w:lvlJc w:val="left"/>
      <w:lvlText w:val="(%1)"/>
      <w:numFmt w:val="decimal"/>
      <w:start w:val="1"/>
    </w:lvl>
  </w:abstractNum>
  <w:abstractNum w:abstractNumId="23">
    <w:nsid w:val="22221A70"/>
    <w:multiLevelType w:val="hybridMultilevel"/>
    <w:lvl w:ilvl="0">
      <w:lvlJc w:val="left"/>
      <w:lvlText w:val="(%1)"/>
      <w:numFmt w:val="lowerLetter"/>
      <w:start w:val="1"/>
    </w:lvl>
    <w:lvl w:ilvl="1">
      <w:lvlJc w:val="left"/>
      <w:lvlText w:val="(%2)"/>
      <w:numFmt w:val="decimal"/>
      <w:start w:val="2"/>
    </w:lvl>
  </w:abstractNum>
  <w:abstractNum w:abstractNumId="24">
    <w:nsid w:val="4516DDE9"/>
    <w:multiLevelType w:val="hybridMultilevel"/>
    <w:lvl w:ilvl="0">
      <w:lvlJc w:val="left"/>
      <w:lvlText w:val="%1."/>
      <w:numFmt w:val="decimal"/>
      <w:start w:val="21"/>
    </w:lvl>
  </w:abstractNum>
  <w:abstractNum w:abstractNumId="25">
    <w:nsid w:val="3006C83E"/>
    <w:multiLevelType w:val="hybridMultilevel"/>
    <w:lvl w:ilvl="0">
      <w:lvlJc w:val="left"/>
      <w:lvlText w:val="*"/>
      <w:numFmt w:val="bullet"/>
      <w:start w:val="1"/>
    </w:lvl>
  </w:abstractNum>
  <w:abstractNum w:abstractNumId="26">
    <w:nsid w:val="614FD4A1"/>
    <w:multiLevelType w:val="hybridMultilevel"/>
    <w:lvl w:ilvl="0">
      <w:lvlJc w:val="left"/>
      <w:lvlText w:val="(%1)"/>
      <w:numFmt w:val="decimal"/>
      <w:start w:val="1"/>
    </w:lvl>
  </w:abstractNum>
  <w:abstractNum w:abstractNumId="27">
    <w:nsid w:val="419AC241"/>
    <w:multiLevelType w:val="hybridMultilevel"/>
    <w:lvl w:ilvl="0">
      <w:lvlJc w:val="left"/>
      <w:lvlText w:val="%1."/>
      <w:numFmt w:val="decimal"/>
      <w:start w:val="1"/>
    </w:lvl>
  </w:abstractNum>
  <w:abstractNum w:abstractNumId="28">
    <w:nsid w:val="5577F8E1"/>
    <w:multiLevelType w:val="hybridMultilevel"/>
    <w:lvl w:ilvl="0">
      <w:lvlJc w:val="left"/>
      <w:lvlText w:val="%1."/>
      <w:numFmt w:val="decimal"/>
      <w:start w:val="3"/>
    </w:lvl>
  </w:abstractNum>
  <w:abstractNum w:abstractNumId="29">
    <w:nsid w:val="440BADFC"/>
    <w:multiLevelType w:val="hybridMultilevel"/>
    <w:lvl w:ilvl="0">
      <w:lvlJc w:val="left"/>
      <w:lvlText w:val="%1."/>
      <w:numFmt w:val="decimal"/>
      <w:start w:val="4"/>
    </w:lvl>
    <w:lvl w:ilvl="1">
      <w:lvlJc w:val="left"/>
      <w:lvlText w:val="(%2)"/>
      <w:numFmt w:val="lowerLetter"/>
      <w:start w:val="2"/>
    </w:lvl>
  </w:abstractNum>
  <w:abstractNum w:abstractNumId="30">
    <w:nsid w:val="5072367"/>
    <w:multiLevelType w:val="hybridMultilevel"/>
    <w:lvl w:ilvl="0">
      <w:lvlJc w:val="left"/>
      <w:lvlText w:val="%1"/>
      <w:numFmt w:val="lowerRoman"/>
      <w:start w:val="1"/>
    </w:lvl>
    <w:lvl w:ilvl="1">
      <w:lvlJc w:val="left"/>
      <w:lvlText w:val="%2."/>
      <w:numFmt w:val="decimal"/>
      <w:start w:val="7"/>
    </w:lvl>
    <w:lvl w:ilvl="2">
      <w:lvlJc w:val="left"/>
      <w:lvlText w:val="(%3)"/>
      <w:numFmt w:val="lowerLetter"/>
      <w:start w:val="1"/>
    </w:lvl>
  </w:abstractNum>
  <w:abstractNum w:abstractNumId="31">
    <w:nsid w:val="3804823E"/>
    <w:multiLevelType w:val="hybridMultilevel"/>
    <w:lvl w:ilvl="0">
      <w:lvlJc w:val="left"/>
      <w:lvlText w:val="(%1)"/>
      <w:numFmt w:val="lowerRoman"/>
      <w:start w:val="4"/>
    </w:lvl>
    <w:lvl w:ilvl="1">
      <w:lvlJc w:val="left"/>
      <w:lvlText w:val="%2"/>
      <w:numFmt w:val="decimal"/>
      <w:start w:val="1"/>
    </w:lvl>
    <w:lvl w:ilvl="2">
      <w:lvlJc w:val="left"/>
      <w:lvlText w:val="%3"/>
      <w:numFmt w:val="lowerLetter"/>
      <w:start w:val="1"/>
    </w:lvl>
  </w:abstractNum>
  <w:abstractNum w:abstractNumId="32">
    <w:nsid w:val="77465F01"/>
    <w:multiLevelType w:val="hybridMultilevel"/>
    <w:lvl w:ilvl="0">
      <w:lvlJc w:val="left"/>
      <w:lvlText w:val="%1"/>
      <w:numFmt w:val="decimal"/>
      <w:start w:val="1"/>
    </w:lvl>
    <w:lvl w:ilvl="1">
      <w:lvlJc w:val="left"/>
      <w:lvlText w:val="(%2)"/>
      <w:numFmt w:val="lowerLetter"/>
      <w:start w:val="5"/>
    </w:lvl>
  </w:abstractNum>
  <w:abstractNum w:abstractNumId="33">
    <w:nsid w:val="7724C67E"/>
    <w:multiLevelType w:val="hybridMultilevel"/>
    <w:lvl w:ilvl="0">
      <w:lvlJc w:val="left"/>
      <w:lvlText w:val="%1."/>
      <w:numFmt w:val="decimal"/>
      <w:start w:val="9"/>
    </w:lvl>
    <w:lvl w:ilvl="1">
      <w:lvlJc w:val="left"/>
      <w:lvlText w:val="(%2)"/>
      <w:numFmt w:val="lowerLetter"/>
      <w:start w:val="1"/>
    </w:lvl>
  </w:abstractNum>
  <w:abstractNum w:abstractNumId="34">
    <w:nsid w:val="5C482A97"/>
    <w:multiLevelType w:val="hybridMultilevel"/>
    <w:lvl w:ilvl="0">
      <w:lvlJc w:val="left"/>
      <w:lvlText w:val="%1."/>
      <w:numFmt w:val="decimal"/>
      <w:start w:val="11"/>
    </w:lvl>
  </w:abstractNum>
  <w:abstractNum w:abstractNumId="35">
    <w:nsid w:val="2463B9EA"/>
    <w:multiLevelType w:val="hybridMultilevel"/>
    <w:lvl w:ilvl="0">
      <w:lvlJc w:val="left"/>
      <w:lvlText w:val="(%1)"/>
      <w:numFmt w:val="lowerLetter"/>
      <w:start w:val="1"/>
    </w:lvl>
  </w:abstractNum>
  <w:abstractNum w:abstractNumId="36">
    <w:nsid w:val="5E884ADC"/>
    <w:multiLevelType w:val="hybridMultilevel"/>
    <w:lvl w:ilvl="0">
      <w:lvlJc w:val="left"/>
      <w:lvlText w:val="(%1)"/>
      <w:numFmt w:val="decimal"/>
      <w:start w:val="1"/>
    </w:lvl>
  </w:abstractNum>
  <w:abstractNum w:abstractNumId="37">
    <w:nsid w:val="51EAD36B"/>
    <w:multiLevelType w:val="hybridMultilevel"/>
    <w:lvl w:ilvl="0">
      <w:lvlJc w:val="left"/>
      <w:lvlText w:val="%1."/>
      <w:numFmt w:val="decimal"/>
      <w:start w:val="1"/>
    </w:lvl>
    <w:lvl w:ilvl="1">
      <w:lvlJc w:val="left"/>
      <w:lvlText w:val="%2)"/>
      <w:numFmt w:val="lowerLetter"/>
      <w:start w:val="1"/>
    </w:lvl>
  </w:abstractNum>
  <w:abstractNum w:abstractNumId="38">
    <w:nsid w:val="2D517796"/>
    <w:multiLevelType w:val="hybridMultilevel"/>
    <w:lvl w:ilvl="0">
      <w:lvlJc w:val="left"/>
      <w:lvlText w:val="%1."/>
      <w:numFmt w:val="decimal"/>
      <w:start w:val="1"/>
    </w:lvl>
    <w:lvl w:ilvl="1">
      <w:lvlJc w:val="left"/>
      <w:lvlText w:val="%2)"/>
      <w:numFmt w:val="lowerLetter"/>
      <w:start w:val="1"/>
    </w:lvl>
  </w:abstractNum>
  <w:abstractNum w:abstractNumId="39">
    <w:nsid w:val="580BD78F"/>
    <w:multiLevelType w:val="hybridMultilevel"/>
    <w:lvl w:ilvl="0">
      <w:lvlJc w:val="left"/>
      <w:lvlText w:val="%1."/>
      <w:numFmt w:val="decimal"/>
      <w:start w:val="1"/>
    </w:lvl>
  </w:abstractNum>
  <w:abstractNum w:abstractNumId="40">
    <w:nsid w:val="153EA43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84" Type="http://schemas.openxmlformats.org/officeDocument/2006/relationships/image" Target="media/image67.png"/><Relationship Id="rId85" Type="http://schemas.openxmlformats.org/officeDocument/2006/relationships/image" Target="media/image68.png"/><Relationship Id="rId86" Type="http://schemas.openxmlformats.org/officeDocument/2006/relationships/image" Target="media/image69.png"/><Relationship Id="rId87" Type="http://schemas.openxmlformats.org/officeDocument/2006/relationships/image" Target="media/image70.png"/><Relationship Id="rId88" Type="http://schemas.openxmlformats.org/officeDocument/2006/relationships/image" Target="media/image71.png"/><Relationship Id="rId89" Type="http://schemas.openxmlformats.org/officeDocument/2006/relationships/image" Target="media/image72.png"/><Relationship Id="rId90" Type="http://schemas.openxmlformats.org/officeDocument/2006/relationships/image" Target="media/image73.png"/><Relationship Id="rId91" Type="http://schemas.openxmlformats.org/officeDocument/2006/relationships/image" Target="media/image74.png"/><Relationship Id="rId92" Type="http://schemas.openxmlformats.org/officeDocument/2006/relationships/image" Target="media/image75.png"/><Relationship Id="rId93" Type="http://schemas.openxmlformats.org/officeDocument/2006/relationships/image" Target="media/image76.png"/><Relationship Id="rId94" Type="http://schemas.openxmlformats.org/officeDocument/2006/relationships/image" Target="media/image77.png"/><Relationship Id="rId95" Type="http://schemas.openxmlformats.org/officeDocument/2006/relationships/image" Target="media/image78.png"/><Relationship Id="rId96" Type="http://schemas.openxmlformats.org/officeDocument/2006/relationships/image" Target="media/image79.png"/><Relationship Id="rId97" Type="http://schemas.openxmlformats.org/officeDocument/2006/relationships/image" Target="media/image80.png"/><Relationship Id="rId98" Type="http://schemas.openxmlformats.org/officeDocument/2006/relationships/image" Target="media/image81.png"/><Relationship Id="rId74" Type="http://schemas.openxmlformats.org/officeDocument/2006/relationships/hyperlink" Target="http://www.sec.gov/Archives/edgar/data/10329/000143774917000730/ex3.htm" TargetMode="External"/><Relationship Id="rId75" Type="http://schemas.openxmlformats.org/officeDocument/2006/relationships/hyperlink" Target="http://www.sec.gov/Archives/edgar/data/10329/000143774916028752/ex4.htm" TargetMode="External"/><Relationship Id="rId76" Type="http://schemas.openxmlformats.org/officeDocument/2006/relationships/hyperlink" Target="http://www.sec.gov/Archives/edgar/data/10329/0000950133-98-000652.txt" TargetMode="External"/><Relationship Id="rId77" Type="http://schemas.openxmlformats.org/officeDocument/2006/relationships/hyperlink" Target="http://www.sec.gov/Archives/edgar/data/10329/000119312506015246/dex10h.htm" TargetMode="External"/><Relationship Id="rId78" Type="http://schemas.openxmlformats.org/officeDocument/2006/relationships/hyperlink" Target="http://www.sec.gov/Archives/edgar/data/10329/000143774916024886/bset20160205_def14a.htm" TargetMode="External"/><Relationship Id="rId79" Type="http://schemas.openxmlformats.org/officeDocument/2006/relationships/hyperlink" Target="http://www.sec.gov/Archives/edgar/data/10329/000143774914000921/ex10-L.htm" TargetMode="External"/><Relationship Id="rId80" Type="http://schemas.openxmlformats.org/officeDocument/2006/relationships/hyperlink" Target="http://www.sec.gov/Archives/edgar/data/10329/000143774914006056/ex10.htm" TargetMode="External"/><Relationship Id="rId81" Type="http://schemas.openxmlformats.org/officeDocument/2006/relationships/hyperlink" Target="http://www.sec.gov/Archives/edgar/data/10329/000143774914012291/ex10.htm" TargetMode="External"/><Relationship Id="rId82" Type="http://schemas.openxmlformats.org/officeDocument/2006/relationships/hyperlink" Target="http://www.sec.gov/Archives/edgar/data/10329/000143774917008160/ex10-1.htm" TargetMode="External"/><Relationship Id="rId83" Type="http://schemas.openxmlformats.org/officeDocument/2006/relationships/hyperlink" Target="http://www.sec.gov/Archives/edgar/data/10329/000143774917008160/ex10-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2019-12-28T17:13:31Z</dcterms:created>
  <dcterms:modified xsi:type="dcterms:W3CDTF">2019-12-28T17:13:31Z</dcterms:modified>
</cp:coreProperties>
</file>